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14:paraId="5B928470" w14:textId="77777777">
        <w:trPr>
          <w:trHeight w:val="720"/>
        </w:trPr>
        <w:tc>
          <w:tcPr>
            <w:tcW w:w="6494" w:type="dxa"/>
            <w:gridSpan w:val="2"/>
            <w:tcBorders>
              <w:bottom w:val="single" w:sz="18" w:space="0" w:color="auto"/>
            </w:tcBorders>
          </w:tcPr>
          <w:p w14:paraId="22DCD874" w14:textId="77777777" w:rsidR="0087455A" w:rsidRDefault="0024162E" w:rsidP="00A62975">
            <w:pPr>
              <w:rPr>
                <w:rFonts w:ascii="Univers" w:hAnsi="Univers"/>
                <w:b/>
                <w:sz w:val="28"/>
                <w:szCs w:val="28"/>
                <w:lang w:val="es-MX"/>
              </w:rPr>
            </w:pPr>
            <w:r>
              <w:rPr>
                <w:rFonts w:ascii="Univers" w:hAnsi="Univers"/>
                <w:b/>
                <w:sz w:val="28"/>
                <w:szCs w:val="28"/>
                <w:lang w:val="es-MX"/>
              </w:rPr>
              <w:t>NACIONES</w:t>
            </w:r>
          </w:p>
          <w:p w14:paraId="0D68A333" w14:textId="77777777" w:rsidR="0087455A" w:rsidRDefault="0024162E" w:rsidP="00A62975">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14:paraId="024992D4" w14:textId="77777777" w:rsidR="0087455A" w:rsidRDefault="0024162E" w:rsidP="00A62975">
            <w:pPr>
              <w:jc w:val="right"/>
              <w:rPr>
                <w:rFonts w:asciiTheme="minorBidi" w:hAnsiTheme="minorBidi" w:cstheme="minorBidi"/>
                <w:sz w:val="52"/>
                <w:szCs w:val="52"/>
              </w:rPr>
            </w:pPr>
            <w:r>
              <w:rPr>
                <w:rFonts w:asciiTheme="minorBidi" w:hAnsiTheme="minorBidi" w:cstheme="minorBidi"/>
                <w:b/>
                <w:sz w:val="72"/>
              </w:rPr>
              <w:t>EP</w:t>
            </w:r>
          </w:p>
        </w:tc>
      </w:tr>
      <w:tr w:rsidR="0087455A" w:rsidRPr="00C40E04" w14:paraId="0285D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EEFAA16" w14:textId="77777777" w:rsidR="0087455A" w:rsidRDefault="0024162E" w:rsidP="00A62975">
            <w:pPr>
              <w:spacing w:before="120"/>
            </w:pPr>
            <w:r>
              <w:rPr>
                <w:noProof/>
                <w:lang w:val="en-US"/>
              </w:rPr>
              <w:drawing>
                <wp:anchor distT="0" distB="0" distL="114300" distR="114300" simplePos="0" relativeHeight="251660288" behindDoc="0" locked="0" layoutInCell="1" allowOverlap="1" wp14:anchorId="0076CFBC" wp14:editId="25D1D1D0">
                  <wp:simplePos x="0" y="0"/>
                  <wp:positionH relativeFrom="column">
                    <wp:posOffset>6441</wp:posOffset>
                  </wp:positionH>
                  <wp:positionV relativeFrom="paragraph">
                    <wp:posOffset>941251</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14:anchorId="103E9BD6" wp14:editId="4CED27D9">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6B5CDFF6" w14:textId="77777777" w:rsidR="0087455A" w:rsidRDefault="0087455A" w:rsidP="00A6297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jc w:val="left"/>
              <w:rPr>
                <w:rFonts w:ascii="Univers" w:hAnsi="Univers"/>
                <w:b/>
                <w:sz w:val="32"/>
                <w:lang w:val="es-MX"/>
              </w:rPr>
            </w:pPr>
          </w:p>
          <w:p w14:paraId="6508D5A1" w14:textId="77777777" w:rsidR="0087455A" w:rsidRDefault="0024162E" w:rsidP="00A6297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jc w:val="left"/>
              <w:rPr>
                <w:rFonts w:ascii="Univers" w:hAnsi="Univers"/>
                <w:b/>
                <w:sz w:val="32"/>
                <w:lang w:val="es-MX"/>
              </w:rPr>
            </w:pPr>
            <w:r>
              <w:rPr>
                <w:rFonts w:ascii="Univers" w:hAnsi="Univers"/>
                <w:b/>
                <w:sz w:val="32"/>
                <w:lang w:val="es-MX"/>
              </w:rPr>
              <w:t>Programa de las</w:t>
            </w:r>
          </w:p>
          <w:p w14:paraId="1EF865AB" w14:textId="77777777" w:rsidR="0087455A" w:rsidRDefault="0024162E" w:rsidP="00A6297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jc w:val="left"/>
              <w:rPr>
                <w:rFonts w:ascii="Univers" w:hAnsi="Univers"/>
                <w:b/>
                <w:sz w:val="32"/>
                <w:lang w:val="es-MX"/>
              </w:rPr>
            </w:pPr>
            <w:r>
              <w:rPr>
                <w:rFonts w:ascii="Univers" w:hAnsi="Univers"/>
                <w:b/>
                <w:sz w:val="32"/>
                <w:lang w:val="es-MX"/>
              </w:rPr>
              <w:t>Naciones Unidas</w:t>
            </w:r>
          </w:p>
          <w:p w14:paraId="3A612557" w14:textId="77777777" w:rsidR="0087455A" w:rsidRDefault="0024162E" w:rsidP="00A6297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jc w:val="left"/>
              <w:rPr>
                <w:rFonts w:ascii="Univers" w:hAnsi="Univers"/>
                <w:b/>
                <w:sz w:val="32"/>
                <w:lang w:val="es-MX"/>
              </w:rPr>
            </w:pPr>
            <w:r>
              <w:rPr>
                <w:rFonts w:ascii="Univers" w:hAnsi="Univers"/>
                <w:b/>
                <w:sz w:val="32"/>
                <w:lang w:val="es-MX"/>
              </w:rPr>
              <w:t>para el Medio Ambiente</w:t>
            </w:r>
          </w:p>
          <w:p w14:paraId="3BE25ABD" w14:textId="77777777" w:rsidR="0087455A" w:rsidRDefault="0087455A" w:rsidP="00A6297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rFonts w:ascii="Univers Bold" w:hAnsi="Univers Bold"/>
                <w:b/>
                <w:sz w:val="32"/>
                <w:lang w:val="es-MX"/>
              </w:rPr>
            </w:pPr>
          </w:p>
          <w:p w14:paraId="75BFE038" w14:textId="77777777" w:rsidR="0087455A" w:rsidRDefault="0087455A" w:rsidP="00A62975">
            <w:pPr>
              <w:spacing w:before="720"/>
              <w:ind w:left="158"/>
              <w:rPr>
                <w:lang w:val="es-ES"/>
              </w:rPr>
            </w:pPr>
          </w:p>
        </w:tc>
        <w:tc>
          <w:tcPr>
            <w:tcW w:w="4590" w:type="dxa"/>
            <w:tcBorders>
              <w:top w:val="nil"/>
              <w:left w:val="nil"/>
              <w:bottom w:val="single" w:sz="36" w:space="0" w:color="auto"/>
              <w:right w:val="nil"/>
            </w:tcBorders>
          </w:tcPr>
          <w:p w14:paraId="5D09C332" w14:textId="77777777" w:rsidR="0087455A" w:rsidRDefault="0087455A" w:rsidP="00A62975">
            <w:pPr>
              <w:rPr>
                <w:lang w:val="es-ES"/>
              </w:rPr>
            </w:pPr>
          </w:p>
          <w:p w14:paraId="5A9242EF" w14:textId="77777777" w:rsidR="0087455A" w:rsidRDefault="0024162E" w:rsidP="00A62975">
            <w:pPr>
              <w:rPr>
                <w:lang w:val="es-ES"/>
              </w:rPr>
            </w:pPr>
            <w:proofErr w:type="spellStart"/>
            <w:r>
              <w:rPr>
                <w:lang w:val="es-ES"/>
              </w:rPr>
              <w:t>Distr</w:t>
            </w:r>
            <w:proofErr w:type="spellEnd"/>
            <w:r>
              <w:rPr>
                <w:lang w:val="es-ES"/>
              </w:rPr>
              <w:t>.</w:t>
            </w:r>
          </w:p>
          <w:p w14:paraId="381EA8A3" w14:textId="77777777" w:rsidR="0087455A" w:rsidRDefault="0024162E" w:rsidP="00A62975">
            <w:pPr>
              <w:rPr>
                <w:lang w:val="es-ES"/>
              </w:rPr>
            </w:pPr>
            <w:r>
              <w:rPr>
                <w:lang w:val="es-ES"/>
              </w:rPr>
              <w:t>GENERAL</w:t>
            </w:r>
          </w:p>
          <w:p w14:paraId="0B383894" w14:textId="77777777" w:rsidR="0087455A" w:rsidRDefault="0087455A" w:rsidP="00A62975">
            <w:pPr>
              <w:rPr>
                <w:lang w:val="es-ES"/>
              </w:rPr>
            </w:pPr>
          </w:p>
          <w:p w14:paraId="06DF448F" w14:textId="50CC1832" w:rsidR="0087455A" w:rsidRDefault="0024162E" w:rsidP="00A62975">
            <w:pPr>
              <w:rPr>
                <w:lang w:val="es-ES"/>
              </w:rPr>
            </w:pPr>
            <w:r>
              <w:fldChar w:fldCharType="begin"/>
            </w:r>
            <w:r>
              <w:rPr>
                <w:lang w:val="es-ES"/>
              </w:rPr>
              <w:instrText xml:space="preserve"> DOCPROPERTY "Document number"  \* MERGEFORMAT </w:instrText>
            </w:r>
            <w:r>
              <w:fldChar w:fldCharType="separate"/>
            </w:r>
            <w:r w:rsidR="00E56E6C">
              <w:rPr>
                <w:lang w:val="es-ES"/>
              </w:rPr>
              <w:t>UNEP/</w:t>
            </w:r>
            <w:proofErr w:type="spellStart"/>
            <w:r w:rsidR="00E56E6C">
              <w:rPr>
                <w:lang w:val="es-ES"/>
              </w:rPr>
              <w:t>OzL.Pro</w:t>
            </w:r>
            <w:proofErr w:type="spellEnd"/>
            <w:r w:rsidR="00E56E6C">
              <w:rPr>
                <w:lang w:val="es-ES"/>
              </w:rPr>
              <w:t>/</w:t>
            </w:r>
            <w:proofErr w:type="spellStart"/>
            <w:r w:rsidR="00E56E6C">
              <w:rPr>
                <w:lang w:val="es-ES"/>
              </w:rPr>
              <w:t>ExCom</w:t>
            </w:r>
            <w:proofErr w:type="spellEnd"/>
            <w:r w:rsidR="00E56E6C">
              <w:rPr>
                <w:lang w:val="es-ES"/>
              </w:rPr>
              <w:t>/86/22</w:t>
            </w:r>
            <w:r>
              <w:fldChar w:fldCharType="end"/>
            </w:r>
          </w:p>
          <w:p w14:paraId="3E55DDAB" w14:textId="54306EDB" w:rsidR="0087455A" w:rsidRDefault="001C2D22" w:rsidP="00A62975">
            <w:pPr>
              <w:rPr>
                <w:caps/>
                <w:lang w:val="es-ES"/>
              </w:rPr>
            </w:pPr>
            <w:r>
              <w:rPr>
                <w:caps/>
                <w:lang w:val="es-ES"/>
              </w:rPr>
              <w:t>2</w:t>
            </w:r>
            <w:r w:rsidR="00F3757A">
              <w:rPr>
                <w:caps/>
                <w:lang w:val="es-ES"/>
              </w:rPr>
              <w:t>2</w:t>
            </w:r>
            <w:r w:rsidR="00114CAA">
              <w:rPr>
                <w:caps/>
                <w:lang w:val="es-ES"/>
              </w:rPr>
              <w:t xml:space="preserve"> </w:t>
            </w:r>
            <w:r w:rsidR="00114CAA">
              <w:rPr>
                <w:lang w:val="es-ES"/>
              </w:rPr>
              <w:t xml:space="preserve">de </w:t>
            </w:r>
            <w:r w:rsidR="00B83FFA">
              <w:rPr>
                <w:lang w:val="es-ES"/>
              </w:rPr>
              <w:t>octubre</w:t>
            </w:r>
            <w:r w:rsidR="00114CAA">
              <w:rPr>
                <w:lang w:val="es-ES"/>
              </w:rPr>
              <w:t xml:space="preserve"> de </w:t>
            </w:r>
            <w:r>
              <w:rPr>
                <w:caps/>
                <w:lang w:val="es-ES"/>
              </w:rPr>
              <w:t>20</w:t>
            </w:r>
            <w:r w:rsidR="00C40E04">
              <w:rPr>
                <w:caps/>
                <w:lang w:val="es-ES"/>
              </w:rPr>
              <w:t>20</w:t>
            </w:r>
          </w:p>
          <w:p w14:paraId="7F25BA0A" w14:textId="77777777" w:rsidR="00114CAA" w:rsidRDefault="00114CAA" w:rsidP="00A62975">
            <w:pPr>
              <w:rPr>
                <w:caps/>
                <w:lang w:val="es-ES"/>
              </w:rPr>
            </w:pPr>
          </w:p>
          <w:p w14:paraId="655F186D" w14:textId="77777777" w:rsidR="0087455A" w:rsidRDefault="0024162E" w:rsidP="00A62975">
            <w:pPr>
              <w:rPr>
                <w:lang w:val="es-MX"/>
              </w:rPr>
            </w:pPr>
            <w:r>
              <w:rPr>
                <w:lang w:val="es-MX"/>
              </w:rPr>
              <w:t xml:space="preserve">ESPAÑOL </w:t>
            </w:r>
          </w:p>
          <w:p w14:paraId="0C39051D" w14:textId="77777777" w:rsidR="0087455A" w:rsidRDefault="0024162E" w:rsidP="00A62975">
            <w:pPr>
              <w:rPr>
                <w:lang w:val="es-ES"/>
              </w:rPr>
            </w:pPr>
            <w:r>
              <w:rPr>
                <w:lang w:val="es-ES"/>
              </w:rPr>
              <w:t xml:space="preserve">ORIGINAL: </w:t>
            </w:r>
            <w:r>
              <w:rPr>
                <w:lang w:val="es-MX"/>
              </w:rPr>
              <w:t>INGLÉS</w:t>
            </w:r>
          </w:p>
        </w:tc>
      </w:tr>
    </w:tbl>
    <w:p w14:paraId="62DBC083" w14:textId="77777777" w:rsidR="0087455A" w:rsidRDefault="0087455A" w:rsidP="00A62975">
      <w:pPr>
        <w:jc w:val="left"/>
        <w:rPr>
          <w:lang w:val="es-MX"/>
        </w:rPr>
      </w:pPr>
    </w:p>
    <w:p w14:paraId="23755116" w14:textId="77777777" w:rsidR="0087455A" w:rsidRPr="00B0797C" w:rsidRDefault="0024162E" w:rsidP="00A62975">
      <w:pPr>
        <w:jc w:val="left"/>
        <w:rPr>
          <w:lang w:val="es-ES"/>
        </w:rPr>
      </w:pPr>
      <w:r w:rsidRPr="00B0797C">
        <w:rPr>
          <w:lang w:val="es-ES"/>
        </w:rPr>
        <w:t>COMITÉ EJECUTIVO DEL FONDO MULTILATERAL</w:t>
      </w:r>
      <w:r w:rsidRPr="00B0797C">
        <w:rPr>
          <w:lang w:val="es-ES"/>
        </w:rPr>
        <w:br/>
        <w:t xml:space="preserve">  PARA LA APLICACIÓN DEL</w:t>
      </w:r>
      <w:r w:rsidRPr="00B0797C">
        <w:rPr>
          <w:lang w:val="es-ES"/>
        </w:rPr>
        <w:br/>
        <w:t xml:space="preserve">  PROTOCOLO DE MONTREAL</w:t>
      </w:r>
    </w:p>
    <w:p w14:paraId="66B48E42" w14:textId="7719AAE8" w:rsidR="00106F6E" w:rsidRPr="00B0797C" w:rsidRDefault="00106F6E" w:rsidP="00A62975">
      <w:pPr>
        <w:jc w:val="left"/>
        <w:rPr>
          <w:lang w:val="es-ES"/>
        </w:rPr>
      </w:pPr>
      <w:r w:rsidRPr="00B0797C">
        <w:rPr>
          <w:lang w:val="es-ES"/>
        </w:rPr>
        <w:t xml:space="preserve">Octogésima </w:t>
      </w:r>
      <w:r w:rsidR="006915A5" w:rsidRPr="00B0797C">
        <w:rPr>
          <w:lang w:val="es-ES"/>
        </w:rPr>
        <w:t>sexta</w:t>
      </w:r>
      <w:r w:rsidR="003863A4" w:rsidRPr="00B0797C">
        <w:rPr>
          <w:lang w:val="es-ES"/>
        </w:rPr>
        <w:t xml:space="preserve"> Reunión</w:t>
      </w:r>
      <w:r w:rsidR="003863A4" w:rsidRPr="00B0797C">
        <w:rPr>
          <w:lang w:val="es-ES"/>
        </w:rPr>
        <w:br/>
        <w:t xml:space="preserve">Montreal, </w:t>
      </w:r>
      <w:r w:rsidR="0092685B" w:rsidRPr="00B0797C">
        <w:rPr>
          <w:lang w:val="es-ES"/>
        </w:rPr>
        <w:t>2</w:t>
      </w:r>
      <w:r w:rsidR="003863A4" w:rsidRPr="00B0797C">
        <w:rPr>
          <w:lang w:val="es-ES"/>
        </w:rPr>
        <w:t xml:space="preserve"> </w:t>
      </w:r>
      <w:r w:rsidRPr="00B0797C">
        <w:rPr>
          <w:lang w:val="es-ES"/>
        </w:rPr>
        <w:t xml:space="preserve">– </w:t>
      </w:r>
      <w:r w:rsidR="00B83FFA" w:rsidRPr="00B0797C">
        <w:rPr>
          <w:lang w:val="es-ES"/>
        </w:rPr>
        <w:t>6</w:t>
      </w:r>
      <w:r w:rsidRPr="00B0797C">
        <w:rPr>
          <w:lang w:val="es-ES"/>
        </w:rPr>
        <w:t xml:space="preserve"> de </w:t>
      </w:r>
      <w:r w:rsidR="00B83FFA" w:rsidRPr="00B0797C">
        <w:rPr>
          <w:lang w:val="es-ES"/>
        </w:rPr>
        <w:t>noviembre</w:t>
      </w:r>
      <w:r w:rsidR="001C2D22" w:rsidRPr="00B0797C">
        <w:rPr>
          <w:lang w:val="es-ES"/>
        </w:rPr>
        <w:t xml:space="preserve"> de 20</w:t>
      </w:r>
      <w:r w:rsidR="0092685B" w:rsidRPr="00B0797C">
        <w:rPr>
          <w:lang w:val="es-ES"/>
        </w:rPr>
        <w:t>20</w:t>
      </w:r>
    </w:p>
    <w:p w14:paraId="419CB477" w14:textId="77777777" w:rsidR="00B0797C" w:rsidRPr="00B0797C" w:rsidRDefault="00B0797C" w:rsidP="00A62975">
      <w:pPr>
        <w:jc w:val="left"/>
        <w:rPr>
          <w:lang w:val="es-ES"/>
        </w:rPr>
      </w:pPr>
      <w:r w:rsidRPr="00B0797C">
        <w:rPr>
          <w:lang w:val="es-ES"/>
        </w:rPr>
        <w:t>Pospuesta: 8 – 12 de marzo de 2021</w:t>
      </w:r>
      <w:r w:rsidRPr="00B0797C">
        <w:rPr>
          <w:rStyle w:val="FootnoteReference"/>
          <w:lang w:val="es-ES"/>
        </w:rPr>
        <w:footnoteReference w:id="1"/>
      </w:r>
    </w:p>
    <w:p w14:paraId="33C41DB6" w14:textId="77777777" w:rsidR="00B0797C" w:rsidRPr="00B0797C" w:rsidRDefault="00B0797C" w:rsidP="00A62975">
      <w:pPr>
        <w:jc w:val="left"/>
        <w:rPr>
          <w:lang w:val="es-ES"/>
        </w:rPr>
      </w:pPr>
    </w:p>
    <w:p w14:paraId="05B498DA" w14:textId="77777777" w:rsidR="00B0797C" w:rsidRPr="00B0797C" w:rsidRDefault="00B0797C" w:rsidP="00A62975">
      <w:pPr>
        <w:jc w:val="left"/>
        <w:rPr>
          <w:lang w:val="es-ES"/>
        </w:rPr>
      </w:pPr>
    </w:p>
    <w:p w14:paraId="7C588C7A" w14:textId="77777777" w:rsidR="00B0797C" w:rsidRPr="00B0797C" w:rsidRDefault="00B0797C" w:rsidP="00A62975">
      <w:pPr>
        <w:jc w:val="left"/>
        <w:rPr>
          <w:lang w:val="es-ES"/>
        </w:rPr>
      </w:pPr>
    </w:p>
    <w:p w14:paraId="6C1227BE" w14:textId="77777777" w:rsidR="00B0797C" w:rsidRPr="00B0797C" w:rsidRDefault="00B0797C" w:rsidP="00A62975">
      <w:pPr>
        <w:spacing w:after="240"/>
        <w:jc w:val="center"/>
        <w:rPr>
          <w:b/>
          <w:caps/>
          <w:lang w:val="es-ES"/>
        </w:rPr>
      </w:pPr>
      <w:r w:rsidRPr="00B0797C">
        <w:rPr>
          <w:b/>
          <w:lang w:val="es-ES"/>
        </w:rPr>
        <w:t>INFORME REFUNDIDO DE TERMINACIÓN DE PROYECTOS DE 2020</w:t>
      </w:r>
    </w:p>
    <w:p w14:paraId="0F8B94F2" w14:textId="77777777" w:rsidR="00B0797C" w:rsidRPr="00B0797C" w:rsidRDefault="00B0797C" w:rsidP="00A62975">
      <w:pPr>
        <w:pStyle w:val="StyleHeader4Para4Left0Firstline0"/>
        <w:widowControl/>
        <w:numPr>
          <w:ilvl w:val="0"/>
          <w:numId w:val="0"/>
        </w:numPr>
        <w:rPr>
          <w:b/>
          <w:sz w:val="22"/>
          <w:lang w:val="es-ES"/>
        </w:rPr>
      </w:pPr>
      <w:r w:rsidRPr="00B0797C">
        <w:rPr>
          <w:b/>
          <w:sz w:val="22"/>
          <w:lang w:val="es-ES"/>
        </w:rPr>
        <w:t>Antecedentes</w:t>
      </w:r>
    </w:p>
    <w:p w14:paraId="78DDB132" w14:textId="77777777" w:rsidR="00B0797C" w:rsidRPr="00B0797C" w:rsidRDefault="00B0797C" w:rsidP="00A62975">
      <w:pPr>
        <w:pStyle w:val="Heading1"/>
        <w:numPr>
          <w:ilvl w:val="0"/>
          <w:numId w:val="21"/>
        </w:numPr>
        <w:tabs>
          <w:tab w:val="clear" w:pos="0"/>
          <w:tab w:val="num" w:pos="720"/>
        </w:tabs>
        <w:rPr>
          <w:lang w:val="es-ES"/>
        </w:rPr>
      </w:pPr>
      <w:r w:rsidRPr="00B0797C">
        <w:rPr>
          <w:lang w:val="es-ES"/>
        </w:rPr>
        <w:t xml:space="preserve">La cuestión de los informes de terminación de proyectos pendientes ha sido tratada por el Comité Ejecutivo en cada una de sus reuniones. En su 84ª reunión, el Comité Ejecutivo, entre otras cosas, instó a los organismos bilaterales y de ejecución a que presentaran a la 85ª reunión los informes de terminación de proyecto atrasados correspondientes a los proyectos de acuerdos plurianuales y a los proyectos individuales o indicaran los motivos para no haberlos presentado. El Comité también instó a los organismos de ejecución principales y cooperantes a que coordinaran estrechamente su trabajo para concluir su porción de los informes de terminación de proyecto a fin de que el organismo de ejecución principal pueda presentar esos informes de acuerdo con el calendario (decisión 84/43 b) y c)). </w:t>
      </w:r>
    </w:p>
    <w:p w14:paraId="6BE3CE96" w14:textId="77777777" w:rsidR="00B0797C" w:rsidRPr="00B0797C" w:rsidRDefault="00B0797C" w:rsidP="00A62975">
      <w:pPr>
        <w:pStyle w:val="Heading1"/>
        <w:numPr>
          <w:ilvl w:val="0"/>
          <w:numId w:val="21"/>
        </w:numPr>
        <w:tabs>
          <w:tab w:val="clear" w:pos="0"/>
          <w:tab w:val="num" w:pos="720"/>
        </w:tabs>
        <w:rPr>
          <w:lang w:val="es-ES"/>
        </w:rPr>
      </w:pPr>
      <w:r w:rsidRPr="00B0797C">
        <w:rPr>
          <w:lang w:val="es-ES"/>
        </w:rPr>
        <w:t>Debido a la enfermedad por coronavirus (COVID-19), la 85ª reunión se pospuso y el Comité Ejecutivo acordó establecer un proceso de aprobación en el período entre sesiones para examinar determinados informes y proyectos. El Comité Ejecutivo acordó, además, que en la 86ª reunión se abordarían las cuestiones del orden del día restantes de la 85ª reunión, señalando que los documentos para la 85ª reunión relacionados con las cuestiones recurrentes del orden del día, incluidos entre ellos los informes refundidos de terminación de proyectos de 2020, que no se habían presentado a la 85ª reunión, se podrían presentar a la 86ª reunión y deberían incluir, según procediera, la información que se habría presentado la 85ª reunión. Por lo tanto, el presente documento abarca todos los informes de terminación de proyectos que debían presentarse a las reuniones 85ª y 86ª.</w:t>
      </w:r>
    </w:p>
    <w:p w14:paraId="1D794169" w14:textId="77777777" w:rsidR="00B0797C" w:rsidRPr="00B0797C" w:rsidRDefault="00B0797C" w:rsidP="00A62975">
      <w:pPr>
        <w:pStyle w:val="Heading1"/>
        <w:numPr>
          <w:ilvl w:val="0"/>
          <w:numId w:val="21"/>
        </w:numPr>
        <w:tabs>
          <w:tab w:val="clear" w:pos="0"/>
          <w:tab w:val="num" w:pos="720"/>
        </w:tabs>
        <w:rPr>
          <w:lang w:val="es-ES"/>
        </w:rPr>
      </w:pPr>
      <w:r w:rsidRPr="00B0797C">
        <w:rPr>
          <w:lang w:val="es-ES"/>
        </w:rPr>
        <w:t>De conformidad con la decisión 84/43 b) y c), la lista de todos los informes de terminación de proyectos pendientes se envió a los organismos bilaterales y de ejecución el 27 de enero de 2020. La Oficial Superior de Supervisión y Evaluación envió la lista de informes de terminación de proyectos pendientes a los organismos bilaterales y de ejecución a modo de recordatorio el 16 de septiembre de 2020.</w:t>
      </w:r>
    </w:p>
    <w:p w14:paraId="4FCF28CB" w14:textId="77777777" w:rsidR="00B0797C" w:rsidRPr="00B0797C" w:rsidRDefault="00B0797C" w:rsidP="00A62975">
      <w:pPr>
        <w:pStyle w:val="lisa"/>
        <w:widowControl/>
        <w:numPr>
          <w:ilvl w:val="0"/>
          <w:numId w:val="0"/>
        </w:numPr>
        <w:tabs>
          <w:tab w:val="left" w:pos="720"/>
        </w:tabs>
        <w:rPr>
          <w:szCs w:val="22"/>
        </w:rPr>
      </w:pPr>
      <w:r w:rsidRPr="00B0797C">
        <w:lastRenderedPageBreak/>
        <w:t>Informes de terminación de proyectos de acuerdos plurianuales recibidos</w:t>
      </w:r>
    </w:p>
    <w:p w14:paraId="595CD0CE" w14:textId="77777777" w:rsidR="00B0797C" w:rsidRPr="00B0797C" w:rsidRDefault="00B0797C" w:rsidP="00A62975">
      <w:pPr>
        <w:pStyle w:val="Heading1"/>
        <w:numPr>
          <w:ilvl w:val="0"/>
          <w:numId w:val="21"/>
        </w:numPr>
        <w:tabs>
          <w:tab w:val="clear" w:pos="0"/>
          <w:tab w:val="num" w:pos="720"/>
        </w:tabs>
        <w:rPr>
          <w:b/>
          <w:lang w:val="es-ES"/>
        </w:rPr>
      </w:pPr>
      <w:r w:rsidRPr="00B0797C">
        <w:rPr>
          <w:lang w:val="es-ES"/>
        </w:rPr>
        <w:t xml:space="preserve">De los 205 acuerdos plurianuales completados, los organismos bilaterales y de ejecución habían presentado, con anterioridad a la 86ª reunión, 194 informes de terminación de proyectos, por lo que restan 11 informes pendientes, como se muestra en el Cuadro 1. La lista de los 10 informes de terminación de proyectos presentados después de la 84ª reunión se adjunta en el anexo I del presente informe. </w:t>
      </w:r>
    </w:p>
    <w:p w14:paraId="58C35F9A" w14:textId="77777777" w:rsidR="00B0797C" w:rsidRPr="00B0797C" w:rsidRDefault="00B0797C" w:rsidP="00A62975">
      <w:pPr>
        <w:pStyle w:val="Heading1"/>
        <w:numPr>
          <w:ilvl w:val="0"/>
          <w:numId w:val="0"/>
        </w:numPr>
        <w:tabs>
          <w:tab w:val="left" w:pos="720"/>
        </w:tabs>
        <w:spacing w:after="0"/>
        <w:rPr>
          <w:b/>
          <w:lang w:val="es-ES"/>
        </w:rPr>
      </w:pPr>
      <w:r w:rsidRPr="00B0797C">
        <w:rPr>
          <w:b/>
          <w:lang w:val="es-ES"/>
        </w:rPr>
        <w:t>Cuadro 1. Reseña de los informes de terminación de proyectos de acuerdos plurianuales</w:t>
      </w:r>
    </w:p>
    <w:tbl>
      <w:tblPr>
        <w:tblW w:w="9365" w:type="dxa"/>
        <w:tblInd w:w="-5" w:type="dxa"/>
        <w:tblLayout w:type="fixed"/>
        <w:tblLook w:val="04A0" w:firstRow="1" w:lastRow="0" w:firstColumn="1" w:lastColumn="0" w:noHBand="0" w:noVBand="1"/>
      </w:tblPr>
      <w:tblGrid>
        <w:gridCol w:w="1389"/>
        <w:gridCol w:w="1875"/>
        <w:gridCol w:w="2128"/>
        <w:gridCol w:w="1986"/>
        <w:gridCol w:w="1987"/>
      </w:tblGrid>
      <w:tr w:rsidR="00B0797C" w:rsidRPr="00B0797C" w14:paraId="3EA06068" w14:textId="77777777" w:rsidTr="00B0797C">
        <w:trPr>
          <w:tblHeader/>
        </w:trPr>
        <w:tc>
          <w:tcPr>
            <w:tcW w:w="1389" w:type="dxa"/>
            <w:tcBorders>
              <w:top w:val="single" w:sz="4" w:space="0" w:color="auto"/>
              <w:left w:val="single" w:sz="4" w:space="0" w:color="auto"/>
              <w:bottom w:val="single" w:sz="4" w:space="0" w:color="auto"/>
              <w:right w:val="single" w:sz="4" w:space="0" w:color="auto"/>
            </w:tcBorders>
            <w:noWrap/>
            <w:vAlign w:val="center"/>
            <w:hideMark/>
          </w:tcPr>
          <w:p w14:paraId="5A377EF2" w14:textId="77777777" w:rsidR="00B0797C" w:rsidRPr="00B0797C" w:rsidRDefault="00B0797C" w:rsidP="00A62975">
            <w:pPr>
              <w:jc w:val="left"/>
              <w:rPr>
                <w:b/>
                <w:bCs/>
                <w:color w:val="000000"/>
                <w:sz w:val="20"/>
                <w:szCs w:val="20"/>
                <w:lang w:val="es-ES"/>
              </w:rPr>
            </w:pPr>
            <w:r w:rsidRPr="00B0797C">
              <w:rPr>
                <w:b/>
                <w:color w:val="000000"/>
                <w:sz w:val="20"/>
                <w:lang w:val="es-ES"/>
              </w:rPr>
              <w:t>Organismo principal</w:t>
            </w:r>
          </w:p>
        </w:tc>
        <w:tc>
          <w:tcPr>
            <w:tcW w:w="1875" w:type="dxa"/>
            <w:tcBorders>
              <w:top w:val="single" w:sz="4" w:space="0" w:color="auto"/>
              <w:left w:val="nil"/>
              <w:bottom w:val="single" w:sz="4" w:space="0" w:color="auto"/>
              <w:right w:val="single" w:sz="4" w:space="0" w:color="auto"/>
            </w:tcBorders>
            <w:noWrap/>
            <w:vAlign w:val="center"/>
            <w:hideMark/>
          </w:tcPr>
          <w:p w14:paraId="1E0DE840" w14:textId="77777777" w:rsidR="00B0797C" w:rsidRPr="00B0797C" w:rsidRDefault="00B0797C" w:rsidP="00A62975">
            <w:pPr>
              <w:jc w:val="center"/>
              <w:rPr>
                <w:b/>
                <w:bCs/>
                <w:color w:val="000000"/>
                <w:sz w:val="20"/>
                <w:szCs w:val="20"/>
                <w:lang w:val="es-ES"/>
              </w:rPr>
            </w:pPr>
            <w:r w:rsidRPr="00B0797C">
              <w:rPr>
                <w:b/>
                <w:color w:val="000000"/>
                <w:sz w:val="20"/>
                <w:lang w:val="es-ES"/>
              </w:rPr>
              <w:t>Terminados</w:t>
            </w:r>
          </w:p>
        </w:tc>
        <w:tc>
          <w:tcPr>
            <w:tcW w:w="2128" w:type="dxa"/>
            <w:tcBorders>
              <w:top w:val="single" w:sz="4" w:space="0" w:color="auto"/>
              <w:left w:val="nil"/>
              <w:bottom w:val="single" w:sz="4" w:space="0" w:color="auto"/>
              <w:right w:val="single" w:sz="4" w:space="0" w:color="auto"/>
            </w:tcBorders>
            <w:vAlign w:val="center"/>
            <w:hideMark/>
          </w:tcPr>
          <w:p w14:paraId="1693AD07" w14:textId="77777777" w:rsidR="00B0797C" w:rsidRPr="00B0797C" w:rsidRDefault="00B0797C" w:rsidP="00A62975">
            <w:pPr>
              <w:jc w:val="center"/>
              <w:rPr>
                <w:b/>
                <w:bCs/>
                <w:sz w:val="20"/>
                <w:szCs w:val="20"/>
                <w:lang w:val="es-ES"/>
              </w:rPr>
            </w:pPr>
            <w:r w:rsidRPr="00B0797C">
              <w:rPr>
                <w:b/>
                <w:sz w:val="20"/>
                <w:lang w:val="es-ES"/>
              </w:rPr>
              <w:t>Recibidos antes de la 84</w:t>
            </w:r>
            <w:r w:rsidRPr="00B0797C">
              <w:rPr>
                <w:b/>
                <w:sz w:val="20"/>
                <w:vertAlign w:val="superscript"/>
                <w:lang w:val="es-ES"/>
              </w:rPr>
              <w:t>a </w:t>
            </w:r>
            <w:r w:rsidRPr="00B0797C">
              <w:rPr>
                <w:b/>
                <w:sz w:val="20"/>
                <w:lang w:val="es-ES"/>
              </w:rPr>
              <w:t>reunión</w:t>
            </w:r>
          </w:p>
        </w:tc>
        <w:tc>
          <w:tcPr>
            <w:tcW w:w="1986" w:type="dxa"/>
            <w:tcBorders>
              <w:top w:val="single" w:sz="4" w:space="0" w:color="auto"/>
              <w:left w:val="nil"/>
              <w:bottom w:val="single" w:sz="4" w:space="0" w:color="auto"/>
              <w:right w:val="single" w:sz="4" w:space="0" w:color="auto"/>
            </w:tcBorders>
            <w:vAlign w:val="center"/>
            <w:hideMark/>
          </w:tcPr>
          <w:p w14:paraId="3A61ADD9" w14:textId="77777777" w:rsidR="00B0797C" w:rsidRPr="00B0797C" w:rsidRDefault="00B0797C" w:rsidP="00A62975">
            <w:pPr>
              <w:jc w:val="center"/>
              <w:rPr>
                <w:b/>
                <w:bCs/>
                <w:sz w:val="20"/>
                <w:szCs w:val="20"/>
                <w:lang w:val="es-ES"/>
              </w:rPr>
            </w:pPr>
            <w:r w:rsidRPr="00B0797C">
              <w:rPr>
                <w:b/>
                <w:sz w:val="20"/>
                <w:lang w:val="es-ES"/>
              </w:rPr>
              <w:t>Recibidos después de la 84</w:t>
            </w:r>
            <w:r w:rsidRPr="00B0797C">
              <w:rPr>
                <w:b/>
                <w:sz w:val="20"/>
                <w:vertAlign w:val="superscript"/>
                <w:lang w:val="es-ES"/>
              </w:rPr>
              <w:t>a</w:t>
            </w:r>
            <w:r w:rsidRPr="00B0797C">
              <w:rPr>
                <w:b/>
                <w:sz w:val="20"/>
                <w:lang w:val="es-ES"/>
              </w:rPr>
              <w:t> reunión</w:t>
            </w:r>
          </w:p>
        </w:tc>
        <w:tc>
          <w:tcPr>
            <w:tcW w:w="1987" w:type="dxa"/>
            <w:tcBorders>
              <w:top w:val="single" w:sz="4" w:space="0" w:color="auto"/>
              <w:left w:val="nil"/>
              <w:bottom w:val="single" w:sz="4" w:space="0" w:color="auto"/>
              <w:right w:val="single" w:sz="4" w:space="0" w:color="auto"/>
            </w:tcBorders>
            <w:vAlign w:val="center"/>
            <w:hideMark/>
          </w:tcPr>
          <w:p w14:paraId="50574289" w14:textId="77777777" w:rsidR="00B0797C" w:rsidRPr="00B0797C" w:rsidRDefault="00B0797C" w:rsidP="00A62975">
            <w:pPr>
              <w:jc w:val="center"/>
              <w:rPr>
                <w:b/>
                <w:bCs/>
                <w:sz w:val="20"/>
                <w:szCs w:val="20"/>
                <w:lang w:val="es-ES"/>
              </w:rPr>
            </w:pPr>
            <w:r w:rsidRPr="00B0797C">
              <w:rPr>
                <w:b/>
                <w:sz w:val="20"/>
                <w:lang w:val="es-ES"/>
              </w:rPr>
              <w:t>Pendientes</w:t>
            </w:r>
          </w:p>
        </w:tc>
      </w:tr>
      <w:tr w:rsidR="00B0797C" w:rsidRPr="00B0797C" w14:paraId="4129A43C" w14:textId="77777777" w:rsidTr="00B0797C">
        <w:tc>
          <w:tcPr>
            <w:tcW w:w="1389" w:type="dxa"/>
            <w:tcBorders>
              <w:top w:val="nil"/>
              <w:left w:val="single" w:sz="4" w:space="0" w:color="auto"/>
              <w:bottom w:val="single" w:sz="4" w:space="0" w:color="auto"/>
              <w:right w:val="single" w:sz="4" w:space="0" w:color="auto"/>
            </w:tcBorders>
            <w:noWrap/>
            <w:vAlign w:val="center"/>
            <w:hideMark/>
          </w:tcPr>
          <w:p w14:paraId="299F3912" w14:textId="77777777" w:rsidR="00B0797C" w:rsidRPr="00B0797C" w:rsidRDefault="00B0797C" w:rsidP="00A62975">
            <w:pPr>
              <w:rPr>
                <w:color w:val="000000"/>
                <w:sz w:val="20"/>
                <w:szCs w:val="20"/>
                <w:lang w:val="es-ES"/>
              </w:rPr>
            </w:pPr>
            <w:r w:rsidRPr="00B0797C">
              <w:rPr>
                <w:color w:val="000000"/>
                <w:sz w:val="20"/>
                <w:lang w:val="es-ES"/>
              </w:rPr>
              <w:t>Canadá</w:t>
            </w:r>
          </w:p>
        </w:tc>
        <w:tc>
          <w:tcPr>
            <w:tcW w:w="1875" w:type="dxa"/>
            <w:tcBorders>
              <w:top w:val="nil"/>
              <w:left w:val="nil"/>
              <w:bottom w:val="single" w:sz="4" w:space="0" w:color="auto"/>
              <w:right w:val="single" w:sz="4" w:space="0" w:color="auto"/>
            </w:tcBorders>
            <w:noWrap/>
            <w:vAlign w:val="bottom"/>
            <w:hideMark/>
          </w:tcPr>
          <w:p w14:paraId="5C5D1F5C" w14:textId="77777777" w:rsidR="00B0797C" w:rsidRPr="00B0797C" w:rsidRDefault="00B0797C" w:rsidP="00A62975">
            <w:pPr>
              <w:jc w:val="center"/>
              <w:rPr>
                <w:sz w:val="20"/>
                <w:szCs w:val="20"/>
                <w:lang w:val="es-ES"/>
              </w:rPr>
            </w:pPr>
            <w:r w:rsidRPr="00B0797C">
              <w:rPr>
                <w:sz w:val="20"/>
                <w:lang w:val="es-ES"/>
              </w:rPr>
              <w:t>3</w:t>
            </w:r>
          </w:p>
        </w:tc>
        <w:tc>
          <w:tcPr>
            <w:tcW w:w="2128" w:type="dxa"/>
            <w:tcBorders>
              <w:top w:val="nil"/>
              <w:left w:val="nil"/>
              <w:bottom w:val="single" w:sz="4" w:space="0" w:color="auto"/>
              <w:right w:val="single" w:sz="4" w:space="0" w:color="auto"/>
            </w:tcBorders>
            <w:noWrap/>
            <w:vAlign w:val="center"/>
            <w:hideMark/>
          </w:tcPr>
          <w:p w14:paraId="7B88F29F" w14:textId="77777777" w:rsidR="00B0797C" w:rsidRPr="00B0797C" w:rsidRDefault="00B0797C" w:rsidP="00A62975">
            <w:pPr>
              <w:jc w:val="center"/>
              <w:rPr>
                <w:sz w:val="20"/>
                <w:szCs w:val="20"/>
                <w:lang w:val="es-ES"/>
              </w:rPr>
            </w:pPr>
            <w:r w:rsidRPr="00B0797C">
              <w:rPr>
                <w:sz w:val="20"/>
                <w:lang w:val="es-ES"/>
              </w:rPr>
              <w:t>3</w:t>
            </w:r>
          </w:p>
        </w:tc>
        <w:tc>
          <w:tcPr>
            <w:tcW w:w="1986" w:type="dxa"/>
            <w:tcBorders>
              <w:top w:val="nil"/>
              <w:left w:val="nil"/>
              <w:bottom w:val="single" w:sz="4" w:space="0" w:color="auto"/>
              <w:right w:val="single" w:sz="4" w:space="0" w:color="auto"/>
            </w:tcBorders>
            <w:noWrap/>
            <w:vAlign w:val="center"/>
            <w:hideMark/>
          </w:tcPr>
          <w:p w14:paraId="4FD0B4AC" w14:textId="77777777" w:rsidR="00B0797C" w:rsidRPr="00B0797C" w:rsidRDefault="00B0797C" w:rsidP="00A62975">
            <w:pPr>
              <w:jc w:val="center"/>
              <w:rPr>
                <w:sz w:val="20"/>
                <w:szCs w:val="20"/>
                <w:lang w:val="es-ES"/>
              </w:rPr>
            </w:pPr>
            <w:r w:rsidRPr="00B0797C">
              <w:rPr>
                <w:sz w:val="20"/>
                <w:lang w:val="es-ES"/>
              </w:rPr>
              <w:t>0</w:t>
            </w:r>
          </w:p>
        </w:tc>
        <w:tc>
          <w:tcPr>
            <w:tcW w:w="1987" w:type="dxa"/>
            <w:tcBorders>
              <w:top w:val="nil"/>
              <w:left w:val="nil"/>
              <w:bottom w:val="single" w:sz="4" w:space="0" w:color="auto"/>
              <w:right w:val="single" w:sz="4" w:space="0" w:color="auto"/>
            </w:tcBorders>
            <w:vAlign w:val="center"/>
            <w:hideMark/>
          </w:tcPr>
          <w:p w14:paraId="14B00E84" w14:textId="77777777" w:rsidR="00B0797C" w:rsidRPr="00B0797C" w:rsidRDefault="00B0797C" w:rsidP="00A62975">
            <w:pPr>
              <w:jc w:val="center"/>
              <w:rPr>
                <w:sz w:val="20"/>
                <w:szCs w:val="20"/>
                <w:lang w:val="es-ES"/>
              </w:rPr>
            </w:pPr>
            <w:r w:rsidRPr="00B0797C">
              <w:rPr>
                <w:sz w:val="20"/>
                <w:lang w:val="es-ES"/>
              </w:rPr>
              <w:t>0</w:t>
            </w:r>
          </w:p>
        </w:tc>
      </w:tr>
      <w:tr w:rsidR="00B0797C" w:rsidRPr="00B0797C" w14:paraId="20D06CA6" w14:textId="77777777" w:rsidTr="00B0797C">
        <w:tc>
          <w:tcPr>
            <w:tcW w:w="1389" w:type="dxa"/>
            <w:tcBorders>
              <w:top w:val="nil"/>
              <w:left w:val="single" w:sz="4" w:space="0" w:color="auto"/>
              <w:bottom w:val="single" w:sz="4" w:space="0" w:color="auto"/>
              <w:right w:val="single" w:sz="4" w:space="0" w:color="auto"/>
            </w:tcBorders>
            <w:noWrap/>
            <w:vAlign w:val="center"/>
            <w:hideMark/>
          </w:tcPr>
          <w:p w14:paraId="758E7A2B" w14:textId="77777777" w:rsidR="00B0797C" w:rsidRPr="00B0797C" w:rsidRDefault="00B0797C" w:rsidP="00A62975">
            <w:pPr>
              <w:rPr>
                <w:color w:val="000000"/>
                <w:sz w:val="20"/>
                <w:szCs w:val="20"/>
                <w:lang w:val="es-ES"/>
              </w:rPr>
            </w:pPr>
            <w:r w:rsidRPr="00B0797C">
              <w:rPr>
                <w:color w:val="000000"/>
                <w:sz w:val="20"/>
                <w:lang w:val="es-ES"/>
              </w:rPr>
              <w:t>Francia</w:t>
            </w:r>
          </w:p>
        </w:tc>
        <w:tc>
          <w:tcPr>
            <w:tcW w:w="1875" w:type="dxa"/>
            <w:tcBorders>
              <w:top w:val="nil"/>
              <w:left w:val="nil"/>
              <w:bottom w:val="single" w:sz="4" w:space="0" w:color="auto"/>
              <w:right w:val="single" w:sz="4" w:space="0" w:color="auto"/>
            </w:tcBorders>
            <w:noWrap/>
            <w:vAlign w:val="bottom"/>
            <w:hideMark/>
          </w:tcPr>
          <w:p w14:paraId="75F1C4CB" w14:textId="77777777" w:rsidR="00B0797C" w:rsidRPr="00B0797C" w:rsidRDefault="00B0797C" w:rsidP="00A62975">
            <w:pPr>
              <w:jc w:val="center"/>
              <w:rPr>
                <w:sz w:val="20"/>
                <w:szCs w:val="20"/>
                <w:lang w:val="es-ES"/>
              </w:rPr>
            </w:pPr>
            <w:r w:rsidRPr="00B0797C">
              <w:rPr>
                <w:sz w:val="20"/>
                <w:lang w:val="es-ES"/>
              </w:rPr>
              <w:t>6</w:t>
            </w:r>
          </w:p>
        </w:tc>
        <w:tc>
          <w:tcPr>
            <w:tcW w:w="2128" w:type="dxa"/>
            <w:tcBorders>
              <w:top w:val="nil"/>
              <w:left w:val="nil"/>
              <w:bottom w:val="single" w:sz="4" w:space="0" w:color="auto"/>
              <w:right w:val="single" w:sz="4" w:space="0" w:color="auto"/>
            </w:tcBorders>
            <w:noWrap/>
            <w:vAlign w:val="center"/>
            <w:hideMark/>
          </w:tcPr>
          <w:p w14:paraId="5717A5A4" w14:textId="77777777" w:rsidR="00B0797C" w:rsidRPr="00B0797C" w:rsidRDefault="00B0797C" w:rsidP="00A62975">
            <w:pPr>
              <w:jc w:val="center"/>
              <w:rPr>
                <w:sz w:val="20"/>
                <w:szCs w:val="20"/>
                <w:lang w:val="es-ES"/>
              </w:rPr>
            </w:pPr>
            <w:r w:rsidRPr="00B0797C">
              <w:rPr>
                <w:sz w:val="20"/>
                <w:lang w:val="es-ES"/>
              </w:rPr>
              <w:t>5</w:t>
            </w:r>
          </w:p>
        </w:tc>
        <w:tc>
          <w:tcPr>
            <w:tcW w:w="1986" w:type="dxa"/>
            <w:tcBorders>
              <w:top w:val="nil"/>
              <w:left w:val="nil"/>
              <w:bottom w:val="single" w:sz="4" w:space="0" w:color="auto"/>
              <w:right w:val="single" w:sz="4" w:space="0" w:color="auto"/>
            </w:tcBorders>
            <w:noWrap/>
            <w:vAlign w:val="center"/>
            <w:hideMark/>
          </w:tcPr>
          <w:p w14:paraId="413A7532" w14:textId="77777777" w:rsidR="00B0797C" w:rsidRPr="00B0797C" w:rsidRDefault="00B0797C" w:rsidP="00A62975">
            <w:pPr>
              <w:jc w:val="center"/>
              <w:rPr>
                <w:sz w:val="20"/>
                <w:szCs w:val="20"/>
                <w:lang w:val="es-ES"/>
              </w:rPr>
            </w:pPr>
            <w:r w:rsidRPr="00B0797C">
              <w:rPr>
                <w:sz w:val="20"/>
                <w:lang w:val="es-ES"/>
              </w:rPr>
              <w:t>1</w:t>
            </w:r>
          </w:p>
        </w:tc>
        <w:tc>
          <w:tcPr>
            <w:tcW w:w="1987" w:type="dxa"/>
            <w:tcBorders>
              <w:top w:val="nil"/>
              <w:left w:val="nil"/>
              <w:bottom w:val="single" w:sz="4" w:space="0" w:color="auto"/>
              <w:right w:val="single" w:sz="4" w:space="0" w:color="auto"/>
            </w:tcBorders>
            <w:vAlign w:val="center"/>
            <w:hideMark/>
          </w:tcPr>
          <w:p w14:paraId="7AAED93A" w14:textId="77777777" w:rsidR="00B0797C" w:rsidRPr="00B0797C" w:rsidRDefault="00B0797C" w:rsidP="00A62975">
            <w:pPr>
              <w:jc w:val="center"/>
              <w:rPr>
                <w:sz w:val="20"/>
                <w:szCs w:val="20"/>
                <w:lang w:val="es-ES"/>
              </w:rPr>
            </w:pPr>
            <w:r w:rsidRPr="00B0797C">
              <w:rPr>
                <w:sz w:val="20"/>
                <w:lang w:val="es-ES"/>
              </w:rPr>
              <w:t>0</w:t>
            </w:r>
          </w:p>
        </w:tc>
      </w:tr>
      <w:tr w:rsidR="00B0797C" w:rsidRPr="00B0797C" w14:paraId="3254933D" w14:textId="77777777" w:rsidTr="00B0797C">
        <w:tc>
          <w:tcPr>
            <w:tcW w:w="1389" w:type="dxa"/>
            <w:tcBorders>
              <w:top w:val="nil"/>
              <w:left w:val="single" w:sz="4" w:space="0" w:color="auto"/>
              <w:bottom w:val="single" w:sz="4" w:space="0" w:color="auto"/>
              <w:right w:val="single" w:sz="4" w:space="0" w:color="auto"/>
            </w:tcBorders>
            <w:noWrap/>
            <w:vAlign w:val="center"/>
            <w:hideMark/>
          </w:tcPr>
          <w:p w14:paraId="76E4E967" w14:textId="77777777" w:rsidR="00B0797C" w:rsidRPr="00B0797C" w:rsidRDefault="00B0797C" w:rsidP="00A62975">
            <w:pPr>
              <w:rPr>
                <w:color w:val="000000"/>
                <w:sz w:val="20"/>
                <w:szCs w:val="20"/>
                <w:lang w:val="es-ES"/>
              </w:rPr>
            </w:pPr>
            <w:r w:rsidRPr="00B0797C">
              <w:rPr>
                <w:color w:val="000000"/>
                <w:sz w:val="20"/>
                <w:lang w:val="es-ES"/>
              </w:rPr>
              <w:t>Alemania</w:t>
            </w:r>
          </w:p>
        </w:tc>
        <w:tc>
          <w:tcPr>
            <w:tcW w:w="1875" w:type="dxa"/>
            <w:tcBorders>
              <w:top w:val="nil"/>
              <w:left w:val="nil"/>
              <w:bottom w:val="single" w:sz="4" w:space="0" w:color="auto"/>
              <w:right w:val="single" w:sz="4" w:space="0" w:color="auto"/>
            </w:tcBorders>
            <w:noWrap/>
            <w:vAlign w:val="bottom"/>
            <w:hideMark/>
          </w:tcPr>
          <w:p w14:paraId="46DB1119" w14:textId="77777777" w:rsidR="00B0797C" w:rsidRPr="00B0797C" w:rsidRDefault="00B0797C" w:rsidP="00A62975">
            <w:pPr>
              <w:jc w:val="center"/>
              <w:rPr>
                <w:sz w:val="20"/>
                <w:szCs w:val="20"/>
                <w:lang w:val="es-ES"/>
              </w:rPr>
            </w:pPr>
            <w:r w:rsidRPr="00B0797C">
              <w:rPr>
                <w:sz w:val="20"/>
                <w:lang w:val="es-ES"/>
              </w:rPr>
              <w:t>10</w:t>
            </w:r>
          </w:p>
        </w:tc>
        <w:tc>
          <w:tcPr>
            <w:tcW w:w="2128" w:type="dxa"/>
            <w:tcBorders>
              <w:top w:val="nil"/>
              <w:left w:val="nil"/>
              <w:bottom w:val="single" w:sz="4" w:space="0" w:color="auto"/>
              <w:right w:val="single" w:sz="4" w:space="0" w:color="auto"/>
            </w:tcBorders>
            <w:noWrap/>
            <w:vAlign w:val="bottom"/>
            <w:hideMark/>
          </w:tcPr>
          <w:p w14:paraId="5D2BCF83" w14:textId="77777777" w:rsidR="00B0797C" w:rsidRPr="00B0797C" w:rsidRDefault="00B0797C" w:rsidP="00A62975">
            <w:pPr>
              <w:jc w:val="center"/>
              <w:rPr>
                <w:sz w:val="20"/>
                <w:szCs w:val="20"/>
                <w:lang w:val="es-ES"/>
              </w:rPr>
            </w:pPr>
            <w:r w:rsidRPr="00B0797C">
              <w:rPr>
                <w:sz w:val="20"/>
                <w:lang w:val="es-ES"/>
              </w:rPr>
              <w:t>9</w:t>
            </w:r>
          </w:p>
        </w:tc>
        <w:tc>
          <w:tcPr>
            <w:tcW w:w="1986" w:type="dxa"/>
            <w:tcBorders>
              <w:top w:val="nil"/>
              <w:left w:val="nil"/>
              <w:bottom w:val="single" w:sz="4" w:space="0" w:color="auto"/>
              <w:right w:val="single" w:sz="4" w:space="0" w:color="auto"/>
            </w:tcBorders>
            <w:noWrap/>
            <w:vAlign w:val="center"/>
            <w:hideMark/>
          </w:tcPr>
          <w:p w14:paraId="74C4AFD9" w14:textId="77777777" w:rsidR="00B0797C" w:rsidRPr="00B0797C" w:rsidRDefault="00B0797C" w:rsidP="00A62975">
            <w:pPr>
              <w:jc w:val="center"/>
              <w:rPr>
                <w:sz w:val="20"/>
                <w:szCs w:val="20"/>
                <w:lang w:val="es-ES"/>
              </w:rPr>
            </w:pPr>
            <w:r w:rsidRPr="00B0797C">
              <w:rPr>
                <w:sz w:val="20"/>
                <w:lang w:val="es-ES"/>
              </w:rPr>
              <w:t>0</w:t>
            </w:r>
          </w:p>
        </w:tc>
        <w:tc>
          <w:tcPr>
            <w:tcW w:w="1987" w:type="dxa"/>
            <w:tcBorders>
              <w:top w:val="nil"/>
              <w:left w:val="nil"/>
              <w:bottom w:val="single" w:sz="4" w:space="0" w:color="auto"/>
              <w:right w:val="single" w:sz="4" w:space="0" w:color="auto"/>
            </w:tcBorders>
            <w:vAlign w:val="center"/>
            <w:hideMark/>
          </w:tcPr>
          <w:p w14:paraId="389B212D" w14:textId="77777777" w:rsidR="00B0797C" w:rsidRPr="00B0797C" w:rsidRDefault="00B0797C" w:rsidP="00A62975">
            <w:pPr>
              <w:jc w:val="center"/>
              <w:rPr>
                <w:sz w:val="20"/>
                <w:szCs w:val="20"/>
                <w:lang w:val="es-ES"/>
              </w:rPr>
            </w:pPr>
            <w:r w:rsidRPr="00B0797C">
              <w:rPr>
                <w:sz w:val="20"/>
                <w:lang w:val="es-ES"/>
              </w:rPr>
              <w:t>1</w:t>
            </w:r>
          </w:p>
        </w:tc>
      </w:tr>
      <w:tr w:rsidR="00B0797C" w:rsidRPr="00B0797C" w14:paraId="146D661F" w14:textId="77777777" w:rsidTr="00B0797C">
        <w:tc>
          <w:tcPr>
            <w:tcW w:w="1389" w:type="dxa"/>
            <w:tcBorders>
              <w:top w:val="nil"/>
              <w:left w:val="single" w:sz="4" w:space="0" w:color="auto"/>
              <w:bottom w:val="single" w:sz="4" w:space="0" w:color="auto"/>
              <w:right w:val="single" w:sz="4" w:space="0" w:color="auto"/>
            </w:tcBorders>
            <w:noWrap/>
            <w:vAlign w:val="center"/>
            <w:hideMark/>
          </w:tcPr>
          <w:p w14:paraId="71A16778" w14:textId="77777777" w:rsidR="00B0797C" w:rsidRPr="00B0797C" w:rsidRDefault="00B0797C" w:rsidP="00A62975">
            <w:pPr>
              <w:rPr>
                <w:color w:val="000000"/>
                <w:sz w:val="20"/>
                <w:szCs w:val="20"/>
                <w:lang w:val="es-ES"/>
              </w:rPr>
            </w:pPr>
            <w:r w:rsidRPr="00B0797C">
              <w:rPr>
                <w:color w:val="000000"/>
                <w:sz w:val="20"/>
                <w:lang w:val="es-ES"/>
              </w:rPr>
              <w:t>Japón</w:t>
            </w:r>
          </w:p>
        </w:tc>
        <w:tc>
          <w:tcPr>
            <w:tcW w:w="1875" w:type="dxa"/>
            <w:tcBorders>
              <w:top w:val="nil"/>
              <w:left w:val="nil"/>
              <w:bottom w:val="single" w:sz="4" w:space="0" w:color="auto"/>
              <w:right w:val="single" w:sz="4" w:space="0" w:color="auto"/>
            </w:tcBorders>
            <w:noWrap/>
            <w:vAlign w:val="bottom"/>
            <w:hideMark/>
          </w:tcPr>
          <w:p w14:paraId="580B5E67" w14:textId="77777777" w:rsidR="00B0797C" w:rsidRPr="00B0797C" w:rsidRDefault="00B0797C" w:rsidP="00A62975">
            <w:pPr>
              <w:jc w:val="center"/>
              <w:rPr>
                <w:sz w:val="20"/>
                <w:szCs w:val="20"/>
                <w:lang w:val="es-ES"/>
              </w:rPr>
            </w:pPr>
            <w:r w:rsidRPr="00B0797C">
              <w:rPr>
                <w:sz w:val="20"/>
                <w:lang w:val="es-ES"/>
              </w:rPr>
              <w:t>1</w:t>
            </w:r>
          </w:p>
        </w:tc>
        <w:tc>
          <w:tcPr>
            <w:tcW w:w="2128" w:type="dxa"/>
            <w:tcBorders>
              <w:top w:val="nil"/>
              <w:left w:val="nil"/>
              <w:bottom w:val="single" w:sz="4" w:space="0" w:color="auto"/>
              <w:right w:val="single" w:sz="4" w:space="0" w:color="auto"/>
            </w:tcBorders>
            <w:noWrap/>
            <w:vAlign w:val="bottom"/>
            <w:hideMark/>
          </w:tcPr>
          <w:p w14:paraId="47318057" w14:textId="77777777" w:rsidR="00B0797C" w:rsidRPr="00B0797C" w:rsidRDefault="00B0797C" w:rsidP="00A62975">
            <w:pPr>
              <w:jc w:val="center"/>
              <w:rPr>
                <w:sz w:val="20"/>
                <w:szCs w:val="20"/>
                <w:lang w:val="es-ES"/>
              </w:rPr>
            </w:pPr>
            <w:r w:rsidRPr="00B0797C">
              <w:rPr>
                <w:sz w:val="20"/>
                <w:lang w:val="es-ES"/>
              </w:rPr>
              <w:t>1</w:t>
            </w:r>
          </w:p>
        </w:tc>
        <w:tc>
          <w:tcPr>
            <w:tcW w:w="1986" w:type="dxa"/>
            <w:tcBorders>
              <w:top w:val="nil"/>
              <w:left w:val="nil"/>
              <w:bottom w:val="single" w:sz="4" w:space="0" w:color="auto"/>
              <w:right w:val="single" w:sz="4" w:space="0" w:color="auto"/>
            </w:tcBorders>
            <w:noWrap/>
            <w:vAlign w:val="center"/>
            <w:hideMark/>
          </w:tcPr>
          <w:p w14:paraId="51156B29" w14:textId="77777777" w:rsidR="00B0797C" w:rsidRPr="00B0797C" w:rsidRDefault="00B0797C" w:rsidP="00A62975">
            <w:pPr>
              <w:jc w:val="center"/>
              <w:rPr>
                <w:sz w:val="20"/>
                <w:szCs w:val="20"/>
                <w:lang w:val="es-ES"/>
              </w:rPr>
            </w:pPr>
            <w:r w:rsidRPr="00B0797C">
              <w:rPr>
                <w:sz w:val="20"/>
                <w:lang w:val="es-ES"/>
              </w:rPr>
              <w:t>0</w:t>
            </w:r>
          </w:p>
        </w:tc>
        <w:tc>
          <w:tcPr>
            <w:tcW w:w="1987" w:type="dxa"/>
            <w:tcBorders>
              <w:top w:val="nil"/>
              <w:left w:val="nil"/>
              <w:bottom w:val="single" w:sz="4" w:space="0" w:color="auto"/>
              <w:right w:val="single" w:sz="4" w:space="0" w:color="auto"/>
            </w:tcBorders>
            <w:vAlign w:val="center"/>
            <w:hideMark/>
          </w:tcPr>
          <w:p w14:paraId="3DBCF0C4" w14:textId="77777777" w:rsidR="00B0797C" w:rsidRPr="00B0797C" w:rsidRDefault="00B0797C" w:rsidP="00A62975">
            <w:pPr>
              <w:jc w:val="center"/>
              <w:rPr>
                <w:sz w:val="20"/>
                <w:szCs w:val="20"/>
                <w:lang w:val="es-ES"/>
              </w:rPr>
            </w:pPr>
            <w:r w:rsidRPr="00B0797C">
              <w:rPr>
                <w:sz w:val="20"/>
                <w:lang w:val="es-ES"/>
              </w:rPr>
              <w:t>0</w:t>
            </w:r>
          </w:p>
        </w:tc>
      </w:tr>
      <w:tr w:rsidR="00B0797C" w:rsidRPr="00B0797C" w14:paraId="14AF5E31" w14:textId="77777777" w:rsidTr="00B0797C">
        <w:tc>
          <w:tcPr>
            <w:tcW w:w="1389" w:type="dxa"/>
            <w:tcBorders>
              <w:top w:val="nil"/>
              <w:left w:val="single" w:sz="4" w:space="0" w:color="auto"/>
              <w:bottom w:val="single" w:sz="4" w:space="0" w:color="auto"/>
              <w:right w:val="single" w:sz="4" w:space="0" w:color="auto"/>
            </w:tcBorders>
            <w:noWrap/>
            <w:vAlign w:val="center"/>
            <w:hideMark/>
          </w:tcPr>
          <w:p w14:paraId="43F381B6" w14:textId="77777777" w:rsidR="00B0797C" w:rsidRPr="00B0797C" w:rsidRDefault="00B0797C" w:rsidP="00A62975">
            <w:pPr>
              <w:rPr>
                <w:color w:val="000000"/>
                <w:sz w:val="20"/>
                <w:szCs w:val="20"/>
                <w:lang w:val="es-ES"/>
              </w:rPr>
            </w:pPr>
            <w:r w:rsidRPr="00B0797C">
              <w:rPr>
                <w:color w:val="000000"/>
                <w:sz w:val="20"/>
                <w:lang w:val="es-ES"/>
              </w:rPr>
              <w:t>PNUD</w:t>
            </w:r>
          </w:p>
        </w:tc>
        <w:tc>
          <w:tcPr>
            <w:tcW w:w="1875" w:type="dxa"/>
            <w:tcBorders>
              <w:top w:val="nil"/>
              <w:left w:val="nil"/>
              <w:bottom w:val="single" w:sz="4" w:space="0" w:color="auto"/>
              <w:right w:val="single" w:sz="4" w:space="0" w:color="auto"/>
            </w:tcBorders>
            <w:noWrap/>
            <w:vAlign w:val="bottom"/>
            <w:hideMark/>
          </w:tcPr>
          <w:p w14:paraId="6FC403C6" w14:textId="77777777" w:rsidR="00B0797C" w:rsidRPr="00B0797C" w:rsidRDefault="00B0797C" w:rsidP="00A62975">
            <w:pPr>
              <w:jc w:val="center"/>
              <w:rPr>
                <w:sz w:val="20"/>
                <w:szCs w:val="20"/>
                <w:lang w:val="es-ES"/>
              </w:rPr>
            </w:pPr>
            <w:r w:rsidRPr="00B0797C">
              <w:rPr>
                <w:sz w:val="20"/>
                <w:lang w:val="es-ES"/>
              </w:rPr>
              <w:t>44</w:t>
            </w:r>
          </w:p>
        </w:tc>
        <w:tc>
          <w:tcPr>
            <w:tcW w:w="2128" w:type="dxa"/>
            <w:tcBorders>
              <w:top w:val="nil"/>
              <w:left w:val="nil"/>
              <w:bottom w:val="single" w:sz="4" w:space="0" w:color="auto"/>
              <w:right w:val="single" w:sz="4" w:space="0" w:color="auto"/>
            </w:tcBorders>
            <w:noWrap/>
            <w:vAlign w:val="bottom"/>
            <w:hideMark/>
          </w:tcPr>
          <w:p w14:paraId="4DD1A8E8" w14:textId="77777777" w:rsidR="00B0797C" w:rsidRPr="00B0797C" w:rsidRDefault="00B0797C" w:rsidP="00A62975">
            <w:pPr>
              <w:jc w:val="center"/>
              <w:rPr>
                <w:sz w:val="20"/>
                <w:szCs w:val="20"/>
                <w:lang w:val="es-ES"/>
              </w:rPr>
            </w:pPr>
            <w:r w:rsidRPr="00B0797C">
              <w:rPr>
                <w:sz w:val="20"/>
                <w:lang w:val="es-ES"/>
              </w:rPr>
              <w:t>42</w:t>
            </w:r>
          </w:p>
        </w:tc>
        <w:tc>
          <w:tcPr>
            <w:tcW w:w="1986" w:type="dxa"/>
            <w:tcBorders>
              <w:top w:val="nil"/>
              <w:left w:val="nil"/>
              <w:bottom w:val="single" w:sz="4" w:space="0" w:color="auto"/>
              <w:right w:val="single" w:sz="4" w:space="0" w:color="auto"/>
            </w:tcBorders>
            <w:noWrap/>
            <w:vAlign w:val="center"/>
            <w:hideMark/>
          </w:tcPr>
          <w:p w14:paraId="7F49AE5C" w14:textId="77777777" w:rsidR="00B0797C" w:rsidRPr="00B0797C" w:rsidRDefault="00B0797C" w:rsidP="00A62975">
            <w:pPr>
              <w:jc w:val="center"/>
              <w:rPr>
                <w:sz w:val="20"/>
                <w:szCs w:val="20"/>
                <w:lang w:val="es-ES"/>
              </w:rPr>
            </w:pPr>
            <w:r w:rsidRPr="00B0797C">
              <w:rPr>
                <w:sz w:val="20"/>
                <w:lang w:val="es-ES"/>
              </w:rPr>
              <w:t>2</w:t>
            </w:r>
          </w:p>
        </w:tc>
        <w:tc>
          <w:tcPr>
            <w:tcW w:w="1987" w:type="dxa"/>
            <w:tcBorders>
              <w:top w:val="nil"/>
              <w:left w:val="nil"/>
              <w:bottom w:val="single" w:sz="4" w:space="0" w:color="auto"/>
              <w:right w:val="single" w:sz="4" w:space="0" w:color="auto"/>
            </w:tcBorders>
            <w:vAlign w:val="center"/>
            <w:hideMark/>
          </w:tcPr>
          <w:p w14:paraId="48B2F6B5" w14:textId="77777777" w:rsidR="00B0797C" w:rsidRPr="00B0797C" w:rsidRDefault="00B0797C" w:rsidP="00A62975">
            <w:pPr>
              <w:jc w:val="center"/>
              <w:rPr>
                <w:sz w:val="20"/>
                <w:szCs w:val="20"/>
                <w:lang w:val="es-ES"/>
              </w:rPr>
            </w:pPr>
            <w:r w:rsidRPr="00B0797C">
              <w:rPr>
                <w:sz w:val="20"/>
                <w:lang w:val="es-ES"/>
              </w:rPr>
              <w:t>0</w:t>
            </w:r>
          </w:p>
        </w:tc>
      </w:tr>
      <w:tr w:rsidR="00B0797C" w:rsidRPr="00B0797C" w14:paraId="193823AF" w14:textId="77777777" w:rsidTr="00B0797C">
        <w:tc>
          <w:tcPr>
            <w:tcW w:w="1389" w:type="dxa"/>
            <w:tcBorders>
              <w:top w:val="nil"/>
              <w:left w:val="single" w:sz="4" w:space="0" w:color="auto"/>
              <w:bottom w:val="single" w:sz="4" w:space="0" w:color="auto"/>
              <w:right w:val="single" w:sz="4" w:space="0" w:color="auto"/>
            </w:tcBorders>
            <w:noWrap/>
            <w:vAlign w:val="center"/>
            <w:hideMark/>
          </w:tcPr>
          <w:p w14:paraId="26BD2883" w14:textId="77777777" w:rsidR="00B0797C" w:rsidRPr="00B0797C" w:rsidRDefault="00B0797C" w:rsidP="00A62975">
            <w:pPr>
              <w:rPr>
                <w:color w:val="000000"/>
                <w:sz w:val="20"/>
                <w:szCs w:val="20"/>
                <w:lang w:val="es-ES"/>
              </w:rPr>
            </w:pPr>
            <w:r w:rsidRPr="00B0797C">
              <w:rPr>
                <w:color w:val="000000"/>
                <w:sz w:val="20"/>
                <w:lang w:val="es-ES"/>
              </w:rPr>
              <w:t>PNUMA</w:t>
            </w:r>
          </w:p>
        </w:tc>
        <w:tc>
          <w:tcPr>
            <w:tcW w:w="1875" w:type="dxa"/>
            <w:tcBorders>
              <w:top w:val="nil"/>
              <w:left w:val="nil"/>
              <w:bottom w:val="single" w:sz="4" w:space="0" w:color="auto"/>
              <w:right w:val="single" w:sz="4" w:space="0" w:color="auto"/>
            </w:tcBorders>
            <w:noWrap/>
            <w:vAlign w:val="bottom"/>
            <w:hideMark/>
          </w:tcPr>
          <w:p w14:paraId="41C7F199" w14:textId="77777777" w:rsidR="00B0797C" w:rsidRPr="00B0797C" w:rsidRDefault="00B0797C" w:rsidP="00A62975">
            <w:pPr>
              <w:jc w:val="center"/>
              <w:rPr>
                <w:sz w:val="20"/>
                <w:szCs w:val="20"/>
                <w:lang w:val="es-ES"/>
              </w:rPr>
            </w:pPr>
            <w:r w:rsidRPr="00B0797C">
              <w:rPr>
                <w:sz w:val="20"/>
                <w:lang w:val="es-ES"/>
              </w:rPr>
              <w:t>61</w:t>
            </w:r>
          </w:p>
        </w:tc>
        <w:tc>
          <w:tcPr>
            <w:tcW w:w="2128" w:type="dxa"/>
            <w:tcBorders>
              <w:top w:val="nil"/>
              <w:left w:val="nil"/>
              <w:bottom w:val="single" w:sz="4" w:space="0" w:color="auto"/>
              <w:right w:val="single" w:sz="4" w:space="0" w:color="auto"/>
            </w:tcBorders>
            <w:noWrap/>
            <w:vAlign w:val="bottom"/>
            <w:hideMark/>
          </w:tcPr>
          <w:p w14:paraId="2E8C436A" w14:textId="77777777" w:rsidR="00B0797C" w:rsidRPr="00B0797C" w:rsidRDefault="00B0797C" w:rsidP="00A62975">
            <w:pPr>
              <w:jc w:val="center"/>
              <w:rPr>
                <w:sz w:val="20"/>
                <w:szCs w:val="20"/>
                <w:lang w:val="es-ES"/>
              </w:rPr>
            </w:pPr>
            <w:r w:rsidRPr="00B0797C">
              <w:rPr>
                <w:sz w:val="20"/>
                <w:lang w:val="es-ES"/>
              </w:rPr>
              <w:t>58</w:t>
            </w:r>
          </w:p>
        </w:tc>
        <w:tc>
          <w:tcPr>
            <w:tcW w:w="1986" w:type="dxa"/>
            <w:tcBorders>
              <w:top w:val="nil"/>
              <w:left w:val="nil"/>
              <w:bottom w:val="single" w:sz="4" w:space="0" w:color="auto"/>
              <w:right w:val="single" w:sz="4" w:space="0" w:color="auto"/>
            </w:tcBorders>
            <w:noWrap/>
            <w:vAlign w:val="center"/>
            <w:hideMark/>
          </w:tcPr>
          <w:p w14:paraId="56030243" w14:textId="77777777" w:rsidR="00B0797C" w:rsidRPr="00B0797C" w:rsidRDefault="00B0797C" w:rsidP="00A62975">
            <w:pPr>
              <w:jc w:val="center"/>
              <w:rPr>
                <w:sz w:val="20"/>
                <w:szCs w:val="20"/>
                <w:lang w:val="es-ES"/>
              </w:rPr>
            </w:pPr>
            <w:r w:rsidRPr="00B0797C">
              <w:rPr>
                <w:sz w:val="20"/>
                <w:lang w:val="es-ES"/>
              </w:rPr>
              <w:t>1*</w:t>
            </w:r>
          </w:p>
        </w:tc>
        <w:tc>
          <w:tcPr>
            <w:tcW w:w="1987" w:type="dxa"/>
            <w:tcBorders>
              <w:top w:val="nil"/>
              <w:left w:val="nil"/>
              <w:bottom w:val="single" w:sz="4" w:space="0" w:color="auto"/>
              <w:right w:val="single" w:sz="4" w:space="0" w:color="auto"/>
            </w:tcBorders>
            <w:vAlign w:val="center"/>
            <w:hideMark/>
          </w:tcPr>
          <w:p w14:paraId="4C7AAC7D" w14:textId="77777777" w:rsidR="00B0797C" w:rsidRPr="00B0797C" w:rsidRDefault="00B0797C" w:rsidP="00A62975">
            <w:pPr>
              <w:jc w:val="center"/>
              <w:rPr>
                <w:sz w:val="20"/>
                <w:szCs w:val="20"/>
                <w:lang w:val="es-ES"/>
              </w:rPr>
            </w:pPr>
            <w:r w:rsidRPr="00B0797C">
              <w:rPr>
                <w:sz w:val="20"/>
                <w:lang w:val="es-ES"/>
              </w:rPr>
              <w:t>2</w:t>
            </w:r>
          </w:p>
        </w:tc>
      </w:tr>
      <w:tr w:rsidR="00B0797C" w:rsidRPr="00B0797C" w14:paraId="6C815D7D" w14:textId="77777777" w:rsidTr="00B0797C">
        <w:tc>
          <w:tcPr>
            <w:tcW w:w="1389" w:type="dxa"/>
            <w:tcBorders>
              <w:top w:val="nil"/>
              <w:left w:val="single" w:sz="4" w:space="0" w:color="auto"/>
              <w:bottom w:val="single" w:sz="4" w:space="0" w:color="auto"/>
              <w:right w:val="single" w:sz="4" w:space="0" w:color="auto"/>
            </w:tcBorders>
            <w:noWrap/>
            <w:vAlign w:val="center"/>
            <w:hideMark/>
          </w:tcPr>
          <w:p w14:paraId="19BDB61C" w14:textId="77777777" w:rsidR="00B0797C" w:rsidRPr="00B0797C" w:rsidRDefault="00B0797C" w:rsidP="00A62975">
            <w:pPr>
              <w:rPr>
                <w:color w:val="000000"/>
                <w:sz w:val="20"/>
                <w:szCs w:val="20"/>
                <w:lang w:val="es-ES"/>
              </w:rPr>
            </w:pPr>
            <w:r w:rsidRPr="00B0797C">
              <w:rPr>
                <w:color w:val="000000"/>
                <w:sz w:val="20"/>
                <w:lang w:val="es-ES"/>
              </w:rPr>
              <w:t>ONUDI</w:t>
            </w:r>
          </w:p>
        </w:tc>
        <w:tc>
          <w:tcPr>
            <w:tcW w:w="1875" w:type="dxa"/>
            <w:tcBorders>
              <w:top w:val="nil"/>
              <w:left w:val="nil"/>
              <w:bottom w:val="single" w:sz="4" w:space="0" w:color="auto"/>
              <w:right w:val="single" w:sz="4" w:space="0" w:color="auto"/>
            </w:tcBorders>
            <w:noWrap/>
            <w:vAlign w:val="bottom"/>
            <w:hideMark/>
          </w:tcPr>
          <w:p w14:paraId="1E00193B" w14:textId="77777777" w:rsidR="00B0797C" w:rsidRPr="00B0797C" w:rsidRDefault="00B0797C" w:rsidP="00A62975">
            <w:pPr>
              <w:jc w:val="center"/>
              <w:rPr>
                <w:sz w:val="20"/>
                <w:szCs w:val="20"/>
                <w:lang w:val="es-ES"/>
              </w:rPr>
            </w:pPr>
            <w:r w:rsidRPr="00B0797C">
              <w:rPr>
                <w:sz w:val="20"/>
                <w:lang w:val="es-ES"/>
              </w:rPr>
              <w:t>56</w:t>
            </w:r>
          </w:p>
        </w:tc>
        <w:tc>
          <w:tcPr>
            <w:tcW w:w="2128" w:type="dxa"/>
            <w:tcBorders>
              <w:top w:val="nil"/>
              <w:left w:val="nil"/>
              <w:bottom w:val="single" w:sz="4" w:space="0" w:color="auto"/>
              <w:right w:val="single" w:sz="4" w:space="0" w:color="auto"/>
            </w:tcBorders>
            <w:noWrap/>
            <w:vAlign w:val="bottom"/>
            <w:hideMark/>
          </w:tcPr>
          <w:p w14:paraId="04D4A3BC" w14:textId="77777777" w:rsidR="00B0797C" w:rsidRPr="00B0797C" w:rsidRDefault="00B0797C" w:rsidP="00A62975">
            <w:pPr>
              <w:jc w:val="center"/>
              <w:rPr>
                <w:sz w:val="20"/>
                <w:szCs w:val="20"/>
                <w:lang w:val="es-ES"/>
              </w:rPr>
            </w:pPr>
            <w:r w:rsidRPr="00B0797C">
              <w:rPr>
                <w:sz w:val="20"/>
                <w:lang w:val="es-ES"/>
              </w:rPr>
              <w:t>52</w:t>
            </w:r>
          </w:p>
        </w:tc>
        <w:tc>
          <w:tcPr>
            <w:tcW w:w="1986" w:type="dxa"/>
            <w:tcBorders>
              <w:top w:val="nil"/>
              <w:left w:val="nil"/>
              <w:bottom w:val="single" w:sz="4" w:space="0" w:color="auto"/>
              <w:right w:val="single" w:sz="4" w:space="0" w:color="auto"/>
            </w:tcBorders>
            <w:noWrap/>
            <w:vAlign w:val="center"/>
            <w:hideMark/>
          </w:tcPr>
          <w:p w14:paraId="6C9A18B8" w14:textId="77777777" w:rsidR="00B0797C" w:rsidRPr="00B0797C" w:rsidRDefault="00B0797C" w:rsidP="00A62975">
            <w:pPr>
              <w:jc w:val="center"/>
              <w:rPr>
                <w:sz w:val="20"/>
                <w:szCs w:val="20"/>
                <w:lang w:val="es-ES"/>
              </w:rPr>
            </w:pPr>
            <w:r w:rsidRPr="00B0797C">
              <w:rPr>
                <w:sz w:val="20"/>
                <w:lang w:val="es-ES"/>
              </w:rPr>
              <w:t>2</w:t>
            </w:r>
          </w:p>
        </w:tc>
        <w:tc>
          <w:tcPr>
            <w:tcW w:w="1987" w:type="dxa"/>
            <w:tcBorders>
              <w:top w:val="nil"/>
              <w:left w:val="nil"/>
              <w:bottom w:val="single" w:sz="4" w:space="0" w:color="auto"/>
              <w:right w:val="single" w:sz="4" w:space="0" w:color="auto"/>
            </w:tcBorders>
            <w:vAlign w:val="center"/>
            <w:hideMark/>
          </w:tcPr>
          <w:p w14:paraId="6EB3383D" w14:textId="77777777" w:rsidR="00B0797C" w:rsidRPr="00B0797C" w:rsidRDefault="00B0797C" w:rsidP="00A62975">
            <w:pPr>
              <w:jc w:val="center"/>
              <w:rPr>
                <w:sz w:val="20"/>
                <w:szCs w:val="20"/>
                <w:lang w:val="es-ES"/>
              </w:rPr>
            </w:pPr>
            <w:r w:rsidRPr="00B0797C">
              <w:rPr>
                <w:sz w:val="20"/>
                <w:lang w:val="es-ES"/>
              </w:rPr>
              <w:t>2</w:t>
            </w:r>
          </w:p>
        </w:tc>
      </w:tr>
      <w:tr w:rsidR="00B0797C" w:rsidRPr="00B0797C" w14:paraId="6B7697F7" w14:textId="77777777" w:rsidTr="00B0797C">
        <w:tc>
          <w:tcPr>
            <w:tcW w:w="1389" w:type="dxa"/>
            <w:tcBorders>
              <w:top w:val="nil"/>
              <w:left w:val="single" w:sz="4" w:space="0" w:color="auto"/>
              <w:bottom w:val="single" w:sz="4" w:space="0" w:color="auto"/>
              <w:right w:val="single" w:sz="4" w:space="0" w:color="auto"/>
            </w:tcBorders>
            <w:noWrap/>
            <w:vAlign w:val="center"/>
            <w:hideMark/>
          </w:tcPr>
          <w:p w14:paraId="39EC82D1" w14:textId="77777777" w:rsidR="00B0797C" w:rsidRPr="00B0797C" w:rsidRDefault="00B0797C" w:rsidP="00A62975">
            <w:pPr>
              <w:rPr>
                <w:color w:val="000000"/>
                <w:sz w:val="20"/>
                <w:szCs w:val="20"/>
                <w:lang w:val="es-ES"/>
              </w:rPr>
            </w:pPr>
            <w:r w:rsidRPr="00B0797C">
              <w:rPr>
                <w:color w:val="000000"/>
                <w:sz w:val="20"/>
                <w:lang w:val="es-ES"/>
              </w:rPr>
              <w:t>Banco Mundial</w:t>
            </w:r>
          </w:p>
        </w:tc>
        <w:tc>
          <w:tcPr>
            <w:tcW w:w="1875" w:type="dxa"/>
            <w:tcBorders>
              <w:top w:val="nil"/>
              <w:left w:val="nil"/>
              <w:bottom w:val="single" w:sz="4" w:space="0" w:color="auto"/>
              <w:right w:val="single" w:sz="4" w:space="0" w:color="auto"/>
            </w:tcBorders>
            <w:noWrap/>
            <w:vAlign w:val="bottom"/>
            <w:hideMark/>
          </w:tcPr>
          <w:p w14:paraId="41634FE3" w14:textId="77777777" w:rsidR="00B0797C" w:rsidRPr="00B0797C" w:rsidRDefault="00B0797C" w:rsidP="00A62975">
            <w:pPr>
              <w:jc w:val="center"/>
              <w:rPr>
                <w:sz w:val="20"/>
                <w:szCs w:val="20"/>
                <w:lang w:val="es-ES"/>
              </w:rPr>
            </w:pPr>
            <w:r w:rsidRPr="00B0797C">
              <w:rPr>
                <w:sz w:val="20"/>
                <w:lang w:val="es-ES"/>
              </w:rPr>
              <w:t>24</w:t>
            </w:r>
          </w:p>
        </w:tc>
        <w:tc>
          <w:tcPr>
            <w:tcW w:w="2128" w:type="dxa"/>
            <w:tcBorders>
              <w:top w:val="nil"/>
              <w:left w:val="nil"/>
              <w:bottom w:val="single" w:sz="4" w:space="0" w:color="auto"/>
              <w:right w:val="single" w:sz="4" w:space="0" w:color="auto"/>
            </w:tcBorders>
            <w:noWrap/>
            <w:vAlign w:val="bottom"/>
            <w:hideMark/>
          </w:tcPr>
          <w:p w14:paraId="19FC87A4" w14:textId="77777777" w:rsidR="00B0797C" w:rsidRPr="00B0797C" w:rsidRDefault="00B0797C" w:rsidP="00A62975">
            <w:pPr>
              <w:jc w:val="center"/>
              <w:rPr>
                <w:sz w:val="20"/>
                <w:szCs w:val="20"/>
                <w:lang w:val="es-ES"/>
              </w:rPr>
            </w:pPr>
            <w:r w:rsidRPr="00B0797C">
              <w:rPr>
                <w:sz w:val="20"/>
                <w:lang w:val="es-ES"/>
              </w:rPr>
              <w:t>14</w:t>
            </w:r>
          </w:p>
        </w:tc>
        <w:tc>
          <w:tcPr>
            <w:tcW w:w="1986" w:type="dxa"/>
            <w:tcBorders>
              <w:top w:val="nil"/>
              <w:left w:val="nil"/>
              <w:bottom w:val="single" w:sz="4" w:space="0" w:color="auto"/>
              <w:right w:val="single" w:sz="4" w:space="0" w:color="auto"/>
            </w:tcBorders>
            <w:noWrap/>
            <w:vAlign w:val="center"/>
            <w:hideMark/>
          </w:tcPr>
          <w:p w14:paraId="07EC5FB2" w14:textId="77777777" w:rsidR="00B0797C" w:rsidRPr="00B0797C" w:rsidRDefault="00B0797C" w:rsidP="00A62975">
            <w:pPr>
              <w:jc w:val="center"/>
              <w:rPr>
                <w:sz w:val="20"/>
                <w:szCs w:val="20"/>
                <w:lang w:val="es-ES"/>
              </w:rPr>
            </w:pPr>
            <w:r w:rsidRPr="00B0797C">
              <w:rPr>
                <w:sz w:val="20"/>
                <w:lang w:val="es-ES"/>
              </w:rPr>
              <w:t>4</w:t>
            </w:r>
          </w:p>
        </w:tc>
        <w:tc>
          <w:tcPr>
            <w:tcW w:w="1987" w:type="dxa"/>
            <w:tcBorders>
              <w:top w:val="nil"/>
              <w:left w:val="nil"/>
              <w:bottom w:val="single" w:sz="4" w:space="0" w:color="auto"/>
              <w:right w:val="single" w:sz="4" w:space="0" w:color="auto"/>
            </w:tcBorders>
            <w:vAlign w:val="center"/>
            <w:hideMark/>
          </w:tcPr>
          <w:p w14:paraId="121FDD39" w14:textId="77777777" w:rsidR="00B0797C" w:rsidRPr="00B0797C" w:rsidRDefault="00B0797C" w:rsidP="00A62975">
            <w:pPr>
              <w:jc w:val="center"/>
              <w:rPr>
                <w:sz w:val="20"/>
                <w:szCs w:val="20"/>
                <w:lang w:val="es-ES"/>
              </w:rPr>
            </w:pPr>
            <w:r w:rsidRPr="00B0797C">
              <w:rPr>
                <w:sz w:val="20"/>
                <w:lang w:val="es-ES"/>
              </w:rPr>
              <w:t>6</w:t>
            </w:r>
          </w:p>
        </w:tc>
      </w:tr>
      <w:tr w:rsidR="00B0797C" w:rsidRPr="00B0797C" w14:paraId="439E10F4" w14:textId="77777777" w:rsidTr="00B0797C">
        <w:tc>
          <w:tcPr>
            <w:tcW w:w="1389" w:type="dxa"/>
            <w:tcBorders>
              <w:top w:val="nil"/>
              <w:left w:val="single" w:sz="4" w:space="0" w:color="auto"/>
              <w:bottom w:val="single" w:sz="4" w:space="0" w:color="auto"/>
              <w:right w:val="single" w:sz="4" w:space="0" w:color="auto"/>
            </w:tcBorders>
            <w:noWrap/>
            <w:vAlign w:val="center"/>
            <w:hideMark/>
          </w:tcPr>
          <w:p w14:paraId="3FB0CAC7" w14:textId="77777777" w:rsidR="00B0797C" w:rsidRPr="00B0797C" w:rsidRDefault="00B0797C" w:rsidP="00A62975">
            <w:pPr>
              <w:contextualSpacing/>
              <w:rPr>
                <w:b/>
                <w:bCs/>
                <w:color w:val="000000"/>
                <w:sz w:val="20"/>
                <w:szCs w:val="20"/>
                <w:lang w:val="es-ES"/>
              </w:rPr>
            </w:pPr>
            <w:r w:rsidRPr="00B0797C">
              <w:rPr>
                <w:b/>
                <w:color w:val="000000"/>
                <w:sz w:val="20"/>
                <w:lang w:val="es-ES"/>
              </w:rPr>
              <w:t>Total</w:t>
            </w:r>
          </w:p>
        </w:tc>
        <w:tc>
          <w:tcPr>
            <w:tcW w:w="1875" w:type="dxa"/>
            <w:tcBorders>
              <w:top w:val="nil"/>
              <w:left w:val="nil"/>
              <w:bottom w:val="single" w:sz="4" w:space="0" w:color="auto"/>
              <w:right w:val="single" w:sz="4" w:space="0" w:color="auto"/>
            </w:tcBorders>
            <w:noWrap/>
            <w:vAlign w:val="center"/>
            <w:hideMark/>
          </w:tcPr>
          <w:p w14:paraId="7C600B6E" w14:textId="77777777" w:rsidR="00B0797C" w:rsidRPr="00B0797C" w:rsidRDefault="00B0797C" w:rsidP="00A62975">
            <w:pPr>
              <w:contextualSpacing/>
              <w:jc w:val="center"/>
              <w:rPr>
                <w:b/>
                <w:bCs/>
                <w:sz w:val="20"/>
                <w:szCs w:val="20"/>
                <w:lang w:val="es-ES"/>
              </w:rPr>
            </w:pPr>
            <w:r w:rsidRPr="00B0797C">
              <w:rPr>
                <w:b/>
                <w:sz w:val="20"/>
                <w:lang w:val="es-ES"/>
              </w:rPr>
              <w:t>205</w:t>
            </w:r>
          </w:p>
        </w:tc>
        <w:tc>
          <w:tcPr>
            <w:tcW w:w="2128" w:type="dxa"/>
            <w:tcBorders>
              <w:top w:val="nil"/>
              <w:left w:val="nil"/>
              <w:bottom w:val="single" w:sz="4" w:space="0" w:color="auto"/>
              <w:right w:val="single" w:sz="4" w:space="0" w:color="auto"/>
            </w:tcBorders>
            <w:noWrap/>
            <w:vAlign w:val="center"/>
            <w:hideMark/>
          </w:tcPr>
          <w:p w14:paraId="0BA384AF" w14:textId="77777777" w:rsidR="00B0797C" w:rsidRPr="00B0797C" w:rsidRDefault="00B0797C" w:rsidP="00A62975">
            <w:pPr>
              <w:contextualSpacing/>
              <w:jc w:val="center"/>
              <w:rPr>
                <w:b/>
                <w:bCs/>
                <w:sz w:val="20"/>
                <w:szCs w:val="20"/>
                <w:lang w:val="es-ES"/>
              </w:rPr>
            </w:pPr>
            <w:r w:rsidRPr="00B0797C">
              <w:rPr>
                <w:b/>
                <w:sz w:val="20"/>
                <w:lang w:val="es-ES"/>
              </w:rPr>
              <w:t>184</w:t>
            </w:r>
          </w:p>
        </w:tc>
        <w:tc>
          <w:tcPr>
            <w:tcW w:w="1986" w:type="dxa"/>
            <w:tcBorders>
              <w:top w:val="nil"/>
              <w:left w:val="nil"/>
              <w:bottom w:val="single" w:sz="4" w:space="0" w:color="auto"/>
              <w:right w:val="single" w:sz="4" w:space="0" w:color="auto"/>
            </w:tcBorders>
            <w:noWrap/>
            <w:vAlign w:val="center"/>
            <w:hideMark/>
          </w:tcPr>
          <w:p w14:paraId="1B25DBA8" w14:textId="77777777" w:rsidR="00B0797C" w:rsidRPr="00B0797C" w:rsidRDefault="00B0797C" w:rsidP="00A62975">
            <w:pPr>
              <w:contextualSpacing/>
              <w:jc w:val="center"/>
              <w:rPr>
                <w:b/>
                <w:bCs/>
                <w:sz w:val="20"/>
                <w:szCs w:val="20"/>
                <w:lang w:val="es-ES"/>
              </w:rPr>
            </w:pPr>
            <w:r w:rsidRPr="00B0797C">
              <w:rPr>
                <w:b/>
                <w:sz w:val="20"/>
                <w:lang w:val="es-ES"/>
              </w:rPr>
              <w:t>10</w:t>
            </w:r>
          </w:p>
        </w:tc>
        <w:tc>
          <w:tcPr>
            <w:tcW w:w="1987" w:type="dxa"/>
            <w:tcBorders>
              <w:top w:val="nil"/>
              <w:left w:val="nil"/>
              <w:bottom w:val="single" w:sz="4" w:space="0" w:color="auto"/>
              <w:right w:val="single" w:sz="4" w:space="0" w:color="auto"/>
            </w:tcBorders>
            <w:vAlign w:val="center"/>
            <w:hideMark/>
          </w:tcPr>
          <w:p w14:paraId="16688AB5" w14:textId="77777777" w:rsidR="00B0797C" w:rsidRPr="00B0797C" w:rsidRDefault="00B0797C" w:rsidP="00A62975">
            <w:pPr>
              <w:contextualSpacing/>
              <w:jc w:val="center"/>
              <w:rPr>
                <w:b/>
                <w:bCs/>
                <w:sz w:val="20"/>
                <w:szCs w:val="20"/>
                <w:lang w:val="es-ES"/>
              </w:rPr>
            </w:pPr>
            <w:r w:rsidRPr="00B0797C">
              <w:rPr>
                <w:b/>
                <w:sz w:val="20"/>
                <w:lang w:val="es-ES"/>
              </w:rPr>
              <w:t>11</w:t>
            </w:r>
          </w:p>
        </w:tc>
      </w:tr>
    </w:tbl>
    <w:p w14:paraId="21FD3A42" w14:textId="77777777" w:rsidR="00B0797C" w:rsidRPr="00B0797C" w:rsidRDefault="00B0797C" w:rsidP="00A62975">
      <w:pPr>
        <w:pStyle w:val="Heading1"/>
        <w:numPr>
          <w:ilvl w:val="0"/>
          <w:numId w:val="0"/>
        </w:numPr>
        <w:rPr>
          <w:sz w:val="20"/>
          <w:lang w:val="es-ES"/>
        </w:rPr>
      </w:pPr>
      <w:r w:rsidRPr="00B0797C">
        <w:rPr>
          <w:sz w:val="20"/>
          <w:lang w:val="es-ES"/>
        </w:rPr>
        <w:t>* El PNUMA presentó tres informes de terminación de proyecto de acuerdos plurianuales después de la fecha límite.</w:t>
      </w:r>
    </w:p>
    <w:p w14:paraId="0AB0B2BF" w14:textId="77777777" w:rsidR="00B0797C" w:rsidRPr="00B0797C" w:rsidRDefault="00B0797C" w:rsidP="00A62975">
      <w:pPr>
        <w:pStyle w:val="Heading1"/>
        <w:numPr>
          <w:ilvl w:val="0"/>
          <w:numId w:val="21"/>
        </w:numPr>
        <w:spacing w:before="240"/>
        <w:rPr>
          <w:lang w:val="es-ES"/>
        </w:rPr>
      </w:pPr>
      <w:r w:rsidRPr="00B0797C">
        <w:rPr>
          <w:lang w:val="es-ES"/>
        </w:rPr>
        <w:t xml:space="preserve">En el Cuadro 2 se presenta un análisis de los fondos desembolsados totales, las ODS eliminadas y las demoras en la terminación de los 10 informes de terminación de proyectos de los acuerdos plurianuales. </w:t>
      </w:r>
    </w:p>
    <w:p w14:paraId="37C608C7" w14:textId="77777777" w:rsidR="00B0797C" w:rsidRPr="00B0797C" w:rsidRDefault="00B0797C" w:rsidP="00A62975">
      <w:pPr>
        <w:pStyle w:val="Heading1"/>
        <w:numPr>
          <w:ilvl w:val="0"/>
          <w:numId w:val="0"/>
        </w:numPr>
        <w:tabs>
          <w:tab w:val="left" w:pos="720"/>
        </w:tabs>
        <w:spacing w:after="0"/>
        <w:rPr>
          <w:b/>
          <w:lang w:val="es-ES"/>
        </w:rPr>
      </w:pPr>
      <w:r w:rsidRPr="00B0797C">
        <w:rPr>
          <w:b/>
          <w:lang w:val="es-ES"/>
        </w:rPr>
        <w:t>Cuadro 2. Reseña del presupuesto, las SAO eliminadas y las demoras de los informes de terminación de proyectos de acuerdos plurianuales presentados después de la 84ª reunión</w:t>
      </w:r>
    </w:p>
    <w:tbl>
      <w:tblPr>
        <w:tblW w:w="4858" w:type="pct"/>
        <w:tblLook w:val="04A0" w:firstRow="1" w:lastRow="0" w:firstColumn="1" w:lastColumn="0" w:noHBand="0" w:noVBand="1"/>
      </w:tblPr>
      <w:tblGrid>
        <w:gridCol w:w="1455"/>
        <w:gridCol w:w="1216"/>
        <w:gridCol w:w="1439"/>
        <w:gridCol w:w="1083"/>
        <w:gridCol w:w="666"/>
        <w:gridCol w:w="1083"/>
        <w:gridCol w:w="1020"/>
        <w:gridCol w:w="1122"/>
      </w:tblGrid>
      <w:tr w:rsidR="00B0797C" w:rsidRPr="00B0797C" w14:paraId="68566220" w14:textId="77777777" w:rsidTr="00B0797C">
        <w:trPr>
          <w:trHeight w:val="290"/>
        </w:trPr>
        <w:tc>
          <w:tcPr>
            <w:tcW w:w="70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4B8765" w14:textId="77777777" w:rsidR="00B0797C" w:rsidRPr="00B0797C" w:rsidRDefault="00B0797C" w:rsidP="00A62975">
            <w:pPr>
              <w:jc w:val="left"/>
              <w:rPr>
                <w:b/>
                <w:bCs/>
                <w:color w:val="000000"/>
                <w:sz w:val="20"/>
                <w:szCs w:val="20"/>
                <w:lang w:val="es-ES"/>
              </w:rPr>
            </w:pPr>
            <w:r w:rsidRPr="00B0797C">
              <w:rPr>
                <w:b/>
                <w:color w:val="000000"/>
                <w:sz w:val="20"/>
                <w:lang w:val="es-ES"/>
              </w:rPr>
              <w:t>Organismo principal</w:t>
            </w:r>
          </w:p>
        </w:tc>
        <w:tc>
          <w:tcPr>
            <w:tcW w:w="1338" w:type="pct"/>
            <w:gridSpan w:val="2"/>
            <w:tcBorders>
              <w:top w:val="single" w:sz="4" w:space="0" w:color="auto"/>
              <w:left w:val="nil"/>
              <w:bottom w:val="single" w:sz="4" w:space="0" w:color="auto"/>
              <w:right w:val="single" w:sz="4" w:space="0" w:color="auto"/>
            </w:tcBorders>
            <w:shd w:val="clear" w:color="auto" w:fill="auto"/>
            <w:vAlign w:val="center"/>
            <w:hideMark/>
          </w:tcPr>
          <w:p w14:paraId="43960402" w14:textId="77777777" w:rsidR="00B0797C" w:rsidRPr="00B0797C" w:rsidRDefault="00B0797C" w:rsidP="00A62975">
            <w:pPr>
              <w:jc w:val="center"/>
              <w:rPr>
                <w:b/>
                <w:bCs/>
                <w:color w:val="000000"/>
                <w:sz w:val="20"/>
                <w:szCs w:val="20"/>
                <w:lang w:val="es-ES"/>
              </w:rPr>
            </w:pPr>
            <w:r w:rsidRPr="00B0797C">
              <w:rPr>
                <w:b/>
                <w:color w:val="000000"/>
                <w:sz w:val="20"/>
                <w:lang w:val="es-ES"/>
              </w:rPr>
              <w:t>Fondos de acuerdos plurianuales ($EUA)</w:t>
            </w:r>
          </w:p>
        </w:tc>
        <w:tc>
          <w:tcPr>
            <w:tcW w:w="1021" w:type="pct"/>
            <w:gridSpan w:val="2"/>
            <w:tcBorders>
              <w:top w:val="single" w:sz="4" w:space="0" w:color="auto"/>
              <w:left w:val="nil"/>
              <w:bottom w:val="single" w:sz="4" w:space="0" w:color="auto"/>
              <w:right w:val="single" w:sz="4" w:space="0" w:color="auto"/>
            </w:tcBorders>
            <w:shd w:val="clear" w:color="auto" w:fill="auto"/>
            <w:vAlign w:val="center"/>
            <w:hideMark/>
          </w:tcPr>
          <w:p w14:paraId="6D24A427" w14:textId="77777777" w:rsidR="00B0797C" w:rsidRPr="00B0797C" w:rsidRDefault="00B0797C" w:rsidP="00A62975">
            <w:pPr>
              <w:jc w:val="center"/>
              <w:rPr>
                <w:b/>
                <w:bCs/>
                <w:color w:val="000000"/>
                <w:sz w:val="20"/>
                <w:szCs w:val="20"/>
                <w:lang w:val="es-ES"/>
              </w:rPr>
            </w:pPr>
            <w:r w:rsidRPr="00B0797C">
              <w:rPr>
                <w:b/>
                <w:color w:val="000000"/>
                <w:sz w:val="20"/>
                <w:lang w:val="es-ES"/>
              </w:rPr>
              <w:t>Consumo</w:t>
            </w:r>
            <w:r w:rsidRPr="00B0797C">
              <w:rPr>
                <w:b/>
                <w:color w:val="000000"/>
                <w:sz w:val="20"/>
                <w:lang w:val="es-ES"/>
              </w:rPr>
              <w:br/>
              <w:t>Toneladas PAO eliminadas</w:t>
            </w:r>
          </w:p>
        </w:tc>
        <w:tc>
          <w:tcPr>
            <w:tcW w:w="1238" w:type="pct"/>
            <w:gridSpan w:val="2"/>
            <w:tcBorders>
              <w:top w:val="single" w:sz="4" w:space="0" w:color="auto"/>
              <w:left w:val="nil"/>
              <w:bottom w:val="single" w:sz="4" w:space="0" w:color="auto"/>
              <w:right w:val="single" w:sz="4" w:space="0" w:color="auto"/>
            </w:tcBorders>
            <w:shd w:val="clear" w:color="auto" w:fill="auto"/>
            <w:vAlign w:val="center"/>
            <w:hideMark/>
          </w:tcPr>
          <w:p w14:paraId="31BA6DCC" w14:textId="77777777" w:rsidR="00B0797C" w:rsidRPr="00B0797C" w:rsidRDefault="00B0797C" w:rsidP="00A62975">
            <w:pPr>
              <w:jc w:val="center"/>
              <w:rPr>
                <w:b/>
                <w:bCs/>
                <w:color w:val="000000"/>
                <w:sz w:val="20"/>
                <w:szCs w:val="20"/>
                <w:lang w:val="es-ES"/>
              </w:rPr>
            </w:pPr>
            <w:r w:rsidRPr="00B0797C">
              <w:rPr>
                <w:b/>
                <w:color w:val="000000"/>
                <w:sz w:val="20"/>
                <w:lang w:val="es-ES"/>
              </w:rPr>
              <w:t xml:space="preserve">Producción </w:t>
            </w:r>
            <w:r w:rsidRPr="00B0797C">
              <w:rPr>
                <w:b/>
                <w:color w:val="000000"/>
                <w:sz w:val="20"/>
                <w:lang w:val="es-ES"/>
              </w:rPr>
              <w:br/>
              <w:t>Toneladas PAO eliminadas</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2E7E0" w14:textId="77777777" w:rsidR="00B0797C" w:rsidRPr="00B0797C" w:rsidRDefault="00B0797C" w:rsidP="00A62975">
            <w:pPr>
              <w:jc w:val="center"/>
              <w:rPr>
                <w:b/>
                <w:bCs/>
                <w:color w:val="000000"/>
                <w:sz w:val="20"/>
                <w:szCs w:val="20"/>
                <w:lang w:val="es-ES"/>
              </w:rPr>
            </w:pPr>
            <w:r w:rsidRPr="00B0797C">
              <w:rPr>
                <w:b/>
                <w:color w:val="000000"/>
                <w:sz w:val="20"/>
                <w:lang w:val="es-ES"/>
              </w:rPr>
              <w:t>Demora media (en meses)</w:t>
            </w:r>
          </w:p>
        </w:tc>
      </w:tr>
      <w:tr w:rsidR="00B0797C" w:rsidRPr="00B0797C" w14:paraId="3A1C435F" w14:textId="77777777" w:rsidTr="00B0797C">
        <w:trPr>
          <w:trHeight w:val="290"/>
        </w:trPr>
        <w:tc>
          <w:tcPr>
            <w:tcW w:w="709" w:type="pct"/>
            <w:vMerge/>
            <w:tcBorders>
              <w:top w:val="single" w:sz="4" w:space="0" w:color="auto"/>
              <w:left w:val="single" w:sz="4" w:space="0" w:color="auto"/>
              <w:bottom w:val="single" w:sz="4" w:space="0" w:color="auto"/>
              <w:right w:val="single" w:sz="4" w:space="0" w:color="auto"/>
            </w:tcBorders>
            <w:vAlign w:val="center"/>
            <w:hideMark/>
          </w:tcPr>
          <w:p w14:paraId="54FF5917" w14:textId="77777777" w:rsidR="00B0797C" w:rsidRPr="00B0797C" w:rsidRDefault="00B0797C" w:rsidP="00A62975">
            <w:pPr>
              <w:jc w:val="left"/>
              <w:rPr>
                <w:b/>
                <w:bCs/>
                <w:color w:val="000000"/>
                <w:sz w:val="20"/>
                <w:szCs w:val="20"/>
                <w:lang w:val="es-ES"/>
              </w:rPr>
            </w:pPr>
          </w:p>
        </w:tc>
        <w:tc>
          <w:tcPr>
            <w:tcW w:w="669" w:type="pct"/>
            <w:tcBorders>
              <w:top w:val="nil"/>
              <w:left w:val="nil"/>
              <w:bottom w:val="single" w:sz="4" w:space="0" w:color="auto"/>
              <w:right w:val="single" w:sz="4" w:space="0" w:color="auto"/>
            </w:tcBorders>
            <w:shd w:val="clear" w:color="auto" w:fill="auto"/>
            <w:vAlign w:val="center"/>
            <w:hideMark/>
          </w:tcPr>
          <w:p w14:paraId="63099DAC" w14:textId="77777777" w:rsidR="00B0797C" w:rsidRPr="00B0797C" w:rsidRDefault="00B0797C" w:rsidP="00A62975">
            <w:pPr>
              <w:jc w:val="center"/>
              <w:rPr>
                <w:b/>
                <w:bCs/>
                <w:color w:val="000000"/>
                <w:sz w:val="20"/>
                <w:szCs w:val="20"/>
                <w:lang w:val="es-ES"/>
              </w:rPr>
            </w:pPr>
            <w:r w:rsidRPr="00B0797C">
              <w:rPr>
                <w:b/>
                <w:color w:val="000000"/>
                <w:sz w:val="20"/>
                <w:lang w:val="es-ES"/>
              </w:rPr>
              <w:t>Aprobado</w:t>
            </w:r>
          </w:p>
        </w:tc>
        <w:tc>
          <w:tcPr>
            <w:tcW w:w="669" w:type="pct"/>
            <w:tcBorders>
              <w:top w:val="nil"/>
              <w:left w:val="nil"/>
              <w:bottom w:val="single" w:sz="4" w:space="0" w:color="auto"/>
              <w:right w:val="single" w:sz="4" w:space="0" w:color="auto"/>
            </w:tcBorders>
            <w:shd w:val="clear" w:color="auto" w:fill="auto"/>
            <w:vAlign w:val="center"/>
            <w:hideMark/>
          </w:tcPr>
          <w:p w14:paraId="02F2B2EB" w14:textId="77777777" w:rsidR="00B0797C" w:rsidRPr="00B0797C" w:rsidRDefault="00B0797C" w:rsidP="00A62975">
            <w:pPr>
              <w:jc w:val="center"/>
              <w:rPr>
                <w:b/>
                <w:bCs/>
                <w:color w:val="000000"/>
                <w:sz w:val="20"/>
                <w:szCs w:val="20"/>
                <w:lang w:val="es-ES"/>
              </w:rPr>
            </w:pPr>
            <w:r w:rsidRPr="00B0797C">
              <w:rPr>
                <w:b/>
                <w:color w:val="000000"/>
                <w:sz w:val="20"/>
                <w:lang w:val="es-ES"/>
              </w:rPr>
              <w:t>Desembolsado</w:t>
            </w:r>
          </w:p>
        </w:tc>
        <w:tc>
          <w:tcPr>
            <w:tcW w:w="590" w:type="pct"/>
            <w:tcBorders>
              <w:top w:val="nil"/>
              <w:left w:val="nil"/>
              <w:bottom w:val="single" w:sz="4" w:space="0" w:color="auto"/>
              <w:right w:val="single" w:sz="4" w:space="0" w:color="auto"/>
            </w:tcBorders>
            <w:shd w:val="clear" w:color="auto" w:fill="auto"/>
            <w:vAlign w:val="center"/>
            <w:hideMark/>
          </w:tcPr>
          <w:p w14:paraId="33C69646" w14:textId="77777777" w:rsidR="00B0797C" w:rsidRPr="00B0797C" w:rsidRDefault="00B0797C" w:rsidP="00A62975">
            <w:pPr>
              <w:jc w:val="center"/>
              <w:rPr>
                <w:b/>
                <w:bCs/>
                <w:color w:val="000000"/>
                <w:sz w:val="20"/>
                <w:szCs w:val="20"/>
                <w:lang w:val="es-ES"/>
              </w:rPr>
            </w:pPr>
            <w:r w:rsidRPr="00B0797C">
              <w:rPr>
                <w:b/>
                <w:color w:val="000000"/>
                <w:sz w:val="20"/>
                <w:lang w:val="es-ES"/>
              </w:rPr>
              <w:t>Aprobado</w:t>
            </w:r>
          </w:p>
        </w:tc>
        <w:tc>
          <w:tcPr>
            <w:tcW w:w="431" w:type="pct"/>
            <w:tcBorders>
              <w:top w:val="nil"/>
              <w:left w:val="nil"/>
              <w:bottom w:val="single" w:sz="4" w:space="0" w:color="auto"/>
              <w:right w:val="single" w:sz="4" w:space="0" w:color="auto"/>
            </w:tcBorders>
            <w:shd w:val="clear" w:color="auto" w:fill="auto"/>
            <w:vAlign w:val="center"/>
            <w:hideMark/>
          </w:tcPr>
          <w:p w14:paraId="647FB80C" w14:textId="77777777" w:rsidR="00B0797C" w:rsidRPr="00B0797C" w:rsidRDefault="00B0797C" w:rsidP="00A62975">
            <w:pPr>
              <w:jc w:val="center"/>
              <w:rPr>
                <w:b/>
                <w:bCs/>
                <w:color w:val="000000"/>
                <w:sz w:val="20"/>
                <w:szCs w:val="20"/>
                <w:lang w:val="es-ES"/>
              </w:rPr>
            </w:pPr>
            <w:r w:rsidRPr="00B0797C">
              <w:rPr>
                <w:b/>
                <w:color w:val="000000"/>
                <w:sz w:val="20"/>
                <w:lang w:val="es-ES"/>
              </w:rPr>
              <w:t>Real</w:t>
            </w:r>
          </w:p>
        </w:tc>
        <w:tc>
          <w:tcPr>
            <w:tcW w:w="590" w:type="pct"/>
            <w:tcBorders>
              <w:top w:val="nil"/>
              <w:left w:val="nil"/>
              <w:bottom w:val="single" w:sz="4" w:space="0" w:color="auto"/>
              <w:right w:val="single" w:sz="4" w:space="0" w:color="auto"/>
            </w:tcBorders>
            <w:shd w:val="clear" w:color="auto" w:fill="auto"/>
            <w:vAlign w:val="center"/>
            <w:hideMark/>
          </w:tcPr>
          <w:p w14:paraId="12C4932E" w14:textId="77777777" w:rsidR="00B0797C" w:rsidRPr="00B0797C" w:rsidRDefault="00B0797C" w:rsidP="00A62975">
            <w:pPr>
              <w:jc w:val="center"/>
              <w:rPr>
                <w:b/>
                <w:bCs/>
                <w:color w:val="000000"/>
                <w:sz w:val="20"/>
                <w:szCs w:val="20"/>
                <w:lang w:val="es-ES"/>
              </w:rPr>
            </w:pPr>
            <w:r w:rsidRPr="00B0797C">
              <w:rPr>
                <w:b/>
                <w:color w:val="000000"/>
                <w:sz w:val="20"/>
                <w:lang w:val="es-ES"/>
              </w:rPr>
              <w:t>Aprobado</w:t>
            </w:r>
          </w:p>
        </w:tc>
        <w:tc>
          <w:tcPr>
            <w:tcW w:w="648" w:type="pct"/>
            <w:tcBorders>
              <w:top w:val="nil"/>
              <w:left w:val="nil"/>
              <w:bottom w:val="single" w:sz="4" w:space="0" w:color="auto"/>
              <w:right w:val="single" w:sz="4" w:space="0" w:color="auto"/>
            </w:tcBorders>
            <w:shd w:val="clear" w:color="auto" w:fill="auto"/>
            <w:vAlign w:val="center"/>
            <w:hideMark/>
          </w:tcPr>
          <w:p w14:paraId="1A4F17FE" w14:textId="77777777" w:rsidR="00B0797C" w:rsidRPr="00B0797C" w:rsidRDefault="00B0797C" w:rsidP="00A62975">
            <w:pPr>
              <w:jc w:val="center"/>
              <w:rPr>
                <w:b/>
                <w:bCs/>
                <w:color w:val="000000"/>
                <w:sz w:val="20"/>
                <w:szCs w:val="20"/>
                <w:lang w:val="es-ES"/>
              </w:rPr>
            </w:pPr>
            <w:r w:rsidRPr="00B0797C">
              <w:rPr>
                <w:b/>
                <w:color w:val="000000"/>
                <w:sz w:val="20"/>
                <w:lang w:val="es-ES"/>
              </w:rPr>
              <w:t>Real</w:t>
            </w: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67581B4D" w14:textId="77777777" w:rsidR="00B0797C" w:rsidRPr="00B0797C" w:rsidRDefault="00B0797C" w:rsidP="00A62975">
            <w:pPr>
              <w:jc w:val="left"/>
              <w:rPr>
                <w:b/>
                <w:bCs/>
                <w:color w:val="000000"/>
                <w:sz w:val="20"/>
                <w:szCs w:val="20"/>
                <w:lang w:val="es-ES"/>
              </w:rPr>
            </w:pPr>
          </w:p>
        </w:tc>
      </w:tr>
      <w:tr w:rsidR="00B0797C" w:rsidRPr="00B0797C" w14:paraId="2AC54395" w14:textId="77777777" w:rsidTr="00B0797C">
        <w:trPr>
          <w:trHeight w:val="290"/>
        </w:trPr>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69516AA7" w14:textId="77777777" w:rsidR="00B0797C" w:rsidRPr="00B0797C" w:rsidRDefault="00B0797C" w:rsidP="00A62975">
            <w:pPr>
              <w:jc w:val="left"/>
              <w:rPr>
                <w:color w:val="000000"/>
                <w:sz w:val="20"/>
                <w:szCs w:val="20"/>
                <w:lang w:val="es-ES"/>
              </w:rPr>
            </w:pPr>
            <w:r w:rsidRPr="00B0797C">
              <w:rPr>
                <w:color w:val="000000"/>
                <w:sz w:val="20"/>
                <w:lang w:val="es-ES"/>
              </w:rPr>
              <w:t>Francia</w:t>
            </w:r>
          </w:p>
        </w:tc>
        <w:tc>
          <w:tcPr>
            <w:tcW w:w="669" w:type="pct"/>
            <w:tcBorders>
              <w:top w:val="nil"/>
              <w:left w:val="nil"/>
              <w:bottom w:val="single" w:sz="4" w:space="0" w:color="auto"/>
              <w:right w:val="single" w:sz="4" w:space="0" w:color="auto"/>
            </w:tcBorders>
            <w:shd w:val="clear" w:color="auto" w:fill="auto"/>
            <w:noWrap/>
            <w:vAlign w:val="bottom"/>
            <w:hideMark/>
          </w:tcPr>
          <w:p w14:paraId="73756C05" w14:textId="055821DD" w:rsidR="00B0797C" w:rsidRPr="00B0797C" w:rsidRDefault="00B0797C" w:rsidP="00A62975">
            <w:pPr>
              <w:jc w:val="right"/>
              <w:rPr>
                <w:color w:val="000000"/>
                <w:sz w:val="20"/>
                <w:szCs w:val="20"/>
                <w:lang w:val="es-ES"/>
              </w:rPr>
            </w:pPr>
            <w:r w:rsidRPr="00B0797C">
              <w:rPr>
                <w:color w:val="000000"/>
                <w:sz w:val="20"/>
                <w:lang w:val="es-ES"/>
              </w:rPr>
              <w:t>900</w:t>
            </w:r>
            <w:r>
              <w:rPr>
                <w:color w:val="000000"/>
                <w:sz w:val="20"/>
                <w:lang w:val="es-ES"/>
              </w:rPr>
              <w:t> </w:t>
            </w:r>
            <w:r w:rsidRPr="00B0797C">
              <w:rPr>
                <w:color w:val="000000"/>
                <w:sz w:val="20"/>
                <w:lang w:val="es-ES"/>
              </w:rPr>
              <w:t>000</w:t>
            </w:r>
          </w:p>
        </w:tc>
        <w:tc>
          <w:tcPr>
            <w:tcW w:w="669" w:type="pct"/>
            <w:tcBorders>
              <w:top w:val="nil"/>
              <w:left w:val="nil"/>
              <w:bottom w:val="single" w:sz="4" w:space="0" w:color="auto"/>
              <w:right w:val="single" w:sz="4" w:space="0" w:color="auto"/>
            </w:tcBorders>
            <w:shd w:val="clear" w:color="auto" w:fill="auto"/>
            <w:noWrap/>
            <w:vAlign w:val="bottom"/>
            <w:hideMark/>
          </w:tcPr>
          <w:p w14:paraId="7ABDF679" w14:textId="70505903" w:rsidR="00B0797C" w:rsidRPr="00B0797C" w:rsidRDefault="00B0797C" w:rsidP="00A62975">
            <w:pPr>
              <w:jc w:val="right"/>
              <w:rPr>
                <w:color w:val="000000"/>
                <w:sz w:val="20"/>
                <w:szCs w:val="20"/>
                <w:lang w:val="es-ES"/>
              </w:rPr>
            </w:pPr>
            <w:r w:rsidRPr="00B0797C">
              <w:rPr>
                <w:color w:val="000000"/>
                <w:sz w:val="20"/>
                <w:lang w:val="es-ES"/>
              </w:rPr>
              <w:t>900</w:t>
            </w:r>
            <w:r w:rsidR="00A62975">
              <w:rPr>
                <w:color w:val="000000"/>
                <w:sz w:val="20"/>
                <w:lang w:val="es-ES"/>
              </w:rPr>
              <w:t> </w:t>
            </w:r>
            <w:r w:rsidRPr="00B0797C">
              <w:rPr>
                <w:color w:val="000000"/>
                <w:sz w:val="20"/>
                <w:lang w:val="es-ES"/>
              </w:rPr>
              <w:t>000</w:t>
            </w:r>
          </w:p>
        </w:tc>
        <w:tc>
          <w:tcPr>
            <w:tcW w:w="590" w:type="pct"/>
            <w:tcBorders>
              <w:top w:val="nil"/>
              <w:left w:val="nil"/>
              <w:bottom w:val="single" w:sz="4" w:space="0" w:color="auto"/>
              <w:right w:val="single" w:sz="4" w:space="0" w:color="auto"/>
            </w:tcBorders>
            <w:shd w:val="clear" w:color="auto" w:fill="auto"/>
            <w:noWrap/>
            <w:vAlign w:val="bottom"/>
            <w:hideMark/>
          </w:tcPr>
          <w:p w14:paraId="64A56722" w14:textId="77777777" w:rsidR="00B0797C" w:rsidRPr="00B0797C" w:rsidRDefault="00B0797C" w:rsidP="00A62975">
            <w:pPr>
              <w:jc w:val="right"/>
              <w:rPr>
                <w:color w:val="000000"/>
                <w:sz w:val="20"/>
                <w:szCs w:val="20"/>
                <w:lang w:val="es-ES"/>
              </w:rPr>
            </w:pPr>
            <w:r w:rsidRPr="00B0797C">
              <w:rPr>
                <w:color w:val="000000"/>
                <w:sz w:val="20"/>
                <w:lang w:val="es-ES"/>
              </w:rPr>
              <w:t>14</w:t>
            </w:r>
          </w:p>
        </w:tc>
        <w:tc>
          <w:tcPr>
            <w:tcW w:w="431" w:type="pct"/>
            <w:tcBorders>
              <w:top w:val="nil"/>
              <w:left w:val="nil"/>
              <w:bottom w:val="single" w:sz="4" w:space="0" w:color="auto"/>
              <w:right w:val="single" w:sz="4" w:space="0" w:color="auto"/>
            </w:tcBorders>
            <w:shd w:val="clear" w:color="auto" w:fill="auto"/>
            <w:noWrap/>
            <w:vAlign w:val="bottom"/>
            <w:hideMark/>
          </w:tcPr>
          <w:p w14:paraId="387261D6" w14:textId="77777777" w:rsidR="00B0797C" w:rsidRPr="00B0797C" w:rsidRDefault="00B0797C" w:rsidP="00A62975">
            <w:pPr>
              <w:jc w:val="right"/>
              <w:rPr>
                <w:color w:val="000000"/>
                <w:sz w:val="20"/>
                <w:szCs w:val="20"/>
                <w:lang w:val="es-ES"/>
              </w:rPr>
            </w:pPr>
            <w:r w:rsidRPr="00B0797C">
              <w:rPr>
                <w:color w:val="000000"/>
                <w:sz w:val="20"/>
                <w:lang w:val="es-ES"/>
              </w:rPr>
              <w:t>47</w:t>
            </w:r>
          </w:p>
        </w:tc>
        <w:tc>
          <w:tcPr>
            <w:tcW w:w="590" w:type="pct"/>
            <w:tcBorders>
              <w:top w:val="nil"/>
              <w:left w:val="nil"/>
              <w:bottom w:val="single" w:sz="4" w:space="0" w:color="auto"/>
              <w:right w:val="single" w:sz="4" w:space="0" w:color="auto"/>
            </w:tcBorders>
            <w:shd w:val="clear" w:color="auto" w:fill="auto"/>
            <w:noWrap/>
            <w:vAlign w:val="bottom"/>
            <w:hideMark/>
          </w:tcPr>
          <w:p w14:paraId="17202A75" w14:textId="77777777" w:rsidR="00B0797C" w:rsidRPr="00B0797C" w:rsidRDefault="00B0797C" w:rsidP="00A62975">
            <w:pPr>
              <w:jc w:val="right"/>
              <w:rPr>
                <w:color w:val="000000"/>
                <w:sz w:val="20"/>
                <w:szCs w:val="20"/>
                <w:lang w:val="es-ES"/>
              </w:rPr>
            </w:pPr>
            <w:r w:rsidRPr="00B0797C">
              <w:rPr>
                <w:color w:val="000000"/>
                <w:sz w:val="20"/>
                <w:lang w:val="es-ES"/>
              </w:rPr>
              <w:t>0</w:t>
            </w:r>
          </w:p>
        </w:tc>
        <w:tc>
          <w:tcPr>
            <w:tcW w:w="648" w:type="pct"/>
            <w:tcBorders>
              <w:top w:val="nil"/>
              <w:left w:val="nil"/>
              <w:bottom w:val="single" w:sz="4" w:space="0" w:color="auto"/>
              <w:right w:val="single" w:sz="4" w:space="0" w:color="auto"/>
            </w:tcBorders>
            <w:shd w:val="clear" w:color="auto" w:fill="auto"/>
            <w:noWrap/>
            <w:vAlign w:val="bottom"/>
            <w:hideMark/>
          </w:tcPr>
          <w:p w14:paraId="48098A91" w14:textId="77777777" w:rsidR="00B0797C" w:rsidRPr="00B0797C" w:rsidRDefault="00B0797C" w:rsidP="00A62975">
            <w:pPr>
              <w:jc w:val="right"/>
              <w:rPr>
                <w:color w:val="000000"/>
                <w:sz w:val="20"/>
                <w:szCs w:val="20"/>
                <w:lang w:val="es-ES"/>
              </w:rPr>
            </w:pPr>
            <w:r w:rsidRPr="00B0797C">
              <w:rPr>
                <w:color w:val="000000"/>
                <w:sz w:val="20"/>
                <w:lang w:val="es-ES"/>
              </w:rPr>
              <w:t>0</w:t>
            </w:r>
          </w:p>
        </w:tc>
        <w:tc>
          <w:tcPr>
            <w:tcW w:w="693" w:type="pct"/>
            <w:tcBorders>
              <w:top w:val="nil"/>
              <w:left w:val="nil"/>
              <w:bottom w:val="single" w:sz="4" w:space="0" w:color="auto"/>
              <w:right w:val="single" w:sz="4" w:space="0" w:color="auto"/>
            </w:tcBorders>
            <w:shd w:val="clear" w:color="auto" w:fill="auto"/>
            <w:noWrap/>
            <w:vAlign w:val="bottom"/>
            <w:hideMark/>
          </w:tcPr>
          <w:p w14:paraId="3115C221" w14:textId="77777777" w:rsidR="00B0797C" w:rsidRPr="00B0797C" w:rsidRDefault="00B0797C" w:rsidP="00A62975">
            <w:pPr>
              <w:jc w:val="right"/>
              <w:rPr>
                <w:color w:val="000000"/>
                <w:sz w:val="20"/>
                <w:szCs w:val="20"/>
                <w:lang w:val="es-ES"/>
              </w:rPr>
            </w:pPr>
            <w:r w:rsidRPr="00B0797C">
              <w:rPr>
                <w:color w:val="000000"/>
                <w:sz w:val="20"/>
                <w:lang w:val="es-ES"/>
              </w:rPr>
              <w:t>4,46</w:t>
            </w:r>
          </w:p>
        </w:tc>
      </w:tr>
      <w:tr w:rsidR="00B0797C" w:rsidRPr="00B0797C" w14:paraId="0C58F6F5" w14:textId="77777777" w:rsidTr="00B0797C">
        <w:trPr>
          <w:trHeight w:val="290"/>
        </w:trPr>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6CBE6B91" w14:textId="77777777" w:rsidR="00B0797C" w:rsidRPr="00B0797C" w:rsidRDefault="00B0797C" w:rsidP="00A62975">
            <w:pPr>
              <w:jc w:val="left"/>
              <w:rPr>
                <w:color w:val="000000"/>
                <w:sz w:val="20"/>
                <w:szCs w:val="20"/>
                <w:lang w:val="es-ES"/>
              </w:rPr>
            </w:pPr>
            <w:r w:rsidRPr="00B0797C">
              <w:rPr>
                <w:color w:val="000000"/>
                <w:sz w:val="20"/>
                <w:lang w:val="es-ES"/>
              </w:rPr>
              <w:t>PNUD</w:t>
            </w:r>
          </w:p>
        </w:tc>
        <w:tc>
          <w:tcPr>
            <w:tcW w:w="669" w:type="pct"/>
            <w:tcBorders>
              <w:top w:val="nil"/>
              <w:left w:val="nil"/>
              <w:bottom w:val="single" w:sz="4" w:space="0" w:color="auto"/>
              <w:right w:val="single" w:sz="4" w:space="0" w:color="auto"/>
            </w:tcBorders>
            <w:shd w:val="clear" w:color="auto" w:fill="auto"/>
            <w:noWrap/>
            <w:vAlign w:val="bottom"/>
            <w:hideMark/>
          </w:tcPr>
          <w:p w14:paraId="60317B9B" w14:textId="1E79101C" w:rsidR="00B0797C" w:rsidRPr="00B0797C" w:rsidRDefault="00B0797C" w:rsidP="00A62975">
            <w:pPr>
              <w:jc w:val="right"/>
              <w:rPr>
                <w:color w:val="000000"/>
                <w:sz w:val="20"/>
                <w:szCs w:val="20"/>
                <w:lang w:val="es-ES"/>
              </w:rPr>
            </w:pPr>
            <w:r w:rsidRPr="00B0797C">
              <w:rPr>
                <w:color w:val="000000"/>
                <w:sz w:val="20"/>
                <w:lang w:val="es-ES"/>
              </w:rPr>
              <w:t>80</w:t>
            </w:r>
            <w:r w:rsidR="00A62975">
              <w:rPr>
                <w:color w:val="000000"/>
                <w:sz w:val="20"/>
                <w:lang w:val="es-ES"/>
              </w:rPr>
              <w:t> </w:t>
            </w:r>
            <w:r w:rsidRPr="00B0797C">
              <w:rPr>
                <w:color w:val="000000"/>
                <w:sz w:val="20"/>
                <w:lang w:val="es-ES"/>
              </w:rPr>
              <w:t>008</w:t>
            </w:r>
            <w:r w:rsidR="00A62975">
              <w:rPr>
                <w:color w:val="000000"/>
                <w:sz w:val="20"/>
                <w:lang w:val="es-ES"/>
              </w:rPr>
              <w:t> </w:t>
            </w:r>
            <w:r w:rsidRPr="00B0797C">
              <w:rPr>
                <w:color w:val="000000"/>
                <w:sz w:val="20"/>
                <w:lang w:val="es-ES"/>
              </w:rPr>
              <w:t>775</w:t>
            </w:r>
          </w:p>
        </w:tc>
        <w:tc>
          <w:tcPr>
            <w:tcW w:w="669" w:type="pct"/>
            <w:tcBorders>
              <w:top w:val="nil"/>
              <w:left w:val="nil"/>
              <w:bottom w:val="single" w:sz="4" w:space="0" w:color="auto"/>
              <w:right w:val="single" w:sz="4" w:space="0" w:color="auto"/>
            </w:tcBorders>
            <w:shd w:val="clear" w:color="auto" w:fill="auto"/>
            <w:noWrap/>
            <w:vAlign w:val="bottom"/>
            <w:hideMark/>
          </w:tcPr>
          <w:p w14:paraId="655FD2BB" w14:textId="5F1D4A53" w:rsidR="00B0797C" w:rsidRPr="00B0797C" w:rsidRDefault="00B0797C" w:rsidP="00A62975">
            <w:pPr>
              <w:jc w:val="right"/>
              <w:rPr>
                <w:color w:val="000000"/>
                <w:sz w:val="20"/>
                <w:szCs w:val="20"/>
                <w:lang w:val="es-ES"/>
              </w:rPr>
            </w:pPr>
            <w:r w:rsidRPr="00B0797C">
              <w:rPr>
                <w:color w:val="000000"/>
                <w:sz w:val="20"/>
                <w:lang w:val="es-ES"/>
              </w:rPr>
              <w:t>77</w:t>
            </w:r>
            <w:r w:rsidR="00A62975">
              <w:rPr>
                <w:color w:val="000000"/>
                <w:sz w:val="20"/>
                <w:lang w:val="es-ES"/>
              </w:rPr>
              <w:t> </w:t>
            </w:r>
            <w:r w:rsidRPr="00B0797C">
              <w:rPr>
                <w:color w:val="000000"/>
                <w:sz w:val="20"/>
                <w:lang w:val="es-ES"/>
              </w:rPr>
              <w:t>767</w:t>
            </w:r>
            <w:r w:rsidR="00A62975">
              <w:rPr>
                <w:color w:val="000000"/>
                <w:sz w:val="20"/>
                <w:lang w:val="es-ES"/>
              </w:rPr>
              <w:t> </w:t>
            </w:r>
            <w:r w:rsidRPr="00B0797C">
              <w:rPr>
                <w:color w:val="000000"/>
                <w:sz w:val="20"/>
                <w:lang w:val="es-ES"/>
              </w:rPr>
              <w:t>245</w:t>
            </w:r>
          </w:p>
        </w:tc>
        <w:tc>
          <w:tcPr>
            <w:tcW w:w="590" w:type="pct"/>
            <w:tcBorders>
              <w:top w:val="nil"/>
              <w:left w:val="nil"/>
              <w:bottom w:val="single" w:sz="4" w:space="0" w:color="auto"/>
              <w:right w:val="single" w:sz="4" w:space="0" w:color="auto"/>
            </w:tcBorders>
            <w:shd w:val="clear" w:color="auto" w:fill="auto"/>
            <w:noWrap/>
            <w:vAlign w:val="bottom"/>
            <w:hideMark/>
          </w:tcPr>
          <w:p w14:paraId="28243F94" w14:textId="77777777" w:rsidR="00B0797C" w:rsidRPr="00B0797C" w:rsidRDefault="00B0797C" w:rsidP="00A62975">
            <w:pPr>
              <w:jc w:val="right"/>
              <w:rPr>
                <w:color w:val="000000"/>
                <w:sz w:val="20"/>
                <w:szCs w:val="20"/>
                <w:lang w:val="es-ES"/>
              </w:rPr>
            </w:pPr>
            <w:r w:rsidRPr="00B0797C">
              <w:rPr>
                <w:color w:val="000000"/>
                <w:sz w:val="20"/>
                <w:lang w:val="es-ES"/>
              </w:rPr>
              <w:t>518</w:t>
            </w:r>
          </w:p>
        </w:tc>
        <w:tc>
          <w:tcPr>
            <w:tcW w:w="431" w:type="pct"/>
            <w:tcBorders>
              <w:top w:val="nil"/>
              <w:left w:val="nil"/>
              <w:bottom w:val="single" w:sz="4" w:space="0" w:color="auto"/>
              <w:right w:val="single" w:sz="4" w:space="0" w:color="auto"/>
            </w:tcBorders>
            <w:shd w:val="clear" w:color="auto" w:fill="auto"/>
            <w:noWrap/>
            <w:vAlign w:val="bottom"/>
            <w:hideMark/>
          </w:tcPr>
          <w:p w14:paraId="11A7DCF9" w14:textId="77777777" w:rsidR="00B0797C" w:rsidRPr="00B0797C" w:rsidRDefault="00B0797C" w:rsidP="00A62975">
            <w:pPr>
              <w:jc w:val="right"/>
              <w:rPr>
                <w:color w:val="000000"/>
                <w:sz w:val="20"/>
                <w:szCs w:val="20"/>
                <w:lang w:val="es-ES"/>
              </w:rPr>
            </w:pPr>
            <w:r w:rsidRPr="00B0797C">
              <w:rPr>
                <w:color w:val="000000"/>
                <w:sz w:val="20"/>
                <w:lang w:val="es-ES"/>
              </w:rPr>
              <w:t>505</w:t>
            </w:r>
          </w:p>
        </w:tc>
        <w:tc>
          <w:tcPr>
            <w:tcW w:w="590" w:type="pct"/>
            <w:tcBorders>
              <w:top w:val="nil"/>
              <w:left w:val="nil"/>
              <w:bottom w:val="single" w:sz="4" w:space="0" w:color="auto"/>
              <w:right w:val="single" w:sz="4" w:space="0" w:color="auto"/>
            </w:tcBorders>
            <w:shd w:val="clear" w:color="auto" w:fill="auto"/>
            <w:noWrap/>
            <w:vAlign w:val="bottom"/>
            <w:hideMark/>
          </w:tcPr>
          <w:p w14:paraId="6FD4E584" w14:textId="77777777" w:rsidR="00B0797C" w:rsidRPr="00B0797C" w:rsidRDefault="00B0797C" w:rsidP="00A62975">
            <w:pPr>
              <w:jc w:val="right"/>
              <w:rPr>
                <w:color w:val="000000"/>
                <w:sz w:val="20"/>
                <w:szCs w:val="20"/>
                <w:lang w:val="es-ES"/>
              </w:rPr>
            </w:pPr>
            <w:r w:rsidRPr="00B0797C">
              <w:rPr>
                <w:color w:val="000000"/>
                <w:sz w:val="20"/>
                <w:lang w:val="es-ES"/>
              </w:rPr>
              <w:t>0</w:t>
            </w:r>
          </w:p>
        </w:tc>
        <w:tc>
          <w:tcPr>
            <w:tcW w:w="648" w:type="pct"/>
            <w:tcBorders>
              <w:top w:val="nil"/>
              <w:left w:val="nil"/>
              <w:bottom w:val="single" w:sz="4" w:space="0" w:color="auto"/>
              <w:right w:val="single" w:sz="4" w:space="0" w:color="auto"/>
            </w:tcBorders>
            <w:shd w:val="clear" w:color="auto" w:fill="auto"/>
            <w:noWrap/>
            <w:vAlign w:val="bottom"/>
            <w:hideMark/>
          </w:tcPr>
          <w:p w14:paraId="5575E779" w14:textId="77777777" w:rsidR="00B0797C" w:rsidRPr="00B0797C" w:rsidRDefault="00B0797C" w:rsidP="00A62975">
            <w:pPr>
              <w:jc w:val="right"/>
              <w:rPr>
                <w:color w:val="000000"/>
                <w:sz w:val="20"/>
                <w:szCs w:val="20"/>
                <w:lang w:val="es-ES"/>
              </w:rPr>
            </w:pPr>
            <w:r w:rsidRPr="00B0797C">
              <w:rPr>
                <w:color w:val="000000"/>
                <w:sz w:val="20"/>
                <w:lang w:val="es-ES"/>
              </w:rPr>
              <w:t>0</w:t>
            </w:r>
          </w:p>
        </w:tc>
        <w:tc>
          <w:tcPr>
            <w:tcW w:w="693" w:type="pct"/>
            <w:tcBorders>
              <w:top w:val="nil"/>
              <w:left w:val="nil"/>
              <w:bottom w:val="single" w:sz="4" w:space="0" w:color="auto"/>
              <w:right w:val="single" w:sz="4" w:space="0" w:color="auto"/>
            </w:tcBorders>
            <w:shd w:val="clear" w:color="auto" w:fill="auto"/>
            <w:noWrap/>
            <w:vAlign w:val="bottom"/>
            <w:hideMark/>
          </w:tcPr>
          <w:p w14:paraId="273DE3CD" w14:textId="77777777" w:rsidR="00B0797C" w:rsidRPr="00B0797C" w:rsidRDefault="00B0797C" w:rsidP="00A62975">
            <w:pPr>
              <w:jc w:val="right"/>
              <w:rPr>
                <w:color w:val="000000"/>
                <w:sz w:val="20"/>
                <w:szCs w:val="20"/>
                <w:lang w:val="es-ES"/>
              </w:rPr>
            </w:pPr>
            <w:r w:rsidRPr="00B0797C">
              <w:rPr>
                <w:color w:val="000000"/>
                <w:sz w:val="20"/>
                <w:lang w:val="es-ES"/>
              </w:rPr>
              <w:t>22,74</w:t>
            </w:r>
          </w:p>
        </w:tc>
      </w:tr>
      <w:tr w:rsidR="00B0797C" w:rsidRPr="00B0797C" w14:paraId="24DCDF79" w14:textId="77777777" w:rsidTr="00B0797C">
        <w:trPr>
          <w:trHeight w:val="290"/>
        </w:trPr>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4C06D36B" w14:textId="77777777" w:rsidR="00B0797C" w:rsidRPr="00B0797C" w:rsidRDefault="00B0797C" w:rsidP="00A62975">
            <w:pPr>
              <w:jc w:val="left"/>
              <w:rPr>
                <w:color w:val="000000"/>
                <w:sz w:val="20"/>
                <w:szCs w:val="20"/>
                <w:lang w:val="es-ES"/>
              </w:rPr>
            </w:pPr>
            <w:r w:rsidRPr="00B0797C">
              <w:rPr>
                <w:color w:val="000000"/>
                <w:sz w:val="20"/>
                <w:lang w:val="es-ES"/>
              </w:rPr>
              <w:t>PNUMA</w:t>
            </w:r>
          </w:p>
        </w:tc>
        <w:tc>
          <w:tcPr>
            <w:tcW w:w="669" w:type="pct"/>
            <w:tcBorders>
              <w:top w:val="nil"/>
              <w:left w:val="nil"/>
              <w:bottom w:val="single" w:sz="4" w:space="0" w:color="auto"/>
              <w:right w:val="single" w:sz="4" w:space="0" w:color="auto"/>
            </w:tcBorders>
            <w:shd w:val="clear" w:color="auto" w:fill="auto"/>
            <w:noWrap/>
            <w:vAlign w:val="bottom"/>
            <w:hideMark/>
          </w:tcPr>
          <w:p w14:paraId="3CE99579" w14:textId="01BB2732" w:rsidR="00B0797C" w:rsidRPr="00B0797C" w:rsidRDefault="00B0797C" w:rsidP="00A62975">
            <w:pPr>
              <w:jc w:val="right"/>
              <w:rPr>
                <w:color w:val="000000"/>
                <w:sz w:val="20"/>
                <w:szCs w:val="20"/>
                <w:lang w:val="es-ES"/>
              </w:rPr>
            </w:pPr>
            <w:r w:rsidRPr="00B0797C">
              <w:rPr>
                <w:color w:val="000000"/>
                <w:sz w:val="20"/>
                <w:lang w:val="es-ES"/>
              </w:rPr>
              <w:t>266</w:t>
            </w:r>
            <w:r w:rsidR="00A62975">
              <w:rPr>
                <w:color w:val="000000"/>
                <w:sz w:val="20"/>
                <w:lang w:val="es-ES"/>
              </w:rPr>
              <w:t> </w:t>
            </w:r>
            <w:r w:rsidRPr="00B0797C">
              <w:rPr>
                <w:color w:val="000000"/>
                <w:sz w:val="20"/>
                <w:lang w:val="es-ES"/>
              </w:rPr>
              <w:t>700</w:t>
            </w:r>
          </w:p>
        </w:tc>
        <w:tc>
          <w:tcPr>
            <w:tcW w:w="669" w:type="pct"/>
            <w:tcBorders>
              <w:top w:val="nil"/>
              <w:left w:val="nil"/>
              <w:bottom w:val="single" w:sz="4" w:space="0" w:color="auto"/>
              <w:right w:val="single" w:sz="4" w:space="0" w:color="auto"/>
            </w:tcBorders>
            <w:shd w:val="clear" w:color="auto" w:fill="auto"/>
            <w:noWrap/>
            <w:vAlign w:val="bottom"/>
            <w:hideMark/>
          </w:tcPr>
          <w:p w14:paraId="6818287C" w14:textId="47F60F89" w:rsidR="00B0797C" w:rsidRPr="00B0797C" w:rsidRDefault="00B0797C" w:rsidP="00A62975">
            <w:pPr>
              <w:jc w:val="right"/>
              <w:rPr>
                <w:color w:val="000000"/>
                <w:sz w:val="20"/>
                <w:szCs w:val="20"/>
                <w:lang w:val="es-ES"/>
              </w:rPr>
            </w:pPr>
            <w:r w:rsidRPr="00B0797C">
              <w:rPr>
                <w:color w:val="000000"/>
                <w:sz w:val="20"/>
                <w:lang w:val="es-ES"/>
              </w:rPr>
              <w:t>262</w:t>
            </w:r>
            <w:r w:rsidR="00A62975">
              <w:rPr>
                <w:color w:val="000000"/>
                <w:sz w:val="20"/>
                <w:lang w:val="es-ES"/>
              </w:rPr>
              <w:t> </w:t>
            </w:r>
            <w:r w:rsidRPr="00B0797C">
              <w:rPr>
                <w:color w:val="000000"/>
                <w:sz w:val="20"/>
                <w:lang w:val="es-ES"/>
              </w:rPr>
              <w:t>670</w:t>
            </w:r>
          </w:p>
        </w:tc>
        <w:tc>
          <w:tcPr>
            <w:tcW w:w="590" w:type="pct"/>
            <w:tcBorders>
              <w:top w:val="nil"/>
              <w:left w:val="nil"/>
              <w:bottom w:val="single" w:sz="4" w:space="0" w:color="auto"/>
              <w:right w:val="single" w:sz="4" w:space="0" w:color="auto"/>
            </w:tcBorders>
            <w:shd w:val="clear" w:color="auto" w:fill="auto"/>
            <w:noWrap/>
            <w:vAlign w:val="bottom"/>
            <w:hideMark/>
          </w:tcPr>
          <w:p w14:paraId="01D5FB9C" w14:textId="77777777" w:rsidR="00B0797C" w:rsidRPr="00B0797C" w:rsidRDefault="00B0797C" w:rsidP="00A62975">
            <w:pPr>
              <w:jc w:val="right"/>
              <w:rPr>
                <w:color w:val="000000"/>
                <w:sz w:val="20"/>
                <w:szCs w:val="20"/>
                <w:lang w:val="es-ES"/>
              </w:rPr>
            </w:pPr>
            <w:r w:rsidRPr="00B0797C">
              <w:rPr>
                <w:color w:val="000000"/>
                <w:sz w:val="20"/>
                <w:lang w:val="es-ES"/>
              </w:rPr>
              <w:t>0</w:t>
            </w:r>
          </w:p>
        </w:tc>
        <w:tc>
          <w:tcPr>
            <w:tcW w:w="431" w:type="pct"/>
            <w:tcBorders>
              <w:top w:val="nil"/>
              <w:left w:val="nil"/>
              <w:bottom w:val="single" w:sz="4" w:space="0" w:color="auto"/>
              <w:right w:val="single" w:sz="4" w:space="0" w:color="auto"/>
            </w:tcBorders>
            <w:shd w:val="clear" w:color="auto" w:fill="auto"/>
            <w:noWrap/>
            <w:vAlign w:val="bottom"/>
            <w:hideMark/>
          </w:tcPr>
          <w:p w14:paraId="09224BFE" w14:textId="77777777" w:rsidR="00B0797C" w:rsidRPr="00B0797C" w:rsidRDefault="00B0797C" w:rsidP="00A62975">
            <w:pPr>
              <w:jc w:val="right"/>
              <w:rPr>
                <w:color w:val="000000"/>
                <w:sz w:val="20"/>
                <w:szCs w:val="20"/>
                <w:lang w:val="es-ES"/>
              </w:rPr>
            </w:pPr>
            <w:r w:rsidRPr="00B0797C">
              <w:rPr>
                <w:color w:val="000000"/>
                <w:sz w:val="20"/>
                <w:lang w:val="es-ES"/>
              </w:rPr>
              <w:t>0</w:t>
            </w:r>
          </w:p>
        </w:tc>
        <w:tc>
          <w:tcPr>
            <w:tcW w:w="590" w:type="pct"/>
            <w:tcBorders>
              <w:top w:val="nil"/>
              <w:left w:val="nil"/>
              <w:bottom w:val="single" w:sz="4" w:space="0" w:color="auto"/>
              <w:right w:val="single" w:sz="4" w:space="0" w:color="auto"/>
            </w:tcBorders>
            <w:shd w:val="clear" w:color="auto" w:fill="auto"/>
            <w:noWrap/>
            <w:vAlign w:val="bottom"/>
            <w:hideMark/>
          </w:tcPr>
          <w:p w14:paraId="03CA0B39" w14:textId="77777777" w:rsidR="00B0797C" w:rsidRPr="00B0797C" w:rsidRDefault="00B0797C" w:rsidP="00A62975">
            <w:pPr>
              <w:jc w:val="right"/>
              <w:rPr>
                <w:color w:val="000000"/>
                <w:sz w:val="20"/>
                <w:szCs w:val="20"/>
                <w:lang w:val="es-ES"/>
              </w:rPr>
            </w:pPr>
            <w:r w:rsidRPr="00B0797C">
              <w:rPr>
                <w:color w:val="000000"/>
                <w:sz w:val="20"/>
                <w:lang w:val="es-ES"/>
              </w:rPr>
              <w:t>0</w:t>
            </w:r>
          </w:p>
        </w:tc>
        <w:tc>
          <w:tcPr>
            <w:tcW w:w="648" w:type="pct"/>
            <w:tcBorders>
              <w:top w:val="nil"/>
              <w:left w:val="nil"/>
              <w:bottom w:val="single" w:sz="4" w:space="0" w:color="auto"/>
              <w:right w:val="single" w:sz="4" w:space="0" w:color="auto"/>
            </w:tcBorders>
            <w:shd w:val="clear" w:color="auto" w:fill="auto"/>
            <w:noWrap/>
            <w:vAlign w:val="bottom"/>
            <w:hideMark/>
          </w:tcPr>
          <w:p w14:paraId="791D39CC" w14:textId="77777777" w:rsidR="00B0797C" w:rsidRPr="00B0797C" w:rsidRDefault="00B0797C" w:rsidP="00A62975">
            <w:pPr>
              <w:jc w:val="right"/>
              <w:rPr>
                <w:color w:val="000000"/>
                <w:sz w:val="20"/>
                <w:szCs w:val="20"/>
                <w:lang w:val="es-ES"/>
              </w:rPr>
            </w:pPr>
            <w:r w:rsidRPr="00B0797C">
              <w:rPr>
                <w:color w:val="000000"/>
                <w:sz w:val="20"/>
                <w:lang w:val="es-ES"/>
              </w:rPr>
              <w:t>0</w:t>
            </w:r>
          </w:p>
        </w:tc>
        <w:tc>
          <w:tcPr>
            <w:tcW w:w="693" w:type="pct"/>
            <w:tcBorders>
              <w:top w:val="nil"/>
              <w:left w:val="nil"/>
              <w:bottom w:val="single" w:sz="4" w:space="0" w:color="auto"/>
              <w:right w:val="single" w:sz="4" w:space="0" w:color="auto"/>
            </w:tcBorders>
            <w:shd w:val="clear" w:color="auto" w:fill="auto"/>
            <w:noWrap/>
            <w:vAlign w:val="bottom"/>
            <w:hideMark/>
          </w:tcPr>
          <w:p w14:paraId="713F4F94" w14:textId="77777777" w:rsidR="00B0797C" w:rsidRPr="00B0797C" w:rsidRDefault="00B0797C" w:rsidP="00A62975">
            <w:pPr>
              <w:jc w:val="right"/>
              <w:rPr>
                <w:color w:val="000000"/>
                <w:sz w:val="20"/>
                <w:szCs w:val="20"/>
                <w:lang w:val="es-ES"/>
              </w:rPr>
            </w:pPr>
            <w:r w:rsidRPr="00B0797C">
              <w:rPr>
                <w:color w:val="000000"/>
                <w:sz w:val="20"/>
                <w:lang w:val="es-ES"/>
              </w:rPr>
              <w:t>39,38</w:t>
            </w:r>
          </w:p>
        </w:tc>
      </w:tr>
      <w:tr w:rsidR="00B0797C" w:rsidRPr="00B0797C" w14:paraId="721106DB" w14:textId="77777777" w:rsidTr="00B0797C">
        <w:trPr>
          <w:trHeight w:val="290"/>
        </w:trPr>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4875DE6D" w14:textId="77777777" w:rsidR="00B0797C" w:rsidRPr="00B0797C" w:rsidRDefault="00B0797C" w:rsidP="00A62975">
            <w:pPr>
              <w:jc w:val="left"/>
              <w:rPr>
                <w:color w:val="000000"/>
                <w:sz w:val="20"/>
                <w:szCs w:val="20"/>
                <w:lang w:val="es-ES"/>
              </w:rPr>
            </w:pPr>
            <w:r w:rsidRPr="00B0797C">
              <w:rPr>
                <w:color w:val="000000"/>
                <w:sz w:val="20"/>
                <w:lang w:val="es-ES"/>
              </w:rPr>
              <w:t>ONUDI</w:t>
            </w:r>
          </w:p>
        </w:tc>
        <w:tc>
          <w:tcPr>
            <w:tcW w:w="669" w:type="pct"/>
            <w:tcBorders>
              <w:top w:val="nil"/>
              <w:left w:val="nil"/>
              <w:bottom w:val="single" w:sz="4" w:space="0" w:color="auto"/>
              <w:right w:val="single" w:sz="4" w:space="0" w:color="auto"/>
            </w:tcBorders>
            <w:shd w:val="clear" w:color="auto" w:fill="auto"/>
            <w:noWrap/>
            <w:vAlign w:val="bottom"/>
            <w:hideMark/>
          </w:tcPr>
          <w:p w14:paraId="6CE2E1A6" w14:textId="05C799E2" w:rsidR="00B0797C" w:rsidRPr="00B0797C" w:rsidRDefault="00B0797C" w:rsidP="00A62975">
            <w:pPr>
              <w:jc w:val="right"/>
              <w:rPr>
                <w:color w:val="000000"/>
                <w:sz w:val="20"/>
                <w:szCs w:val="20"/>
                <w:lang w:val="es-ES"/>
              </w:rPr>
            </w:pPr>
            <w:r w:rsidRPr="00B0797C">
              <w:rPr>
                <w:color w:val="000000"/>
                <w:sz w:val="20"/>
                <w:lang w:val="es-ES"/>
              </w:rPr>
              <w:t>214</w:t>
            </w:r>
            <w:r w:rsidR="00A62975">
              <w:rPr>
                <w:color w:val="000000"/>
                <w:sz w:val="20"/>
                <w:lang w:val="es-ES"/>
              </w:rPr>
              <w:t> </w:t>
            </w:r>
            <w:r w:rsidRPr="00B0797C">
              <w:rPr>
                <w:color w:val="000000"/>
                <w:sz w:val="20"/>
                <w:lang w:val="es-ES"/>
              </w:rPr>
              <w:t>24</w:t>
            </w:r>
            <w:r w:rsidR="00A62975">
              <w:rPr>
                <w:color w:val="000000"/>
                <w:sz w:val="20"/>
                <w:lang w:val="es-ES"/>
              </w:rPr>
              <w:t> </w:t>
            </w:r>
            <w:r w:rsidRPr="00B0797C">
              <w:rPr>
                <w:color w:val="000000"/>
                <w:sz w:val="20"/>
                <w:lang w:val="es-ES"/>
              </w:rPr>
              <w:t>317</w:t>
            </w:r>
          </w:p>
        </w:tc>
        <w:tc>
          <w:tcPr>
            <w:tcW w:w="669" w:type="pct"/>
            <w:tcBorders>
              <w:top w:val="nil"/>
              <w:left w:val="nil"/>
              <w:bottom w:val="single" w:sz="4" w:space="0" w:color="auto"/>
              <w:right w:val="single" w:sz="4" w:space="0" w:color="auto"/>
            </w:tcBorders>
            <w:shd w:val="clear" w:color="auto" w:fill="auto"/>
            <w:noWrap/>
            <w:vAlign w:val="bottom"/>
            <w:hideMark/>
          </w:tcPr>
          <w:p w14:paraId="56F78647" w14:textId="0FBB64E8" w:rsidR="00B0797C" w:rsidRPr="00B0797C" w:rsidRDefault="00B0797C" w:rsidP="00A62975">
            <w:pPr>
              <w:jc w:val="right"/>
              <w:rPr>
                <w:color w:val="000000"/>
                <w:sz w:val="20"/>
                <w:szCs w:val="20"/>
                <w:lang w:val="es-ES"/>
              </w:rPr>
            </w:pPr>
            <w:r w:rsidRPr="00B0797C">
              <w:rPr>
                <w:color w:val="000000"/>
                <w:sz w:val="20"/>
                <w:lang w:val="es-ES"/>
              </w:rPr>
              <w:t>19</w:t>
            </w:r>
            <w:r w:rsidR="00A62975">
              <w:rPr>
                <w:color w:val="000000"/>
                <w:sz w:val="20"/>
                <w:lang w:val="es-ES"/>
              </w:rPr>
              <w:t> </w:t>
            </w:r>
            <w:r w:rsidRPr="00B0797C">
              <w:rPr>
                <w:color w:val="000000"/>
                <w:sz w:val="20"/>
                <w:lang w:val="es-ES"/>
              </w:rPr>
              <w:t>717</w:t>
            </w:r>
            <w:r w:rsidR="00A62975">
              <w:rPr>
                <w:color w:val="000000"/>
                <w:sz w:val="20"/>
                <w:lang w:val="es-ES"/>
              </w:rPr>
              <w:t> </w:t>
            </w:r>
            <w:r w:rsidRPr="00B0797C">
              <w:rPr>
                <w:color w:val="000000"/>
                <w:sz w:val="20"/>
                <w:lang w:val="es-ES"/>
              </w:rPr>
              <w:t>069</w:t>
            </w:r>
          </w:p>
        </w:tc>
        <w:tc>
          <w:tcPr>
            <w:tcW w:w="590" w:type="pct"/>
            <w:tcBorders>
              <w:top w:val="nil"/>
              <w:left w:val="nil"/>
              <w:bottom w:val="single" w:sz="4" w:space="0" w:color="auto"/>
              <w:right w:val="single" w:sz="4" w:space="0" w:color="auto"/>
            </w:tcBorders>
            <w:shd w:val="clear" w:color="auto" w:fill="auto"/>
            <w:noWrap/>
            <w:vAlign w:val="bottom"/>
            <w:hideMark/>
          </w:tcPr>
          <w:p w14:paraId="70E73E10" w14:textId="77777777" w:rsidR="00B0797C" w:rsidRPr="00B0797C" w:rsidRDefault="00B0797C" w:rsidP="00A62975">
            <w:pPr>
              <w:jc w:val="right"/>
              <w:rPr>
                <w:color w:val="000000"/>
                <w:sz w:val="20"/>
                <w:szCs w:val="20"/>
                <w:lang w:val="es-ES"/>
              </w:rPr>
            </w:pPr>
            <w:r w:rsidRPr="00B0797C">
              <w:rPr>
                <w:color w:val="000000"/>
                <w:sz w:val="20"/>
                <w:lang w:val="es-ES"/>
              </w:rPr>
              <w:t>436</w:t>
            </w:r>
          </w:p>
        </w:tc>
        <w:tc>
          <w:tcPr>
            <w:tcW w:w="431" w:type="pct"/>
            <w:tcBorders>
              <w:top w:val="nil"/>
              <w:left w:val="nil"/>
              <w:bottom w:val="single" w:sz="4" w:space="0" w:color="auto"/>
              <w:right w:val="single" w:sz="4" w:space="0" w:color="auto"/>
            </w:tcBorders>
            <w:shd w:val="clear" w:color="auto" w:fill="auto"/>
            <w:noWrap/>
            <w:vAlign w:val="bottom"/>
            <w:hideMark/>
          </w:tcPr>
          <w:p w14:paraId="7244D7B5" w14:textId="77777777" w:rsidR="00B0797C" w:rsidRPr="00B0797C" w:rsidRDefault="00B0797C" w:rsidP="00A62975">
            <w:pPr>
              <w:jc w:val="right"/>
              <w:rPr>
                <w:color w:val="000000"/>
                <w:sz w:val="20"/>
                <w:szCs w:val="20"/>
                <w:lang w:val="es-ES"/>
              </w:rPr>
            </w:pPr>
            <w:r w:rsidRPr="00B0797C">
              <w:rPr>
                <w:color w:val="000000"/>
                <w:sz w:val="20"/>
                <w:lang w:val="es-ES"/>
              </w:rPr>
              <w:t>436</w:t>
            </w:r>
          </w:p>
        </w:tc>
        <w:tc>
          <w:tcPr>
            <w:tcW w:w="590" w:type="pct"/>
            <w:tcBorders>
              <w:top w:val="nil"/>
              <w:left w:val="nil"/>
              <w:bottom w:val="single" w:sz="4" w:space="0" w:color="auto"/>
              <w:right w:val="single" w:sz="4" w:space="0" w:color="auto"/>
            </w:tcBorders>
            <w:shd w:val="clear" w:color="auto" w:fill="auto"/>
            <w:noWrap/>
            <w:vAlign w:val="bottom"/>
            <w:hideMark/>
          </w:tcPr>
          <w:p w14:paraId="56142A2C" w14:textId="77777777" w:rsidR="00B0797C" w:rsidRPr="00B0797C" w:rsidRDefault="00B0797C" w:rsidP="00A62975">
            <w:pPr>
              <w:jc w:val="right"/>
              <w:rPr>
                <w:color w:val="000000"/>
                <w:sz w:val="20"/>
                <w:szCs w:val="20"/>
                <w:lang w:val="es-ES"/>
              </w:rPr>
            </w:pPr>
            <w:r w:rsidRPr="00B0797C">
              <w:rPr>
                <w:color w:val="000000"/>
                <w:sz w:val="20"/>
                <w:lang w:val="es-ES"/>
              </w:rPr>
              <w:t>0</w:t>
            </w:r>
          </w:p>
        </w:tc>
        <w:tc>
          <w:tcPr>
            <w:tcW w:w="648" w:type="pct"/>
            <w:tcBorders>
              <w:top w:val="nil"/>
              <w:left w:val="nil"/>
              <w:bottom w:val="single" w:sz="4" w:space="0" w:color="auto"/>
              <w:right w:val="single" w:sz="4" w:space="0" w:color="auto"/>
            </w:tcBorders>
            <w:shd w:val="clear" w:color="auto" w:fill="auto"/>
            <w:noWrap/>
            <w:vAlign w:val="bottom"/>
            <w:hideMark/>
          </w:tcPr>
          <w:p w14:paraId="5EA2B7B8" w14:textId="77777777" w:rsidR="00B0797C" w:rsidRPr="00B0797C" w:rsidRDefault="00B0797C" w:rsidP="00A62975">
            <w:pPr>
              <w:jc w:val="right"/>
              <w:rPr>
                <w:color w:val="000000"/>
                <w:sz w:val="20"/>
                <w:szCs w:val="20"/>
                <w:lang w:val="es-ES"/>
              </w:rPr>
            </w:pPr>
            <w:r w:rsidRPr="00B0797C">
              <w:rPr>
                <w:color w:val="000000"/>
                <w:sz w:val="20"/>
                <w:lang w:val="es-ES"/>
              </w:rPr>
              <w:t>0</w:t>
            </w:r>
          </w:p>
        </w:tc>
        <w:tc>
          <w:tcPr>
            <w:tcW w:w="693" w:type="pct"/>
            <w:tcBorders>
              <w:top w:val="nil"/>
              <w:left w:val="nil"/>
              <w:bottom w:val="single" w:sz="4" w:space="0" w:color="auto"/>
              <w:right w:val="single" w:sz="4" w:space="0" w:color="auto"/>
            </w:tcBorders>
            <w:shd w:val="clear" w:color="auto" w:fill="auto"/>
            <w:noWrap/>
            <w:vAlign w:val="bottom"/>
            <w:hideMark/>
          </w:tcPr>
          <w:p w14:paraId="236EF09A" w14:textId="77777777" w:rsidR="00B0797C" w:rsidRPr="00B0797C" w:rsidRDefault="00B0797C" w:rsidP="00A62975">
            <w:pPr>
              <w:jc w:val="right"/>
              <w:rPr>
                <w:color w:val="000000"/>
                <w:sz w:val="20"/>
                <w:szCs w:val="20"/>
                <w:lang w:val="es-ES"/>
              </w:rPr>
            </w:pPr>
            <w:r w:rsidRPr="00B0797C">
              <w:rPr>
                <w:color w:val="000000"/>
                <w:sz w:val="20"/>
                <w:lang w:val="es-ES"/>
              </w:rPr>
              <w:t>23,44</w:t>
            </w:r>
          </w:p>
        </w:tc>
      </w:tr>
      <w:tr w:rsidR="00B0797C" w:rsidRPr="00B0797C" w14:paraId="1372A5B7" w14:textId="77777777" w:rsidTr="00B0797C">
        <w:trPr>
          <w:trHeight w:val="290"/>
        </w:trPr>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1240E145" w14:textId="77777777" w:rsidR="00B0797C" w:rsidRPr="00B0797C" w:rsidRDefault="00B0797C" w:rsidP="00A62975">
            <w:pPr>
              <w:jc w:val="left"/>
              <w:rPr>
                <w:color w:val="000000"/>
                <w:sz w:val="20"/>
                <w:szCs w:val="20"/>
                <w:lang w:val="es-ES"/>
              </w:rPr>
            </w:pPr>
            <w:r w:rsidRPr="00B0797C">
              <w:rPr>
                <w:color w:val="000000"/>
                <w:sz w:val="20"/>
                <w:lang w:val="es-ES"/>
              </w:rPr>
              <w:t>Banco Mundial</w:t>
            </w:r>
          </w:p>
        </w:tc>
        <w:tc>
          <w:tcPr>
            <w:tcW w:w="669" w:type="pct"/>
            <w:tcBorders>
              <w:top w:val="nil"/>
              <w:left w:val="nil"/>
              <w:bottom w:val="single" w:sz="4" w:space="0" w:color="auto"/>
              <w:right w:val="single" w:sz="4" w:space="0" w:color="auto"/>
            </w:tcBorders>
            <w:shd w:val="clear" w:color="auto" w:fill="auto"/>
            <w:noWrap/>
            <w:vAlign w:val="bottom"/>
            <w:hideMark/>
          </w:tcPr>
          <w:p w14:paraId="5E0EC225" w14:textId="5A34946D" w:rsidR="00B0797C" w:rsidRPr="00B0797C" w:rsidRDefault="00B0797C" w:rsidP="00A62975">
            <w:pPr>
              <w:jc w:val="right"/>
              <w:rPr>
                <w:color w:val="000000"/>
                <w:sz w:val="20"/>
                <w:szCs w:val="20"/>
                <w:lang w:val="es-ES"/>
              </w:rPr>
            </w:pPr>
            <w:r w:rsidRPr="00B0797C">
              <w:rPr>
                <w:color w:val="000000"/>
                <w:sz w:val="20"/>
                <w:lang w:val="es-ES"/>
              </w:rPr>
              <w:t>260</w:t>
            </w:r>
            <w:r w:rsidR="00A62975">
              <w:rPr>
                <w:color w:val="000000"/>
                <w:sz w:val="20"/>
                <w:lang w:val="es-ES"/>
              </w:rPr>
              <w:t> </w:t>
            </w:r>
            <w:r w:rsidRPr="00B0797C">
              <w:rPr>
                <w:color w:val="000000"/>
                <w:sz w:val="20"/>
                <w:lang w:val="es-ES"/>
              </w:rPr>
              <w:t>195</w:t>
            </w:r>
            <w:r w:rsidR="00A62975">
              <w:rPr>
                <w:color w:val="000000"/>
                <w:sz w:val="20"/>
                <w:lang w:val="es-ES"/>
              </w:rPr>
              <w:t> </w:t>
            </w:r>
            <w:r w:rsidRPr="00B0797C">
              <w:rPr>
                <w:color w:val="000000"/>
                <w:sz w:val="20"/>
                <w:lang w:val="es-ES"/>
              </w:rPr>
              <w:t>725</w:t>
            </w:r>
          </w:p>
        </w:tc>
        <w:tc>
          <w:tcPr>
            <w:tcW w:w="669" w:type="pct"/>
            <w:tcBorders>
              <w:top w:val="nil"/>
              <w:left w:val="nil"/>
              <w:bottom w:val="single" w:sz="4" w:space="0" w:color="auto"/>
              <w:right w:val="single" w:sz="4" w:space="0" w:color="auto"/>
            </w:tcBorders>
            <w:shd w:val="clear" w:color="auto" w:fill="auto"/>
            <w:noWrap/>
            <w:vAlign w:val="bottom"/>
            <w:hideMark/>
          </w:tcPr>
          <w:p w14:paraId="773AFA7A" w14:textId="03C38808" w:rsidR="00B0797C" w:rsidRPr="00B0797C" w:rsidRDefault="00B0797C" w:rsidP="00A62975">
            <w:pPr>
              <w:jc w:val="right"/>
              <w:rPr>
                <w:color w:val="000000"/>
                <w:sz w:val="20"/>
                <w:szCs w:val="20"/>
                <w:lang w:val="es-ES"/>
              </w:rPr>
            </w:pPr>
            <w:r w:rsidRPr="00B0797C">
              <w:rPr>
                <w:color w:val="000000"/>
                <w:sz w:val="20"/>
                <w:lang w:val="es-ES"/>
              </w:rPr>
              <w:t>260</w:t>
            </w:r>
            <w:r w:rsidR="00A62975">
              <w:rPr>
                <w:color w:val="000000"/>
                <w:sz w:val="20"/>
                <w:lang w:val="es-ES"/>
              </w:rPr>
              <w:t> </w:t>
            </w:r>
            <w:r w:rsidRPr="00B0797C">
              <w:rPr>
                <w:color w:val="000000"/>
                <w:sz w:val="20"/>
                <w:lang w:val="es-ES"/>
              </w:rPr>
              <w:t>195</w:t>
            </w:r>
            <w:r w:rsidR="00A62975">
              <w:rPr>
                <w:color w:val="000000"/>
                <w:sz w:val="20"/>
                <w:lang w:val="es-ES"/>
              </w:rPr>
              <w:t> </w:t>
            </w:r>
            <w:r w:rsidRPr="00B0797C">
              <w:rPr>
                <w:color w:val="000000"/>
                <w:sz w:val="20"/>
                <w:lang w:val="es-ES"/>
              </w:rPr>
              <w:t>725</w:t>
            </w:r>
          </w:p>
        </w:tc>
        <w:tc>
          <w:tcPr>
            <w:tcW w:w="590" w:type="pct"/>
            <w:tcBorders>
              <w:top w:val="nil"/>
              <w:left w:val="nil"/>
              <w:bottom w:val="single" w:sz="4" w:space="0" w:color="auto"/>
              <w:right w:val="single" w:sz="4" w:space="0" w:color="auto"/>
            </w:tcBorders>
            <w:shd w:val="clear" w:color="auto" w:fill="auto"/>
            <w:noWrap/>
            <w:vAlign w:val="bottom"/>
            <w:hideMark/>
          </w:tcPr>
          <w:p w14:paraId="2CA80FE2" w14:textId="77777777" w:rsidR="00B0797C" w:rsidRPr="00B0797C" w:rsidRDefault="00B0797C" w:rsidP="00A62975">
            <w:pPr>
              <w:jc w:val="right"/>
              <w:rPr>
                <w:color w:val="000000"/>
                <w:sz w:val="20"/>
                <w:szCs w:val="20"/>
                <w:lang w:val="es-ES"/>
              </w:rPr>
            </w:pPr>
            <w:r w:rsidRPr="00B0797C">
              <w:rPr>
                <w:color w:val="000000"/>
                <w:sz w:val="20"/>
                <w:lang w:val="es-ES"/>
              </w:rPr>
              <w:t>885</w:t>
            </w:r>
          </w:p>
        </w:tc>
        <w:tc>
          <w:tcPr>
            <w:tcW w:w="431" w:type="pct"/>
            <w:tcBorders>
              <w:top w:val="nil"/>
              <w:left w:val="nil"/>
              <w:bottom w:val="single" w:sz="4" w:space="0" w:color="auto"/>
              <w:right w:val="single" w:sz="4" w:space="0" w:color="auto"/>
            </w:tcBorders>
            <w:shd w:val="clear" w:color="auto" w:fill="auto"/>
            <w:noWrap/>
            <w:vAlign w:val="bottom"/>
            <w:hideMark/>
          </w:tcPr>
          <w:p w14:paraId="46762ACA" w14:textId="7A0E351D" w:rsidR="00B0797C" w:rsidRPr="00B0797C" w:rsidRDefault="00B0797C" w:rsidP="00A62975">
            <w:pPr>
              <w:jc w:val="right"/>
              <w:rPr>
                <w:color w:val="000000"/>
                <w:sz w:val="20"/>
                <w:szCs w:val="20"/>
                <w:lang w:val="es-ES"/>
              </w:rPr>
            </w:pPr>
            <w:r w:rsidRPr="00B0797C">
              <w:rPr>
                <w:color w:val="000000"/>
                <w:sz w:val="20"/>
                <w:lang w:val="es-ES"/>
              </w:rPr>
              <w:t>1</w:t>
            </w:r>
            <w:r w:rsidR="003470DE">
              <w:rPr>
                <w:color w:val="000000"/>
                <w:sz w:val="20"/>
                <w:lang w:val="es-ES"/>
              </w:rPr>
              <w:t xml:space="preserve"> </w:t>
            </w:r>
            <w:r w:rsidRPr="00B0797C">
              <w:rPr>
                <w:color w:val="000000"/>
                <w:sz w:val="20"/>
                <w:lang w:val="es-ES"/>
              </w:rPr>
              <w:t>615</w:t>
            </w:r>
          </w:p>
        </w:tc>
        <w:tc>
          <w:tcPr>
            <w:tcW w:w="590" w:type="pct"/>
            <w:tcBorders>
              <w:top w:val="nil"/>
              <w:left w:val="nil"/>
              <w:bottom w:val="single" w:sz="4" w:space="0" w:color="auto"/>
              <w:right w:val="single" w:sz="4" w:space="0" w:color="auto"/>
            </w:tcBorders>
            <w:shd w:val="clear" w:color="auto" w:fill="auto"/>
            <w:noWrap/>
            <w:vAlign w:val="bottom"/>
            <w:hideMark/>
          </w:tcPr>
          <w:p w14:paraId="3E54717B" w14:textId="411A5F6C" w:rsidR="00B0797C" w:rsidRPr="00B0797C" w:rsidRDefault="00B0797C" w:rsidP="00A62975">
            <w:pPr>
              <w:jc w:val="right"/>
              <w:rPr>
                <w:color w:val="000000"/>
                <w:sz w:val="20"/>
                <w:szCs w:val="20"/>
                <w:lang w:val="es-ES"/>
              </w:rPr>
            </w:pPr>
            <w:r w:rsidRPr="00B0797C">
              <w:rPr>
                <w:color w:val="000000"/>
                <w:sz w:val="20"/>
                <w:lang w:val="es-ES"/>
              </w:rPr>
              <w:t>26</w:t>
            </w:r>
            <w:r w:rsidR="00A62975">
              <w:rPr>
                <w:color w:val="000000"/>
                <w:sz w:val="20"/>
                <w:lang w:val="es-ES"/>
              </w:rPr>
              <w:t> </w:t>
            </w:r>
            <w:r w:rsidRPr="00B0797C">
              <w:rPr>
                <w:color w:val="000000"/>
                <w:sz w:val="20"/>
                <w:lang w:val="es-ES"/>
              </w:rPr>
              <w:t>988</w:t>
            </w:r>
          </w:p>
        </w:tc>
        <w:tc>
          <w:tcPr>
            <w:tcW w:w="648" w:type="pct"/>
            <w:tcBorders>
              <w:top w:val="nil"/>
              <w:left w:val="nil"/>
              <w:bottom w:val="single" w:sz="4" w:space="0" w:color="auto"/>
              <w:right w:val="single" w:sz="4" w:space="0" w:color="auto"/>
            </w:tcBorders>
            <w:shd w:val="clear" w:color="auto" w:fill="auto"/>
            <w:noWrap/>
            <w:vAlign w:val="bottom"/>
            <w:hideMark/>
          </w:tcPr>
          <w:p w14:paraId="48925D51" w14:textId="51824B92" w:rsidR="00B0797C" w:rsidRPr="00B0797C" w:rsidRDefault="00B0797C" w:rsidP="00A62975">
            <w:pPr>
              <w:jc w:val="right"/>
              <w:rPr>
                <w:color w:val="000000"/>
                <w:sz w:val="20"/>
                <w:szCs w:val="20"/>
                <w:lang w:val="es-ES"/>
              </w:rPr>
            </w:pPr>
            <w:r w:rsidRPr="00B0797C">
              <w:rPr>
                <w:color w:val="000000"/>
                <w:sz w:val="20"/>
                <w:lang w:val="es-ES"/>
              </w:rPr>
              <w:t>30</w:t>
            </w:r>
            <w:r w:rsidR="00A62975">
              <w:rPr>
                <w:color w:val="000000"/>
                <w:sz w:val="20"/>
                <w:lang w:val="es-ES"/>
              </w:rPr>
              <w:t> </w:t>
            </w:r>
            <w:r w:rsidRPr="00B0797C">
              <w:rPr>
                <w:color w:val="000000"/>
                <w:sz w:val="20"/>
                <w:lang w:val="es-ES"/>
              </w:rPr>
              <w:t>958</w:t>
            </w:r>
          </w:p>
        </w:tc>
        <w:tc>
          <w:tcPr>
            <w:tcW w:w="693" w:type="pct"/>
            <w:tcBorders>
              <w:top w:val="nil"/>
              <w:left w:val="nil"/>
              <w:bottom w:val="single" w:sz="4" w:space="0" w:color="auto"/>
              <w:right w:val="single" w:sz="4" w:space="0" w:color="auto"/>
            </w:tcBorders>
            <w:shd w:val="clear" w:color="auto" w:fill="auto"/>
            <w:noWrap/>
            <w:vAlign w:val="bottom"/>
            <w:hideMark/>
          </w:tcPr>
          <w:p w14:paraId="3212B9E7" w14:textId="77777777" w:rsidR="00B0797C" w:rsidRPr="00B0797C" w:rsidRDefault="00B0797C" w:rsidP="00A62975">
            <w:pPr>
              <w:jc w:val="right"/>
              <w:rPr>
                <w:color w:val="000000"/>
                <w:sz w:val="20"/>
                <w:szCs w:val="20"/>
                <w:lang w:val="es-ES"/>
              </w:rPr>
            </w:pPr>
            <w:r w:rsidRPr="00B0797C">
              <w:rPr>
                <w:color w:val="000000"/>
                <w:sz w:val="20"/>
                <w:lang w:val="es-ES"/>
              </w:rPr>
              <w:t>16,24</w:t>
            </w:r>
          </w:p>
        </w:tc>
      </w:tr>
      <w:tr w:rsidR="00B0797C" w:rsidRPr="00B0797C" w14:paraId="599D5087" w14:textId="77777777" w:rsidTr="00B0797C">
        <w:trPr>
          <w:trHeight w:val="290"/>
        </w:trPr>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304C2C4E" w14:textId="77777777" w:rsidR="00B0797C" w:rsidRPr="00B0797C" w:rsidRDefault="00B0797C" w:rsidP="00A62975">
            <w:pPr>
              <w:jc w:val="left"/>
              <w:rPr>
                <w:b/>
                <w:bCs/>
                <w:color w:val="000000"/>
                <w:sz w:val="20"/>
                <w:szCs w:val="20"/>
                <w:lang w:val="es-ES"/>
              </w:rPr>
            </w:pPr>
            <w:r w:rsidRPr="00B0797C">
              <w:rPr>
                <w:b/>
                <w:color w:val="000000"/>
                <w:sz w:val="20"/>
                <w:lang w:val="es-ES"/>
              </w:rPr>
              <w:t>Total general</w:t>
            </w:r>
          </w:p>
        </w:tc>
        <w:tc>
          <w:tcPr>
            <w:tcW w:w="669" w:type="pct"/>
            <w:tcBorders>
              <w:top w:val="nil"/>
              <w:left w:val="nil"/>
              <w:bottom w:val="single" w:sz="4" w:space="0" w:color="auto"/>
              <w:right w:val="single" w:sz="4" w:space="0" w:color="auto"/>
            </w:tcBorders>
            <w:shd w:val="clear" w:color="auto" w:fill="auto"/>
            <w:noWrap/>
            <w:vAlign w:val="bottom"/>
            <w:hideMark/>
          </w:tcPr>
          <w:p w14:paraId="754C8978" w14:textId="3DBB4645" w:rsidR="00B0797C" w:rsidRPr="00B0797C" w:rsidRDefault="00B0797C" w:rsidP="00A62975">
            <w:pPr>
              <w:jc w:val="right"/>
              <w:rPr>
                <w:b/>
                <w:bCs/>
                <w:color w:val="000000"/>
                <w:sz w:val="20"/>
                <w:szCs w:val="20"/>
                <w:lang w:val="es-ES"/>
              </w:rPr>
            </w:pPr>
            <w:r w:rsidRPr="00B0797C">
              <w:rPr>
                <w:b/>
                <w:color w:val="000000"/>
                <w:sz w:val="20"/>
                <w:lang w:val="es-ES"/>
              </w:rPr>
              <w:t>362</w:t>
            </w:r>
            <w:r w:rsidR="00A62975">
              <w:rPr>
                <w:b/>
                <w:color w:val="000000"/>
                <w:sz w:val="20"/>
                <w:lang w:val="es-ES"/>
              </w:rPr>
              <w:t> </w:t>
            </w:r>
            <w:r w:rsidRPr="00B0797C">
              <w:rPr>
                <w:b/>
                <w:color w:val="000000"/>
                <w:sz w:val="20"/>
                <w:lang w:val="es-ES"/>
              </w:rPr>
              <w:t>795</w:t>
            </w:r>
            <w:r w:rsidR="00A62975">
              <w:rPr>
                <w:b/>
                <w:color w:val="000000"/>
                <w:sz w:val="20"/>
                <w:lang w:val="es-ES"/>
              </w:rPr>
              <w:t> </w:t>
            </w:r>
            <w:r w:rsidRPr="00B0797C">
              <w:rPr>
                <w:b/>
                <w:color w:val="000000"/>
                <w:sz w:val="20"/>
                <w:lang w:val="es-ES"/>
              </w:rPr>
              <w:t>517</w:t>
            </w:r>
          </w:p>
        </w:tc>
        <w:tc>
          <w:tcPr>
            <w:tcW w:w="669" w:type="pct"/>
            <w:tcBorders>
              <w:top w:val="nil"/>
              <w:left w:val="nil"/>
              <w:bottom w:val="single" w:sz="4" w:space="0" w:color="auto"/>
              <w:right w:val="single" w:sz="4" w:space="0" w:color="auto"/>
            </w:tcBorders>
            <w:shd w:val="clear" w:color="auto" w:fill="auto"/>
            <w:noWrap/>
            <w:vAlign w:val="bottom"/>
            <w:hideMark/>
          </w:tcPr>
          <w:p w14:paraId="1442B855" w14:textId="684786F4" w:rsidR="00B0797C" w:rsidRPr="00B0797C" w:rsidRDefault="00B0797C" w:rsidP="00A62975">
            <w:pPr>
              <w:jc w:val="right"/>
              <w:rPr>
                <w:b/>
                <w:bCs/>
                <w:color w:val="000000"/>
                <w:sz w:val="20"/>
                <w:szCs w:val="20"/>
                <w:lang w:val="es-ES"/>
              </w:rPr>
            </w:pPr>
            <w:r w:rsidRPr="00B0797C">
              <w:rPr>
                <w:b/>
                <w:color w:val="000000"/>
                <w:sz w:val="20"/>
                <w:lang w:val="es-ES"/>
              </w:rPr>
              <w:t>358</w:t>
            </w:r>
            <w:r w:rsidR="00A62975">
              <w:rPr>
                <w:b/>
                <w:color w:val="000000"/>
                <w:sz w:val="20"/>
                <w:lang w:val="es-ES"/>
              </w:rPr>
              <w:t> </w:t>
            </w:r>
            <w:r w:rsidRPr="00B0797C">
              <w:rPr>
                <w:b/>
                <w:color w:val="000000"/>
                <w:sz w:val="20"/>
                <w:lang w:val="es-ES"/>
              </w:rPr>
              <w:t>842</w:t>
            </w:r>
            <w:r w:rsidR="00A62975">
              <w:rPr>
                <w:b/>
                <w:color w:val="000000"/>
                <w:sz w:val="20"/>
                <w:lang w:val="es-ES"/>
              </w:rPr>
              <w:t> </w:t>
            </w:r>
            <w:r w:rsidRPr="00B0797C">
              <w:rPr>
                <w:b/>
                <w:color w:val="000000"/>
                <w:sz w:val="20"/>
                <w:lang w:val="es-ES"/>
              </w:rPr>
              <w:t>709</w:t>
            </w:r>
          </w:p>
        </w:tc>
        <w:tc>
          <w:tcPr>
            <w:tcW w:w="590" w:type="pct"/>
            <w:tcBorders>
              <w:top w:val="nil"/>
              <w:left w:val="nil"/>
              <w:bottom w:val="single" w:sz="4" w:space="0" w:color="auto"/>
              <w:right w:val="single" w:sz="4" w:space="0" w:color="auto"/>
            </w:tcBorders>
            <w:shd w:val="clear" w:color="auto" w:fill="auto"/>
            <w:noWrap/>
            <w:vAlign w:val="bottom"/>
            <w:hideMark/>
          </w:tcPr>
          <w:p w14:paraId="5EA6528B" w14:textId="50CA34E5" w:rsidR="00B0797C" w:rsidRPr="00B0797C" w:rsidRDefault="00B0797C" w:rsidP="00A62975">
            <w:pPr>
              <w:jc w:val="right"/>
              <w:rPr>
                <w:b/>
                <w:bCs/>
                <w:color w:val="000000"/>
                <w:sz w:val="20"/>
                <w:szCs w:val="20"/>
                <w:lang w:val="es-ES"/>
              </w:rPr>
            </w:pPr>
            <w:r w:rsidRPr="00B0797C">
              <w:rPr>
                <w:b/>
                <w:color w:val="000000"/>
                <w:sz w:val="20"/>
                <w:lang w:val="es-ES"/>
              </w:rPr>
              <w:t>1</w:t>
            </w:r>
            <w:r w:rsidR="003470DE">
              <w:rPr>
                <w:b/>
                <w:color w:val="000000"/>
                <w:sz w:val="20"/>
                <w:lang w:val="es-ES"/>
              </w:rPr>
              <w:t xml:space="preserve"> </w:t>
            </w:r>
            <w:r w:rsidRPr="00B0797C">
              <w:rPr>
                <w:b/>
                <w:color w:val="000000"/>
                <w:sz w:val="20"/>
                <w:lang w:val="es-ES"/>
              </w:rPr>
              <w:t>853</w:t>
            </w:r>
          </w:p>
        </w:tc>
        <w:tc>
          <w:tcPr>
            <w:tcW w:w="431" w:type="pct"/>
            <w:tcBorders>
              <w:top w:val="nil"/>
              <w:left w:val="nil"/>
              <w:bottom w:val="single" w:sz="4" w:space="0" w:color="auto"/>
              <w:right w:val="single" w:sz="4" w:space="0" w:color="auto"/>
            </w:tcBorders>
            <w:shd w:val="clear" w:color="auto" w:fill="auto"/>
            <w:noWrap/>
            <w:vAlign w:val="bottom"/>
            <w:hideMark/>
          </w:tcPr>
          <w:p w14:paraId="2DB98B25" w14:textId="3E7B6DF3" w:rsidR="00B0797C" w:rsidRPr="00B0797C" w:rsidRDefault="00B0797C" w:rsidP="00A62975">
            <w:pPr>
              <w:jc w:val="right"/>
              <w:rPr>
                <w:b/>
                <w:bCs/>
                <w:color w:val="000000"/>
                <w:sz w:val="20"/>
                <w:szCs w:val="20"/>
                <w:lang w:val="es-ES"/>
              </w:rPr>
            </w:pPr>
            <w:r w:rsidRPr="00B0797C">
              <w:rPr>
                <w:b/>
                <w:color w:val="000000"/>
                <w:sz w:val="20"/>
                <w:lang w:val="es-ES"/>
              </w:rPr>
              <w:t>2</w:t>
            </w:r>
            <w:r w:rsidR="003470DE">
              <w:rPr>
                <w:b/>
                <w:color w:val="000000"/>
                <w:sz w:val="20"/>
                <w:lang w:val="es-ES"/>
              </w:rPr>
              <w:t xml:space="preserve"> </w:t>
            </w:r>
            <w:r w:rsidRPr="00B0797C">
              <w:rPr>
                <w:b/>
                <w:color w:val="000000"/>
                <w:sz w:val="20"/>
                <w:lang w:val="es-ES"/>
              </w:rPr>
              <w:t>603</w:t>
            </w:r>
          </w:p>
        </w:tc>
        <w:tc>
          <w:tcPr>
            <w:tcW w:w="590" w:type="pct"/>
            <w:tcBorders>
              <w:top w:val="nil"/>
              <w:left w:val="nil"/>
              <w:bottom w:val="single" w:sz="4" w:space="0" w:color="auto"/>
              <w:right w:val="single" w:sz="4" w:space="0" w:color="auto"/>
            </w:tcBorders>
            <w:shd w:val="clear" w:color="auto" w:fill="auto"/>
            <w:noWrap/>
            <w:vAlign w:val="bottom"/>
            <w:hideMark/>
          </w:tcPr>
          <w:p w14:paraId="421BCC74" w14:textId="50720C00" w:rsidR="00B0797C" w:rsidRPr="00B0797C" w:rsidRDefault="00B0797C" w:rsidP="00A62975">
            <w:pPr>
              <w:jc w:val="right"/>
              <w:rPr>
                <w:b/>
                <w:bCs/>
                <w:color w:val="000000"/>
                <w:sz w:val="20"/>
                <w:szCs w:val="20"/>
                <w:lang w:val="es-ES"/>
              </w:rPr>
            </w:pPr>
            <w:r w:rsidRPr="00B0797C">
              <w:rPr>
                <w:b/>
                <w:color w:val="000000"/>
                <w:sz w:val="20"/>
                <w:lang w:val="es-ES"/>
              </w:rPr>
              <w:t>26</w:t>
            </w:r>
            <w:r w:rsidR="00A62975">
              <w:rPr>
                <w:b/>
                <w:color w:val="000000"/>
                <w:sz w:val="20"/>
                <w:lang w:val="es-ES"/>
              </w:rPr>
              <w:t> </w:t>
            </w:r>
            <w:r w:rsidRPr="00B0797C">
              <w:rPr>
                <w:b/>
                <w:color w:val="000000"/>
                <w:sz w:val="20"/>
                <w:lang w:val="es-ES"/>
              </w:rPr>
              <w:t>988</w:t>
            </w:r>
          </w:p>
        </w:tc>
        <w:tc>
          <w:tcPr>
            <w:tcW w:w="648" w:type="pct"/>
            <w:tcBorders>
              <w:top w:val="nil"/>
              <w:left w:val="nil"/>
              <w:bottom w:val="single" w:sz="4" w:space="0" w:color="auto"/>
              <w:right w:val="single" w:sz="4" w:space="0" w:color="auto"/>
            </w:tcBorders>
            <w:shd w:val="clear" w:color="auto" w:fill="auto"/>
            <w:noWrap/>
            <w:vAlign w:val="bottom"/>
            <w:hideMark/>
          </w:tcPr>
          <w:p w14:paraId="3F7F58F4" w14:textId="06A12CA7" w:rsidR="00B0797C" w:rsidRPr="00B0797C" w:rsidRDefault="00B0797C" w:rsidP="00A62975">
            <w:pPr>
              <w:jc w:val="right"/>
              <w:rPr>
                <w:b/>
                <w:bCs/>
                <w:color w:val="000000"/>
                <w:sz w:val="20"/>
                <w:szCs w:val="20"/>
                <w:lang w:val="es-ES"/>
              </w:rPr>
            </w:pPr>
            <w:r w:rsidRPr="00B0797C">
              <w:rPr>
                <w:b/>
                <w:color w:val="000000"/>
                <w:sz w:val="20"/>
                <w:lang w:val="es-ES"/>
              </w:rPr>
              <w:t>30</w:t>
            </w:r>
            <w:r w:rsidR="00A62975">
              <w:rPr>
                <w:b/>
                <w:color w:val="000000"/>
                <w:sz w:val="20"/>
                <w:lang w:val="es-ES"/>
              </w:rPr>
              <w:t> </w:t>
            </w:r>
            <w:r w:rsidRPr="00B0797C">
              <w:rPr>
                <w:b/>
                <w:color w:val="000000"/>
                <w:sz w:val="20"/>
                <w:lang w:val="es-ES"/>
              </w:rPr>
              <w:t>958</w:t>
            </w:r>
          </w:p>
        </w:tc>
        <w:tc>
          <w:tcPr>
            <w:tcW w:w="693" w:type="pct"/>
            <w:tcBorders>
              <w:top w:val="nil"/>
              <w:left w:val="nil"/>
              <w:bottom w:val="single" w:sz="4" w:space="0" w:color="auto"/>
              <w:right w:val="single" w:sz="4" w:space="0" w:color="auto"/>
            </w:tcBorders>
            <w:shd w:val="clear" w:color="auto" w:fill="auto"/>
            <w:noWrap/>
            <w:vAlign w:val="bottom"/>
            <w:hideMark/>
          </w:tcPr>
          <w:p w14:paraId="1384682D" w14:textId="77777777" w:rsidR="00B0797C" w:rsidRPr="00B0797C" w:rsidRDefault="00B0797C" w:rsidP="00A62975">
            <w:pPr>
              <w:jc w:val="right"/>
              <w:rPr>
                <w:b/>
                <w:bCs/>
                <w:color w:val="000000"/>
                <w:sz w:val="20"/>
                <w:szCs w:val="20"/>
                <w:lang w:val="es-ES"/>
              </w:rPr>
            </w:pPr>
            <w:r w:rsidRPr="00B0797C">
              <w:rPr>
                <w:b/>
                <w:color w:val="000000"/>
                <w:sz w:val="20"/>
                <w:lang w:val="es-ES"/>
              </w:rPr>
              <w:t>20,20</w:t>
            </w:r>
          </w:p>
        </w:tc>
      </w:tr>
    </w:tbl>
    <w:p w14:paraId="03271E24" w14:textId="77777777" w:rsidR="00B0797C" w:rsidRPr="00B0797C" w:rsidRDefault="00B0797C" w:rsidP="00A62975">
      <w:pPr>
        <w:rPr>
          <w:sz w:val="20"/>
          <w:szCs w:val="20"/>
          <w:lang w:val="es-ES"/>
        </w:rPr>
      </w:pPr>
    </w:p>
    <w:p w14:paraId="0EBC0F6B" w14:textId="77777777" w:rsidR="00B0797C" w:rsidRPr="00B0797C" w:rsidRDefault="00B0797C" w:rsidP="00A62975">
      <w:pPr>
        <w:spacing w:before="120" w:after="240"/>
        <w:rPr>
          <w:b/>
          <w:szCs w:val="20"/>
          <w:lang w:val="es-ES"/>
        </w:rPr>
      </w:pPr>
      <w:r w:rsidRPr="00B0797C">
        <w:rPr>
          <w:b/>
          <w:lang w:val="es-ES"/>
        </w:rPr>
        <w:t>Motivos de las demoras</w:t>
      </w:r>
    </w:p>
    <w:p w14:paraId="5FA82229" w14:textId="77777777" w:rsidR="00B0797C" w:rsidRPr="00B0797C" w:rsidRDefault="00B0797C" w:rsidP="00A62975">
      <w:pPr>
        <w:pStyle w:val="Heading1"/>
        <w:numPr>
          <w:ilvl w:val="0"/>
          <w:numId w:val="21"/>
        </w:numPr>
        <w:spacing w:before="240"/>
        <w:rPr>
          <w:lang w:val="es-ES"/>
        </w:rPr>
      </w:pPr>
      <w:r w:rsidRPr="00B0797C">
        <w:rPr>
          <w:lang w:val="es-ES"/>
        </w:rPr>
        <w:t>La participación del gobierno y el lugar de la dependencia nacional del ozono dentro del gobierno influyen en la ejecución puntual de los proyectos. En uno de los casos, el gobierno revisó repentinamente el plan nacional para priorizar la prohibición de los HCFC, lo que demuestra la repercusión que la participación del gobierno puede tener en la ejecución de los proyectos. En otro caso, la reestructuración de los organismos del gobierno, combinada con la falta de conocimientos especializados de la DNO afectó su capacitad para establecer una relación de negocios con las empresas y ocasionó demoras en la ejecución. La falta de conocimientos especializados de la DNO también afectó el diseño y la supervisión de los proyectos. Además, determinadas demoras en la ejecución pueden tener un efecto de arrastre en los tramos subsiguientes, lo que demora los desembolsos.</w:t>
      </w:r>
    </w:p>
    <w:p w14:paraId="503368C4" w14:textId="047135C0" w:rsidR="00B0797C" w:rsidRPr="00B0797C" w:rsidRDefault="00B0797C" w:rsidP="00A62975">
      <w:pPr>
        <w:pStyle w:val="Heading1"/>
        <w:numPr>
          <w:ilvl w:val="0"/>
          <w:numId w:val="21"/>
        </w:numPr>
        <w:spacing w:before="240"/>
        <w:rPr>
          <w:lang w:val="es-ES"/>
        </w:rPr>
      </w:pPr>
      <w:r w:rsidRPr="00B0797C">
        <w:rPr>
          <w:lang w:val="es-ES"/>
        </w:rPr>
        <w:t xml:space="preserve">En uno de los casos, la lentitud para ultimar/revisar las normas condujo a una lenta adopción de las tecnologías alternativas en el mercado local, lo que a su vez demoró el desembolso de los costos adicionales </w:t>
      </w:r>
      <w:r w:rsidRPr="00B0797C">
        <w:rPr>
          <w:lang w:val="es-ES"/>
        </w:rPr>
        <w:lastRenderedPageBreak/>
        <w:t>de explotación. Las demoras relacionadas con las empresas se debieron, entre otras cosas, a problemas técnicos y cuestiones financieras durante el proceso de conversión.</w:t>
      </w:r>
      <w:r w:rsidRPr="00B0797C">
        <w:rPr>
          <w:color w:val="000000"/>
          <w:shd w:val="clear" w:color="auto" w:fill="FFFFFF"/>
          <w:lang w:val="es-ES"/>
        </w:rPr>
        <w:t xml:space="preserve"> En un país, a fin de superar estos obstáculos, se acordó enmendar los acuerdos de subvención subordinados para prorrogar algunos de los </w:t>
      </w:r>
      <w:proofErr w:type="spellStart"/>
      <w:r w:rsidRPr="00B0797C">
        <w:rPr>
          <w:color w:val="000000"/>
          <w:shd w:val="clear" w:color="auto" w:fill="FFFFFF"/>
          <w:lang w:val="es-ES"/>
        </w:rPr>
        <w:t>subproyectos</w:t>
      </w:r>
      <w:proofErr w:type="spellEnd"/>
      <w:r w:rsidRPr="00B0797C">
        <w:rPr>
          <w:color w:val="000000"/>
          <w:shd w:val="clear" w:color="auto" w:fill="FFFFFF"/>
          <w:lang w:val="es-ES"/>
        </w:rPr>
        <w:t xml:space="preserve"> y cancelar los acuerdos subordinados para las empresas beneficiarias que no pudieron superar esos obstáculos. En otro país, la empresa más grande tuvo que cancelar el proyecto después de dos años de dificultades financieras, lo que afectó en gran medida la ejecución puntual del proyecto. En un tercer país, algunos usuarios finales se retiraron del acuerdo y otros demoraron más que lo previsto en proporcionar los documentos necesarios o solicitaron cambiar los proveedores de sistemas para la </w:t>
      </w:r>
      <w:r w:rsidR="003470DE" w:rsidRPr="00B0797C">
        <w:rPr>
          <w:color w:val="000000"/>
          <w:shd w:val="clear" w:color="auto" w:fill="FFFFFF"/>
          <w:lang w:val="es-ES"/>
        </w:rPr>
        <w:t>retro adaptación</w:t>
      </w:r>
      <w:r w:rsidRPr="00B0797C">
        <w:rPr>
          <w:color w:val="000000"/>
          <w:shd w:val="clear" w:color="auto" w:fill="FFFFFF"/>
          <w:lang w:val="es-ES"/>
        </w:rPr>
        <w:t xml:space="preserve"> a último momento, lo que ocasionó demoras. </w:t>
      </w:r>
    </w:p>
    <w:p w14:paraId="5F471A4B" w14:textId="77777777" w:rsidR="00B0797C" w:rsidRPr="00B0797C" w:rsidRDefault="00B0797C" w:rsidP="00A62975">
      <w:pPr>
        <w:pStyle w:val="Heading1"/>
        <w:numPr>
          <w:ilvl w:val="0"/>
          <w:numId w:val="21"/>
        </w:numPr>
        <w:spacing w:before="240"/>
        <w:rPr>
          <w:shd w:val="clear" w:color="auto" w:fill="FFFFFF"/>
          <w:lang w:val="es-ES"/>
        </w:rPr>
      </w:pPr>
      <w:r w:rsidRPr="00B0797C">
        <w:rPr>
          <w:lang w:val="es-ES"/>
        </w:rPr>
        <w:t xml:space="preserve">Las demoras relacionadas con los proveedores se vincularon con los ejercicios de adquisición y licitación de equipos/herramientas. </w:t>
      </w:r>
      <w:r w:rsidRPr="00B0797C">
        <w:rPr>
          <w:shd w:val="clear" w:color="auto" w:fill="FFFFFF"/>
          <w:lang w:val="es-ES"/>
        </w:rPr>
        <w:t>En dos países, no se recibieron respuestas a la licitación de compra debido a que no había ningún proveedor local adecuado disponible. En uno de los países, la licitación se publicó dos veces, pero como no respondió ninguna empresa local, los equipos fueron suministrados por una empresa internacional. En el otro país, la licitación para un paquete de equipos y herramientas de servicio y mantenimiento se publicó varias veces; dado que en ninguna de estas oportunidades hubo oferentes, las especificaciones de los equipos fueron revisadas por un comité nacional a fin de ajustarlas a los equipos comúnmente disponibles en el mercado local, lo que llevó cierto tiempo. Un tercer país enfrentó problemas relacionados con el agente de enjuague, que ocasionó daños en el equipo, que tuvo que ser reemplazado, mientras que los centros de capacitación enfrentaron problemas relacionados con el sobrecalentamiento de sus unidades de enjuague, que ocasionaron más demoras en el proyecto. El mismo país también tuvo que resolver la insuficiencia de cofinanciación obteniendo un aumento en sus costos adicionales de capital.</w:t>
      </w:r>
    </w:p>
    <w:p w14:paraId="45C88916" w14:textId="77777777" w:rsidR="00B0797C" w:rsidRPr="00B0797C" w:rsidRDefault="00B0797C" w:rsidP="00A62975">
      <w:pPr>
        <w:rPr>
          <w:color w:val="000000"/>
          <w:u w:val="single"/>
          <w:shd w:val="clear" w:color="auto" w:fill="FFFFFF"/>
          <w:lang w:val="es-ES"/>
        </w:rPr>
      </w:pPr>
      <w:r w:rsidRPr="00B0797C">
        <w:rPr>
          <w:color w:val="000000"/>
          <w:u w:val="single"/>
          <w:shd w:val="clear" w:color="auto" w:fill="FFFFFF"/>
          <w:lang w:val="es-ES"/>
        </w:rPr>
        <w:t>Sector de producción</w:t>
      </w:r>
    </w:p>
    <w:p w14:paraId="393FE2AA"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 xml:space="preserve">En lo que respecta a las cuestiones administrativas, en un país el puesto de coordinador de la dependencia de gestión de proyecto (DGP) estuvo vacante durante mucho tiempo, lo que desaceleró la ejecución del proyecto, mientras que en otro país las prioridades nacionales contrapuestas afectaron la aceptación final de algunos </w:t>
      </w:r>
      <w:proofErr w:type="spellStart"/>
      <w:r w:rsidRPr="00B0797C">
        <w:rPr>
          <w:color w:val="000000"/>
          <w:shd w:val="clear" w:color="auto" w:fill="FFFFFF"/>
          <w:lang w:val="es-ES"/>
        </w:rPr>
        <w:t>subproyectos</w:t>
      </w:r>
      <w:proofErr w:type="spellEnd"/>
      <w:r w:rsidRPr="00B0797C">
        <w:rPr>
          <w:color w:val="000000"/>
          <w:shd w:val="clear" w:color="auto" w:fill="FFFFFF"/>
          <w:lang w:val="es-ES"/>
        </w:rPr>
        <w:t xml:space="preserve">. </w:t>
      </w:r>
    </w:p>
    <w:p w14:paraId="62E76D25"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En lo que respecta a las cuestiones financieras, las demoras que sufrió un intermediario financiero impidieron que se realizaran las transferencias de fondos para un proyecto. El intermediario financiero tenía fondos en una moneda extranjera y tuvo que atenerse a las leyes vigentes. La introducción del Sistema de liquidación bruta en tiempo real (noviembre de 2005) permitió que los desembolsos llegaran directamente a los beneficiarios en uno o dos días, con lo que se resolvió la cuestión.</w:t>
      </w:r>
    </w:p>
    <w:p w14:paraId="63531907" w14:textId="6ADFCA71"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En la auditoría de verificación de un productor de CFC específ</w:t>
      </w:r>
      <w:r>
        <w:rPr>
          <w:color w:val="000000"/>
          <w:shd w:val="clear" w:color="auto" w:fill="FFFFFF"/>
          <w:lang w:val="es-ES"/>
        </w:rPr>
        <w:t>ico se detectó una discrepancia</w:t>
      </w:r>
      <w:r w:rsidRPr="00B0797C">
        <w:rPr>
          <w:color w:val="000000"/>
          <w:shd w:val="clear" w:color="auto" w:fill="FFFFFF"/>
          <w:lang w:val="es-ES"/>
        </w:rPr>
        <w:t xml:space="preserve"> de datos que afectó la puntualidad en la ejecución. Sin embargo, una vez que se proporcionaron aclaraciones y se presentó la hoja de datos de materiales, se garantizaron los fondos para la segunda mitad del año y la aprobación del plan anual para el año siguiente.</w:t>
      </w:r>
    </w:p>
    <w:p w14:paraId="05F413AA" w14:textId="77777777" w:rsidR="00B0797C" w:rsidRPr="00B0797C" w:rsidRDefault="00B0797C" w:rsidP="00A62975">
      <w:pPr>
        <w:pStyle w:val="Heading1"/>
        <w:numPr>
          <w:ilvl w:val="0"/>
          <w:numId w:val="21"/>
        </w:numPr>
        <w:spacing w:before="240"/>
        <w:rPr>
          <w:lang w:val="es-ES"/>
        </w:rPr>
      </w:pPr>
      <w:r w:rsidRPr="00B0797C">
        <w:rPr>
          <w:lang w:val="es-ES"/>
        </w:rPr>
        <w:t>Las demoras relacionadas con los proveedores se vincularon con la falta de equipos; en concreto, el acceso a compresores de HFC</w:t>
      </w:r>
      <w:r w:rsidRPr="00B0797C">
        <w:rPr>
          <w:lang w:val="es-ES"/>
        </w:rPr>
        <w:noBreakHyphen/>
        <w:t xml:space="preserve">32 en un caso y, en otro, la adquisición de equipos en un país sujeto a un embargo. </w:t>
      </w:r>
    </w:p>
    <w:p w14:paraId="7FA3065E" w14:textId="77777777" w:rsidR="00B0797C" w:rsidRPr="00B0797C" w:rsidRDefault="00B0797C" w:rsidP="003470DE">
      <w:pPr>
        <w:pStyle w:val="Heading1"/>
        <w:keepNext/>
        <w:keepLines/>
        <w:numPr>
          <w:ilvl w:val="0"/>
          <w:numId w:val="0"/>
        </w:numPr>
        <w:tabs>
          <w:tab w:val="left" w:pos="720"/>
        </w:tabs>
        <w:rPr>
          <w:b/>
          <w:lang w:val="es-ES"/>
        </w:rPr>
      </w:pPr>
      <w:r w:rsidRPr="00B0797C">
        <w:rPr>
          <w:b/>
          <w:lang w:val="es-ES"/>
        </w:rPr>
        <w:lastRenderedPageBreak/>
        <w:t>Lecciones aprendidas</w:t>
      </w:r>
      <w:r w:rsidRPr="00B0797C">
        <w:rPr>
          <w:vertAlign w:val="superscript"/>
          <w:lang w:val="es-ES"/>
        </w:rPr>
        <w:footnoteReference w:id="2"/>
      </w:r>
      <w:r w:rsidRPr="00B0797C">
        <w:rPr>
          <w:lang w:val="es-ES"/>
        </w:rPr>
        <w:t xml:space="preserve"> </w:t>
      </w:r>
    </w:p>
    <w:p w14:paraId="2C384B65" w14:textId="77777777" w:rsidR="00B0797C" w:rsidRPr="00B0797C" w:rsidRDefault="00B0797C" w:rsidP="00A62975">
      <w:pPr>
        <w:pStyle w:val="Heading1"/>
        <w:numPr>
          <w:ilvl w:val="0"/>
          <w:numId w:val="21"/>
        </w:numPr>
        <w:spacing w:before="240"/>
        <w:rPr>
          <w:color w:val="000000"/>
          <w:shd w:val="clear" w:color="auto" w:fill="FFFFFF"/>
          <w:lang w:val="es-ES"/>
        </w:rPr>
      </w:pPr>
      <w:bookmarkStart w:id="0" w:name="_Toc370910623"/>
      <w:bookmarkStart w:id="1" w:name="_Toc147920737"/>
      <w:bookmarkStart w:id="2" w:name="_Toc147387247"/>
      <w:bookmarkStart w:id="3" w:name="_Toc147305504"/>
      <w:bookmarkStart w:id="4" w:name="_Toc147305215"/>
      <w:bookmarkStart w:id="5" w:name="_Toc147292222"/>
      <w:bookmarkStart w:id="6" w:name="_Toc147283939"/>
      <w:bookmarkStart w:id="7" w:name="_Toc147217699"/>
      <w:bookmarkStart w:id="8" w:name="_Toc117922249"/>
      <w:bookmarkStart w:id="9" w:name="_Toc56412815"/>
      <w:r w:rsidRPr="00B0797C">
        <w:rPr>
          <w:lang w:val="es-ES"/>
        </w:rPr>
        <w:t>Las consultas regulares con los organismos de ejecución y la supervisión y vigilancia estrecha y frecuente de los proyectos facilitan la identificación y resolución tempranas de las cuestiones que pueden afectar el progreso adecuado en la ejecución.</w:t>
      </w:r>
      <w:r w:rsidRPr="00B0797C">
        <w:rPr>
          <w:color w:val="000000"/>
          <w:shd w:val="clear" w:color="auto" w:fill="FFFFFF"/>
          <w:lang w:val="es-ES"/>
        </w:rPr>
        <w:t xml:space="preserve"> </w:t>
      </w:r>
    </w:p>
    <w:p w14:paraId="06B1364A"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En los países grandes, la colaboración entre proyectos es una ventaja, como en el caso de un plan sectorial en el que la integración y colaboración entre los enfoques nacionales y sectoriales generó las sinergias necesarias. Otro país explicó que la cooperación Sur</w:t>
      </w:r>
      <w:r w:rsidRPr="00B0797C">
        <w:rPr>
          <w:color w:val="000000"/>
          <w:shd w:val="clear" w:color="auto" w:fill="FFFFFF"/>
          <w:lang w:val="es-ES"/>
        </w:rPr>
        <w:noBreakHyphen/>
        <w:t xml:space="preserve">Sur facilitada por el PNUMA había resultado esencial para la capacitación de funcionarios de aduanas e instructores de refrigeración y aire acondicionado debido a que se carecía de capacidad y recursos dentro del país. </w:t>
      </w:r>
    </w:p>
    <w:p w14:paraId="577C6B21"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Debido a la inclusión de empresas pequeñas y medianas en la etapa II de los proyectos más grandes, puede ser necesario racionalizar aún más los sistemas de gestión y ejecución de los proyectos a fin de procesar un número elevado de contratos de eliminación dentro del plazo limitado disponible. Puede ser necesario adoptar un nuevo enfoque innovador para prestar asistencia a las empresas pequeñas y medianas. Un país mencionó que la verificación técnica y financiera continua de las empresas beneficiarias en el sitio puede ser un medio posible para garantizar su conversión exitosa. Esto podría no ser posible en los países más grandes.</w:t>
      </w:r>
    </w:p>
    <w:p w14:paraId="5B26BE4F"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 xml:space="preserve">El diseño de proyecto es un aspecto fundamental de la ejecución exitosa y requiere, entre otras cosas, un profundo conocimiento de la industria, estudios de factibilidad, un plan de trabajo detallado y bien definido y un sólido plan de sensibilización. De hecho, el diseño de proyecto debe tener en consideración plazos realistas para el procesamiento y la aprobación de las normas, políticas y marco reglamentario. Cuando se ofrecen varias opciones de tecnología, debe evaluarse de manera apropiada la adopción en el mercado de productos con tecnologías alternativas. Un ejemplo es la diversidad de aplicaciones de los productos de espuma de poliuretano, para la que se requiere evaluación y actualizaciones oportunas de los adelantos de las tecnologías alternativas, sobre la base de los requisitos específicos de las propiedades de la espuma de poliuretano en diferentes subsectores. </w:t>
      </w:r>
    </w:p>
    <w:p w14:paraId="785FB70F"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Las campañas de sensibilización y educación influyen directamente en el éxito de los proyectos. Ayudan a los usuarios finales a ser conscientes de la importancia de recurrir a técnicos de servicio y mantenimiento cualificados/certificados, y enseñan a los técnicos los beneficios de aplicar buenas prácticas de prevención, lo que con frecuencia permite lograr ingresos más elevados y un sistema más confiable y eficiente, con una vida más prolongada de los equipos, lo que ofrece mayores ahorros a largo plazo a los usuarios finales.</w:t>
      </w:r>
    </w:p>
    <w:p w14:paraId="0AFEBCE7"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Las lecciones relativas a la disponibilidad de tecnologías alternativas se relacionan, entre otras cosas, con lo siguiente: adopción en el mercado y precios de las alternativas, madurez de la tecnología, eficiencia energética y el logro de normas mínimas de rendimiento energético.</w:t>
      </w:r>
    </w:p>
    <w:p w14:paraId="69A1A688"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Para los países que dependen de las importaciones, la disponibilidad de alternativas depende de las tendencias mundiales y regionales. En muchos países que operan al amparo del artículo 5, los mercados son sensibles a los precios, lo que afecta en forma directa la penetración de las tecnologías de bajo PCA (que usualmente son más costosas al inicio), especialmente para los acondicionadores de aire. Por lo tanto, las actividades de sensibilización del público y de promoción deben llevarse a cabo simultáneamente con talleres de sensibilización y orientados al mercado para los importadores, comerciantes y vendedores de equipos, con la finalidad de promover la entrada al mercado de las tecnologías alternativas, estimulando los lados tanto de la demanda como de la oferta de la ecuación.</w:t>
      </w:r>
    </w:p>
    <w:p w14:paraId="797EAD95"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lastRenderedPageBreak/>
        <w:t xml:space="preserve">Puede ser más sencillo implementar la conversión a una tecnología establecida (por ejemplo, acondicionadores de aire a base de R-410A), especialmente en los países pequeños y que dependen de las importaciones, considerando la madurez de la tecnología, que afecta la disponibilidad de los principales componentes (por ejemplo, el compresor) y los refrigerantes. La madurez también beneficia la eficiencia energética debido a los esfuerzos continuos de investigación y desarrollo. Un país mencionó que sus empresas beneficiarias habían encontrado útil tanto la conversión como la capacitación relacionada, que condujo a mejoras en el proceso de producción, la seguridad de los trabajadores y las buenas prácticas en la instalación y en el servicio y mantenimiento. </w:t>
      </w:r>
    </w:p>
    <w:p w14:paraId="0BD628D7" w14:textId="67268FE0" w:rsidR="00B0797C" w:rsidRPr="00B0797C" w:rsidRDefault="00B0797C" w:rsidP="00A62975">
      <w:pPr>
        <w:pStyle w:val="Heading1"/>
        <w:numPr>
          <w:ilvl w:val="0"/>
          <w:numId w:val="21"/>
        </w:numPr>
        <w:spacing w:before="240"/>
        <w:rPr>
          <w:color w:val="000000"/>
          <w:shd w:val="clear" w:color="auto" w:fill="FFFFFF"/>
          <w:lang w:val="es-ES"/>
        </w:rPr>
      </w:pPr>
      <w:r w:rsidRPr="00B0797C">
        <w:rPr>
          <w:lang w:val="es-ES"/>
        </w:rPr>
        <w:t>La introducción de aparatos con mayor eficiencia energética en un país permitió lograr una reducción neta de emisiones de CO</w:t>
      </w:r>
      <w:r w:rsidRPr="00B0797C">
        <w:rPr>
          <w:vertAlign w:val="subscript"/>
          <w:lang w:val="es-ES"/>
        </w:rPr>
        <w:t>2</w:t>
      </w:r>
      <w:r w:rsidRPr="00B0797C">
        <w:rPr>
          <w:lang w:val="es-ES"/>
        </w:rPr>
        <w:t xml:space="preserve"> del 5</w:t>
      </w:r>
      <w:r w:rsidR="003470DE">
        <w:rPr>
          <w:lang w:val="es-ES"/>
        </w:rPr>
        <w:t xml:space="preserve"> por ciento</w:t>
      </w:r>
      <w:r w:rsidRPr="00B0797C">
        <w:rPr>
          <w:lang w:val="es-ES"/>
        </w:rPr>
        <w:t xml:space="preserve"> al 16</w:t>
      </w:r>
      <w:r w:rsidR="003470DE">
        <w:rPr>
          <w:lang w:val="es-ES"/>
        </w:rPr>
        <w:t xml:space="preserve"> por ciento</w:t>
      </w:r>
      <w:r w:rsidRPr="00B0797C">
        <w:rPr>
          <w:lang w:val="es-ES"/>
        </w:rPr>
        <w:t xml:space="preserve"> anual y contribuyó a una reducción del lado de la demanda en el sector energético del país.</w:t>
      </w:r>
      <w:r w:rsidRPr="00B0797C">
        <w:rPr>
          <w:color w:val="000000"/>
          <w:shd w:val="clear" w:color="auto" w:fill="FFFFFF"/>
          <w:lang w:val="es-ES"/>
        </w:rPr>
        <w:t xml:space="preserve"> En consecuencia, la conversión de su sector de aire acondicionado, que dejó de utilizar HCFC-22, involucró una actualización de la tecnología, que permitió que las empresas beneficiarias pudieran adoptar la tecnología de inversor para alcanzar las normas mínimas de rendimiento energético</w:t>
      </w:r>
      <w:r w:rsidRPr="00B0797C">
        <w:rPr>
          <w:rStyle w:val="FootnoteReference"/>
          <w:color w:val="000000"/>
          <w:shd w:val="clear" w:color="auto" w:fill="FFFFFF"/>
          <w:lang w:val="es-ES"/>
        </w:rPr>
        <w:footnoteReference w:id="3"/>
      </w:r>
      <w:r w:rsidRPr="00B0797C">
        <w:rPr>
          <w:color w:val="000000"/>
          <w:shd w:val="clear" w:color="auto" w:fill="FFFFFF"/>
          <w:lang w:val="es-ES"/>
        </w:rPr>
        <w:t>. La sincronización de la conversión del sector de aire acondicionado en la etapa I resultó adecuada y complementó la política del gobierno acerca de las energías renovables y la eficiencia energética, con lo que alcanzó su objetivo de un 20</w:t>
      </w:r>
      <w:r w:rsidR="003470DE">
        <w:rPr>
          <w:color w:val="000000"/>
          <w:shd w:val="clear" w:color="auto" w:fill="FFFFFF"/>
          <w:lang w:val="es-ES"/>
        </w:rPr>
        <w:t xml:space="preserve"> por ciento</w:t>
      </w:r>
      <w:r w:rsidRPr="00B0797C">
        <w:rPr>
          <w:color w:val="000000"/>
          <w:shd w:val="clear" w:color="auto" w:fill="FFFFFF"/>
          <w:lang w:val="es-ES"/>
        </w:rPr>
        <w:t xml:space="preserve"> de ahorro de energía.</w:t>
      </w:r>
    </w:p>
    <w:p w14:paraId="31E96F63"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 xml:space="preserve">Se deberían analizar otras opciones de política para complementar los esfuerzos de eliminación de los HCFC. En este sentido, el gobierno de un país propuso que la evaluación del impacto ambiental de los proyectos y edificios estuviera condicionada a la eliminación de las SAO o los equipos a base de SAO. A fin de aplicar estas políticas con eficacia, es esencial que las aduanas cuenten con capacidad para hacerlas cumplir, y se deben establecer los mecanismos de control necesarios para supervisar las estadísticas reales de importación de HCFC y la disponibilidad de refrigerantes ilícitos en el mercado local. </w:t>
      </w:r>
    </w:p>
    <w:p w14:paraId="6362F40B"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Las lecciones relativas a la creación de capacidad demostraron los beneficios de contar con una DGP sólida, que cuente con conocimientos especializados adecuados para el desarrollo del proyecto y la necesaria vinculación con la industria. La creación de capacidad también garantiza que las escuelas vocacionales, los técnicos y los funcionarios de aduanas tengan capacidad para usar los equipos y herramientas nuevos. Además, algunos países mencionaron los beneficios de contar con cursos de capacitación en línea sobre las tecnologías nuevas y futuras para mejorar las aptitudes de los técnicos.</w:t>
      </w:r>
    </w:p>
    <w:p w14:paraId="663923FC" w14:textId="0FAAAD1A"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El establecimiento y aplicación de un sistema de concesión de licencias para las SAO eficiente ayuda a supervisar y controlar el consumo de sustancias controladas y poner en práctica medidas oportunas para el logro de una eliminación permanente y sostenible de acuerdo al calendario, facilitando a la vez una estrecha colaboración con las aduanas, aumentando el intercambio de conocimientos y la comunicación regular. Además, un sistema de concesión de licencias mejora los conocimientos de la DNO acerca de los tipos y calidades de mezclas que contienen SAO que ingresan en el país.</w:t>
      </w:r>
    </w:p>
    <w:p w14:paraId="39265A28"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Otro país mencionó que la función del consultor o consultora nacional no debería limitarse a proporcionar conocimientos técnicos, dado que su participación ofrece grandes beneficios para el proyecto al establecer vínculos cercanos y confiables entre los interesados directos. El mismo país destacó la importancia de tener una lista actualizada de los clientes de cada proveedor de sistemas a fin de evitar demoras y permitirles actuar con rapidez y flexibilidad en la supervisión.</w:t>
      </w:r>
    </w:p>
    <w:p w14:paraId="0F5D81AF" w14:textId="77777777" w:rsidR="00B0797C" w:rsidRPr="00B0797C" w:rsidRDefault="00B0797C" w:rsidP="00A62975">
      <w:pPr>
        <w:pStyle w:val="Heading1"/>
        <w:numPr>
          <w:ilvl w:val="0"/>
          <w:numId w:val="0"/>
        </w:numPr>
        <w:spacing w:before="240"/>
        <w:rPr>
          <w:color w:val="000000"/>
          <w:u w:val="single"/>
          <w:shd w:val="clear" w:color="auto" w:fill="FFFFFF"/>
          <w:lang w:val="es-ES"/>
        </w:rPr>
      </w:pPr>
      <w:r w:rsidRPr="00B0797C">
        <w:rPr>
          <w:color w:val="000000"/>
          <w:u w:val="single"/>
          <w:shd w:val="clear" w:color="auto" w:fill="FFFFFF"/>
          <w:lang w:val="es-ES"/>
        </w:rPr>
        <w:t>Sector de producción</w:t>
      </w:r>
    </w:p>
    <w:p w14:paraId="1144BF30"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 xml:space="preserve">Las lecciones aprendidas para el sector de producción se relacionaron, entre otras cosas, con lo siguiente: políticas y reglamentos, supervisión y verificación, continuidad del personal y retención de </w:t>
      </w:r>
      <w:r w:rsidRPr="00B0797C">
        <w:rPr>
          <w:color w:val="000000"/>
          <w:shd w:val="clear" w:color="auto" w:fill="FFFFFF"/>
          <w:lang w:val="es-ES"/>
        </w:rPr>
        <w:lastRenderedPageBreak/>
        <w:t>conocimientos, comunicación y coordinación con los interesados directos, flexibilidad en los desembolsos y aplicación de las lecciones aprendidas anteriormente.</w:t>
      </w:r>
    </w:p>
    <w:p w14:paraId="15675926"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El sistema de cupos para la producción que se puso en práctica en un país dio buenos resultados para frenar la producción; no obstante, el país señaló que las restricciones de negociación anual de cupos entre los productores fue el principal motivo por el que las reducciones fueron mayores que aquellas establecidas por el Protocolo de Montreal. El calendario de los cupos, sin embargo, es esencial y debería reconsiderarse para evitar que haya restricciones artificiales de la producción de HCFC, que conducen a la producción y el comercio ilícitos. Esto tiende a intensificarse hacia finales del año, cuando algunos productores se quedan sin cupos para completar sus pedidos, mientras otros tienen cupos sin utilizar. </w:t>
      </w:r>
    </w:p>
    <w:p w14:paraId="38D3CFEF"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Dado que el sistema de cupos para las grandes empresas consumidoras logró tener la demanda bajo control, el control de las ventas por los productores mediante los reglamentos del mercado local cumplió una función importante para lograr los objetivos en el sector de consumo. Controlar y equilibrar la oferta y la demanda simultáneamente ha probado ser eficaz para cumplir los objetivos anuales del Protocolo de Montreal.</w:t>
      </w:r>
    </w:p>
    <w:p w14:paraId="30DCE874"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La complicada cadena de custodia desde la producción de HCFC hasta el comerciante y el destino de exportación final o el mercado local, requiere una metodología de supervisión y verificación eficaz. Esto es especialmente cierto en los países más grandes, donde la metodología aplicada en la etapa I ofreció un alto nivel de certeza respecto de las cifras finales de exportación anual de HCFC, que impulsó al país a usar este método en las etapas subsiguientes a fin de reflejar y confirmar los niveles de producción y consumo anuales.</w:t>
      </w:r>
    </w:p>
    <w:p w14:paraId="25CE81CF"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También se demostró la importancia de examinar continuamente los procedimientos de verificación a fin de garantizar que continuaran estando armonizados con las prácticas comerciales vigentes. Por ejemplo, debido a un cambio realizado en 2015 en los procedimientos aduaneros para supervisar las importaciones y exportaciones, ya no resultó posible recopilar los formularios de declaración de aduanas de los exportadores. El equipo de verificación tuvo que adaptar sus procedimientos de examen y usar los documentos de reintegro de exportaciones para verificar las exportaciones en el nivel de los productores.</w:t>
      </w:r>
    </w:p>
    <w:p w14:paraId="7E56A99A" w14:textId="30E3718E"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 xml:space="preserve">Otra de las lecciones demostró </w:t>
      </w:r>
      <w:r w:rsidR="006C6E63" w:rsidRPr="00B0797C">
        <w:rPr>
          <w:color w:val="000000"/>
          <w:shd w:val="clear" w:color="auto" w:fill="FFFFFF"/>
          <w:lang w:val="es-ES"/>
        </w:rPr>
        <w:t>que,</w:t>
      </w:r>
      <w:r w:rsidRPr="00B0797C">
        <w:rPr>
          <w:color w:val="000000"/>
          <w:shd w:val="clear" w:color="auto" w:fill="FFFFFF"/>
          <w:lang w:val="es-ES"/>
        </w:rPr>
        <w:t xml:space="preserve"> en lugar de aplicar un reglamento de comando y control desde el inicio del proyecto, el proceso de licitación ofrecía una oportunidad para recibir propuestas de instalaciones que podrían cerrar o reducir su capacidad de producción. Este mecanismo, atento a que tenía una buena relación de costo a eficacia, permitió lograr una reducción de la producción de HCFC más elevada que la prevista originalmente y en general condujo a que salieran primero del mercado las instalaciones ineficientes (es decir, con abundantes fugas), que no resultaban tan competitivas o ambientalmente racionales. Además, los diferentes tipos de contratos que se ofrecieron a los productores de HCFC (es decir, reducción de la producción, desmantelamiento de capacidad ociosa y cierre), cada uno de ellos con diferentes niveles de compensación, ayudaron a los productores a elegir la opción adecuada para sus respectivas situaciones.</w:t>
      </w:r>
    </w:p>
    <w:p w14:paraId="5DB57D1E" w14:textId="77777777"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 xml:space="preserve">Desde el punto de vista administrativo, el personal contribuyó continuamente a la ejecución fluida de los proyectos, creando una sinergia entre los interesados directos, algo que se destaca cuando una nueva contraparte, que no está familiarizada con los procedimientos de los interesados directos, se une al equipo. </w:t>
      </w:r>
    </w:p>
    <w:p w14:paraId="168DD1A0" w14:textId="29547881" w:rsidR="00B0797C" w:rsidRPr="00B0797C" w:rsidRDefault="00B0797C" w:rsidP="00A62975">
      <w:pPr>
        <w:pStyle w:val="Heading1"/>
        <w:numPr>
          <w:ilvl w:val="0"/>
          <w:numId w:val="21"/>
        </w:numPr>
        <w:spacing w:before="240"/>
        <w:rPr>
          <w:color w:val="000000"/>
          <w:shd w:val="clear" w:color="auto" w:fill="FFFFFF"/>
          <w:lang w:val="es-ES"/>
        </w:rPr>
      </w:pPr>
      <w:r w:rsidRPr="00B0797C">
        <w:rPr>
          <w:color w:val="000000"/>
          <w:shd w:val="clear" w:color="auto" w:fill="FFFFFF"/>
          <w:lang w:val="es-ES"/>
        </w:rPr>
        <w:t xml:space="preserve">En consecuencia, se requiere coordinación y una buena comunicación entre todos los interesados directos. Por ejemplo, el Banco Mundial mencionó la importancia de mantener una relación de colaboración con su intermediario financiero, que ha sido un importante aspecto de la ejecución exitosa de los proyectos con el correr de los años. En un país, la necesidad de integrar un mecanismo de coordinación robusto integrado en el diseño del proyecto se destacó en el sector de producción de CFC. Una coordinación estructurada entre los organismos multilaterales hubiera permitido que la ejecución fuera más eficaz, especialmente durante los últimos años del proyecto, cuando se permitía la producción de CFC únicamente </w:t>
      </w:r>
      <w:r w:rsidRPr="00B0797C">
        <w:rPr>
          <w:color w:val="000000"/>
          <w:shd w:val="clear" w:color="auto" w:fill="FFFFFF"/>
          <w:lang w:val="es-ES"/>
        </w:rPr>
        <w:lastRenderedPageBreak/>
        <w:t>para los inhaladores de dosis medidas (IDM) y los diferentes organismos bilaterales y de ejecución no tenían ningún contacto con el proyecto para el sector de producción de CFC que dirigía el Banco Mundial.</w:t>
      </w:r>
    </w:p>
    <w:p w14:paraId="59AFA5EA" w14:textId="77777777" w:rsidR="00B0797C" w:rsidRPr="00B0797C" w:rsidRDefault="00B0797C" w:rsidP="00A62975">
      <w:pPr>
        <w:pStyle w:val="Heading1"/>
        <w:numPr>
          <w:ilvl w:val="0"/>
          <w:numId w:val="21"/>
        </w:numPr>
        <w:tabs>
          <w:tab w:val="clear" w:pos="0"/>
          <w:tab w:val="num" w:pos="720"/>
        </w:tabs>
        <w:rPr>
          <w:lang w:val="es-ES"/>
        </w:rPr>
      </w:pPr>
      <w:r w:rsidRPr="00B0797C">
        <w:rPr>
          <w:lang w:val="es-ES"/>
        </w:rPr>
        <w:t>En otro país, el cierre temprano de la producción de CFC fue clave para reducir la disponibilidad de SAO en el mercado, lo que a su vez ayudó a sostener la reducción del consumo de SAO. El efecto se extendió en la región a los países que dependían de las exportaciones de CFC de ese país. Asimismo, el diseño de proyecto basado en el desempeño y orientado a los desembolsos del cierre de la producción de CFC dio a la empresa flexibilidad para disponer sus propios procedimientos de ejecución, lo que resultó ser menos costoso y más eficiente.</w:t>
      </w:r>
    </w:p>
    <w:p w14:paraId="427CE417" w14:textId="77777777" w:rsidR="00B0797C" w:rsidRPr="00B0797C" w:rsidRDefault="00B0797C" w:rsidP="00A62975">
      <w:pPr>
        <w:pStyle w:val="Heading1"/>
        <w:numPr>
          <w:ilvl w:val="0"/>
          <w:numId w:val="21"/>
        </w:numPr>
        <w:tabs>
          <w:tab w:val="clear" w:pos="0"/>
          <w:tab w:val="num" w:pos="720"/>
        </w:tabs>
        <w:rPr>
          <w:lang w:val="es-ES"/>
        </w:rPr>
      </w:pPr>
      <w:r w:rsidRPr="00B0797C">
        <w:rPr>
          <w:shd w:val="clear" w:color="auto" w:fill="FFFFFF"/>
          <w:lang w:val="es-ES"/>
        </w:rPr>
        <w:t>Otra lección importante que surgió de un proyecto para el sector de producción se derivó del acuerdo entre el gobierno y el Comité Ejecutivo acerca del hecho de que una determinada empresa que producía CFC-11, CFC-12 y HCFC-22 no tendría que desmantelar por completo su planta de producción.</w:t>
      </w:r>
      <w:r w:rsidRPr="00B0797C">
        <w:rPr>
          <w:color w:val="000000"/>
          <w:shd w:val="clear" w:color="auto" w:fill="FFFFFF"/>
          <w:lang w:val="es-ES"/>
        </w:rPr>
        <w:t xml:space="preserve"> Por el contrario, algunos equipos se pudieron reconfigurar para usarse en otros lugares, siempre que se mantuviera un registro de esa transición. Esta lección es de particular interés para proyectos similares (por ejemplo, plantas de producción con proceso cambiante), dado que se acordó que los fondos proporcionados estaban destinados al cierre total de la producción de CFC y que no se facilitarían recursos adicionales del Fondo Multilateral para actividades relacionadas tales como, entre otras, el eventual cierre de las instalaciones de HCFC que utilizan la infraestructura existente para el CFC. Por consiguiente, no fue necesario desmantelar toda la planta de producción ni destruir equipos clave, como se requiere para los proyectos de eliminación de la producción de SAO. </w:t>
      </w:r>
    </w:p>
    <w:p w14:paraId="4C471747" w14:textId="77777777" w:rsidR="00B0797C" w:rsidRPr="00B0797C" w:rsidRDefault="00B0797C" w:rsidP="00A62975">
      <w:pPr>
        <w:pStyle w:val="IIntroduction"/>
        <w:numPr>
          <w:ilvl w:val="0"/>
          <w:numId w:val="0"/>
        </w:numPr>
        <w:tabs>
          <w:tab w:val="left" w:pos="720"/>
        </w:tabs>
        <w:spacing w:before="0"/>
        <w:rPr>
          <w:sz w:val="22"/>
          <w:szCs w:val="22"/>
        </w:rPr>
      </w:pPr>
      <w:r w:rsidRPr="00B0797C">
        <w:rPr>
          <w:sz w:val="22"/>
        </w:rPr>
        <w:t xml:space="preserve">Informes de terminación de proyectos individuales recibidos </w:t>
      </w:r>
      <w:bookmarkEnd w:id="0"/>
      <w:bookmarkEnd w:id="1"/>
      <w:bookmarkEnd w:id="2"/>
      <w:bookmarkEnd w:id="3"/>
      <w:bookmarkEnd w:id="4"/>
      <w:bookmarkEnd w:id="5"/>
      <w:bookmarkEnd w:id="6"/>
      <w:bookmarkEnd w:id="7"/>
      <w:bookmarkEnd w:id="8"/>
      <w:bookmarkEnd w:id="9"/>
    </w:p>
    <w:p w14:paraId="5E54DF39" w14:textId="77777777" w:rsidR="00B0797C" w:rsidRPr="00B0797C" w:rsidRDefault="00B0797C" w:rsidP="00A62975">
      <w:pPr>
        <w:pStyle w:val="Heading1"/>
        <w:numPr>
          <w:ilvl w:val="0"/>
          <w:numId w:val="21"/>
        </w:numPr>
        <w:tabs>
          <w:tab w:val="clear" w:pos="0"/>
          <w:tab w:val="num" w:pos="720"/>
        </w:tabs>
        <w:rPr>
          <w:lang w:val="es-ES"/>
        </w:rPr>
      </w:pPr>
      <w:r w:rsidRPr="00B0797C">
        <w:rPr>
          <w:lang w:val="es-ES"/>
        </w:rPr>
        <w:t xml:space="preserve">Del total de 1 856 proyectos de inversión que se han completado, los organismos bilaterales y de ejecución habían presentado 1 850 informes de terminación de proyectos, por lo que restan 6 informes de terminación de proyectos pendientes, como se muestra en el Cuadro 3. </w:t>
      </w:r>
    </w:p>
    <w:p w14:paraId="79048524" w14:textId="77777777" w:rsidR="00B0797C" w:rsidRPr="00B0797C" w:rsidRDefault="00B0797C" w:rsidP="00A62975">
      <w:pPr>
        <w:pStyle w:val="FootnoteText"/>
        <w:ind w:left="14"/>
        <w:contextualSpacing/>
        <w:rPr>
          <w:b/>
          <w:sz w:val="21"/>
          <w:szCs w:val="21"/>
        </w:rPr>
      </w:pPr>
      <w:r w:rsidRPr="00B0797C">
        <w:rPr>
          <w:b/>
          <w:sz w:val="21"/>
        </w:rPr>
        <w:t>Cuadro 3. Informes de terminación de proyectos presentados para proyectos de inversión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562"/>
        <w:gridCol w:w="1616"/>
        <w:gridCol w:w="1724"/>
        <w:gridCol w:w="1866"/>
        <w:gridCol w:w="1582"/>
      </w:tblGrid>
      <w:tr w:rsidR="00B0797C" w:rsidRPr="00B0797C" w14:paraId="474555C5" w14:textId="77777777" w:rsidTr="00B0797C">
        <w:trPr>
          <w:cantSplit/>
          <w:tblHeader/>
        </w:trPr>
        <w:tc>
          <w:tcPr>
            <w:tcW w:w="1370" w:type="pct"/>
            <w:tcBorders>
              <w:top w:val="single" w:sz="4" w:space="0" w:color="auto"/>
              <w:left w:val="single" w:sz="4" w:space="0" w:color="auto"/>
              <w:bottom w:val="single" w:sz="4" w:space="0" w:color="auto"/>
              <w:right w:val="single" w:sz="4" w:space="0" w:color="auto"/>
            </w:tcBorders>
            <w:hideMark/>
          </w:tcPr>
          <w:p w14:paraId="3D74A473" w14:textId="77777777" w:rsidR="00B0797C" w:rsidRPr="00B0797C" w:rsidRDefault="00B0797C" w:rsidP="00A62975">
            <w:pPr>
              <w:jc w:val="left"/>
              <w:rPr>
                <w:b/>
                <w:snapToGrid w:val="0"/>
                <w:sz w:val="20"/>
                <w:szCs w:val="20"/>
                <w:lang w:val="es-ES"/>
              </w:rPr>
            </w:pPr>
            <w:r w:rsidRPr="00B0797C">
              <w:rPr>
                <w:b/>
                <w:snapToGrid w:val="0"/>
                <w:sz w:val="20"/>
                <w:lang w:val="es-ES"/>
              </w:rPr>
              <w:t>Organismo</w:t>
            </w:r>
          </w:p>
        </w:tc>
        <w:tc>
          <w:tcPr>
            <w:tcW w:w="864" w:type="pct"/>
            <w:tcBorders>
              <w:top w:val="single" w:sz="4" w:space="0" w:color="auto"/>
              <w:left w:val="single" w:sz="4" w:space="0" w:color="auto"/>
              <w:bottom w:val="single" w:sz="4" w:space="0" w:color="auto"/>
              <w:right w:val="single" w:sz="4" w:space="0" w:color="auto"/>
            </w:tcBorders>
            <w:hideMark/>
          </w:tcPr>
          <w:p w14:paraId="3ED598AF" w14:textId="77777777" w:rsidR="00B0797C" w:rsidRPr="00B0797C" w:rsidRDefault="00B0797C" w:rsidP="00A62975">
            <w:pPr>
              <w:jc w:val="center"/>
              <w:rPr>
                <w:b/>
                <w:snapToGrid w:val="0"/>
                <w:sz w:val="20"/>
                <w:szCs w:val="20"/>
                <w:lang w:val="es-ES"/>
              </w:rPr>
            </w:pPr>
            <w:r w:rsidRPr="00B0797C">
              <w:rPr>
                <w:b/>
                <w:snapToGrid w:val="0"/>
                <w:sz w:val="20"/>
                <w:lang w:val="es-ES"/>
              </w:rPr>
              <w:t>Terminados</w:t>
            </w:r>
          </w:p>
        </w:tc>
        <w:tc>
          <w:tcPr>
            <w:tcW w:w="922" w:type="pct"/>
            <w:tcBorders>
              <w:top w:val="single" w:sz="4" w:space="0" w:color="auto"/>
              <w:left w:val="single" w:sz="4" w:space="0" w:color="auto"/>
              <w:bottom w:val="single" w:sz="4" w:space="0" w:color="auto"/>
              <w:right w:val="single" w:sz="4" w:space="0" w:color="auto"/>
            </w:tcBorders>
            <w:hideMark/>
          </w:tcPr>
          <w:p w14:paraId="234F414D" w14:textId="77777777" w:rsidR="00B0797C" w:rsidRPr="00B0797C" w:rsidRDefault="00B0797C" w:rsidP="00A62975">
            <w:pPr>
              <w:jc w:val="center"/>
              <w:rPr>
                <w:b/>
                <w:sz w:val="20"/>
                <w:szCs w:val="20"/>
                <w:lang w:val="es-ES"/>
              </w:rPr>
            </w:pPr>
            <w:r w:rsidRPr="00B0797C">
              <w:rPr>
                <w:b/>
                <w:sz w:val="20"/>
                <w:lang w:val="es-ES"/>
              </w:rPr>
              <w:t xml:space="preserve">Recibidos antes de la </w:t>
            </w:r>
          </w:p>
          <w:p w14:paraId="3288E4A4" w14:textId="77777777" w:rsidR="00B0797C" w:rsidRPr="00B0797C" w:rsidRDefault="00B0797C" w:rsidP="00A62975">
            <w:pPr>
              <w:jc w:val="center"/>
              <w:rPr>
                <w:b/>
                <w:sz w:val="20"/>
                <w:szCs w:val="20"/>
                <w:lang w:val="es-ES"/>
              </w:rPr>
            </w:pPr>
            <w:r w:rsidRPr="00B0797C">
              <w:rPr>
                <w:b/>
                <w:sz w:val="20"/>
                <w:lang w:val="es-ES"/>
              </w:rPr>
              <w:t>84</w:t>
            </w:r>
            <w:r w:rsidRPr="00B0797C">
              <w:rPr>
                <w:b/>
                <w:sz w:val="20"/>
                <w:vertAlign w:val="superscript"/>
                <w:lang w:val="es-ES"/>
              </w:rPr>
              <w:t>a</w:t>
            </w:r>
            <w:r w:rsidRPr="00B0797C">
              <w:rPr>
                <w:b/>
                <w:sz w:val="20"/>
                <w:lang w:val="es-ES"/>
              </w:rPr>
              <w:t> reunión</w:t>
            </w:r>
          </w:p>
        </w:tc>
        <w:tc>
          <w:tcPr>
            <w:tcW w:w="998" w:type="pct"/>
            <w:tcBorders>
              <w:top w:val="single" w:sz="4" w:space="0" w:color="auto"/>
              <w:left w:val="single" w:sz="4" w:space="0" w:color="auto"/>
              <w:bottom w:val="single" w:sz="4" w:space="0" w:color="auto"/>
              <w:right w:val="single" w:sz="4" w:space="0" w:color="auto"/>
            </w:tcBorders>
            <w:hideMark/>
          </w:tcPr>
          <w:p w14:paraId="48B82DDC" w14:textId="77777777" w:rsidR="00B0797C" w:rsidRPr="00B0797C" w:rsidRDefault="00B0797C" w:rsidP="00A62975">
            <w:pPr>
              <w:jc w:val="center"/>
              <w:rPr>
                <w:b/>
                <w:sz w:val="20"/>
                <w:szCs w:val="20"/>
                <w:lang w:val="es-ES"/>
              </w:rPr>
            </w:pPr>
            <w:r w:rsidRPr="00B0797C">
              <w:rPr>
                <w:b/>
                <w:sz w:val="20"/>
                <w:lang w:val="es-ES"/>
              </w:rPr>
              <w:t xml:space="preserve">Recibidos después de la </w:t>
            </w:r>
          </w:p>
          <w:p w14:paraId="5CC4394C" w14:textId="77777777" w:rsidR="00B0797C" w:rsidRPr="00B0797C" w:rsidRDefault="00B0797C" w:rsidP="00A62975">
            <w:pPr>
              <w:jc w:val="center"/>
              <w:rPr>
                <w:b/>
                <w:snapToGrid w:val="0"/>
                <w:sz w:val="20"/>
                <w:szCs w:val="20"/>
                <w:lang w:val="es-ES"/>
              </w:rPr>
            </w:pPr>
            <w:r w:rsidRPr="00B0797C">
              <w:rPr>
                <w:b/>
                <w:sz w:val="20"/>
                <w:lang w:val="es-ES"/>
              </w:rPr>
              <w:t>84</w:t>
            </w:r>
            <w:r w:rsidRPr="00B0797C">
              <w:rPr>
                <w:b/>
                <w:sz w:val="20"/>
                <w:vertAlign w:val="superscript"/>
                <w:lang w:val="es-ES"/>
              </w:rPr>
              <w:t>a</w:t>
            </w:r>
            <w:r w:rsidRPr="00B0797C">
              <w:rPr>
                <w:b/>
                <w:sz w:val="20"/>
                <w:lang w:val="es-ES"/>
              </w:rPr>
              <w:t> reunión</w:t>
            </w:r>
          </w:p>
        </w:tc>
        <w:tc>
          <w:tcPr>
            <w:tcW w:w="846" w:type="pct"/>
            <w:tcBorders>
              <w:top w:val="single" w:sz="4" w:space="0" w:color="auto"/>
              <w:left w:val="single" w:sz="4" w:space="0" w:color="auto"/>
              <w:bottom w:val="single" w:sz="4" w:space="0" w:color="auto"/>
              <w:right w:val="single" w:sz="4" w:space="0" w:color="auto"/>
            </w:tcBorders>
            <w:hideMark/>
          </w:tcPr>
          <w:p w14:paraId="6ED6F36C" w14:textId="77777777" w:rsidR="00B0797C" w:rsidRPr="00B0797C" w:rsidRDefault="00B0797C" w:rsidP="00A62975">
            <w:pPr>
              <w:jc w:val="center"/>
              <w:rPr>
                <w:b/>
                <w:snapToGrid w:val="0"/>
                <w:sz w:val="20"/>
                <w:szCs w:val="20"/>
                <w:lang w:val="es-ES"/>
              </w:rPr>
            </w:pPr>
            <w:r w:rsidRPr="00B0797C">
              <w:rPr>
                <w:b/>
                <w:sz w:val="20"/>
                <w:lang w:val="es-ES"/>
              </w:rPr>
              <w:t>Pendientes</w:t>
            </w:r>
          </w:p>
        </w:tc>
      </w:tr>
      <w:tr w:rsidR="00B0797C" w:rsidRPr="00B0797C" w14:paraId="031598C1"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49F830D2" w14:textId="77777777" w:rsidR="00B0797C" w:rsidRPr="00B0797C" w:rsidRDefault="00B0797C" w:rsidP="00A62975">
            <w:pPr>
              <w:jc w:val="left"/>
              <w:rPr>
                <w:snapToGrid w:val="0"/>
                <w:sz w:val="20"/>
                <w:szCs w:val="20"/>
                <w:lang w:val="es-ES"/>
              </w:rPr>
            </w:pPr>
            <w:r w:rsidRPr="00B0797C">
              <w:rPr>
                <w:snapToGrid w:val="0"/>
                <w:sz w:val="20"/>
                <w:lang w:val="es-ES"/>
              </w:rPr>
              <w:t>Francia</w:t>
            </w:r>
          </w:p>
        </w:tc>
        <w:tc>
          <w:tcPr>
            <w:tcW w:w="864" w:type="pct"/>
            <w:tcBorders>
              <w:top w:val="single" w:sz="4" w:space="0" w:color="auto"/>
              <w:left w:val="single" w:sz="4" w:space="0" w:color="auto"/>
              <w:bottom w:val="single" w:sz="4" w:space="0" w:color="auto"/>
              <w:right w:val="single" w:sz="4" w:space="0" w:color="auto"/>
            </w:tcBorders>
            <w:hideMark/>
          </w:tcPr>
          <w:p w14:paraId="5175C25A" w14:textId="77777777" w:rsidR="00B0797C" w:rsidRPr="00B0797C" w:rsidRDefault="00B0797C" w:rsidP="00A62975">
            <w:pPr>
              <w:jc w:val="center"/>
              <w:rPr>
                <w:snapToGrid w:val="0"/>
                <w:sz w:val="20"/>
                <w:szCs w:val="20"/>
                <w:lang w:val="es-ES"/>
              </w:rPr>
            </w:pPr>
            <w:r w:rsidRPr="00B0797C">
              <w:rPr>
                <w:snapToGrid w:val="0"/>
                <w:sz w:val="20"/>
                <w:lang w:val="es-ES"/>
              </w:rPr>
              <w:t>13</w:t>
            </w:r>
          </w:p>
        </w:tc>
        <w:tc>
          <w:tcPr>
            <w:tcW w:w="922" w:type="pct"/>
            <w:tcBorders>
              <w:top w:val="single" w:sz="4" w:space="0" w:color="auto"/>
              <w:left w:val="single" w:sz="4" w:space="0" w:color="auto"/>
              <w:bottom w:val="single" w:sz="4" w:space="0" w:color="auto"/>
              <w:right w:val="single" w:sz="4" w:space="0" w:color="auto"/>
            </w:tcBorders>
            <w:hideMark/>
          </w:tcPr>
          <w:p w14:paraId="2DADDD46" w14:textId="77777777" w:rsidR="00B0797C" w:rsidRPr="00B0797C" w:rsidRDefault="00B0797C" w:rsidP="00A62975">
            <w:pPr>
              <w:jc w:val="center"/>
              <w:rPr>
                <w:snapToGrid w:val="0"/>
                <w:sz w:val="20"/>
                <w:szCs w:val="20"/>
                <w:lang w:val="es-ES"/>
              </w:rPr>
            </w:pPr>
            <w:r w:rsidRPr="00B0797C">
              <w:rPr>
                <w:snapToGrid w:val="0"/>
                <w:sz w:val="20"/>
                <w:lang w:val="es-ES"/>
              </w:rPr>
              <w:t>13</w:t>
            </w:r>
          </w:p>
        </w:tc>
        <w:tc>
          <w:tcPr>
            <w:tcW w:w="998" w:type="pct"/>
            <w:tcBorders>
              <w:top w:val="single" w:sz="4" w:space="0" w:color="auto"/>
              <w:left w:val="single" w:sz="4" w:space="0" w:color="auto"/>
              <w:bottom w:val="single" w:sz="4" w:space="0" w:color="auto"/>
              <w:right w:val="single" w:sz="4" w:space="0" w:color="auto"/>
            </w:tcBorders>
            <w:hideMark/>
          </w:tcPr>
          <w:p w14:paraId="020E9376" w14:textId="77777777" w:rsidR="00B0797C" w:rsidRPr="00B0797C" w:rsidRDefault="00B0797C" w:rsidP="00A62975">
            <w:pPr>
              <w:jc w:val="center"/>
              <w:rPr>
                <w:snapToGrid w:val="0"/>
                <w:sz w:val="20"/>
                <w:szCs w:val="20"/>
                <w:lang w:val="es-ES"/>
              </w:rPr>
            </w:pPr>
            <w:r w:rsidRPr="00B0797C">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hideMark/>
          </w:tcPr>
          <w:p w14:paraId="043BBEDB" w14:textId="77777777" w:rsidR="00B0797C" w:rsidRPr="00B0797C" w:rsidRDefault="00B0797C" w:rsidP="00A62975">
            <w:pPr>
              <w:jc w:val="center"/>
              <w:rPr>
                <w:snapToGrid w:val="0"/>
                <w:sz w:val="20"/>
                <w:szCs w:val="20"/>
                <w:lang w:val="es-ES"/>
              </w:rPr>
            </w:pPr>
            <w:r w:rsidRPr="00B0797C">
              <w:rPr>
                <w:snapToGrid w:val="0"/>
                <w:sz w:val="20"/>
                <w:lang w:val="es-ES"/>
              </w:rPr>
              <w:t>0</w:t>
            </w:r>
          </w:p>
        </w:tc>
      </w:tr>
      <w:tr w:rsidR="00B0797C" w:rsidRPr="00B0797C" w14:paraId="4F36C4DB"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6E91C944" w14:textId="77777777" w:rsidR="00B0797C" w:rsidRPr="00B0797C" w:rsidRDefault="00B0797C" w:rsidP="00A62975">
            <w:pPr>
              <w:jc w:val="left"/>
              <w:rPr>
                <w:snapToGrid w:val="0"/>
                <w:sz w:val="20"/>
                <w:szCs w:val="20"/>
                <w:lang w:val="es-ES"/>
              </w:rPr>
            </w:pPr>
            <w:r w:rsidRPr="00B0797C">
              <w:rPr>
                <w:snapToGrid w:val="0"/>
                <w:sz w:val="20"/>
                <w:lang w:val="es-ES"/>
              </w:rPr>
              <w:t>Alemania</w:t>
            </w:r>
          </w:p>
        </w:tc>
        <w:tc>
          <w:tcPr>
            <w:tcW w:w="864" w:type="pct"/>
            <w:tcBorders>
              <w:top w:val="single" w:sz="4" w:space="0" w:color="auto"/>
              <w:left w:val="single" w:sz="4" w:space="0" w:color="auto"/>
              <w:bottom w:val="single" w:sz="4" w:space="0" w:color="auto"/>
              <w:right w:val="single" w:sz="4" w:space="0" w:color="auto"/>
            </w:tcBorders>
            <w:hideMark/>
          </w:tcPr>
          <w:p w14:paraId="69E32A3F" w14:textId="77777777" w:rsidR="00B0797C" w:rsidRPr="00B0797C" w:rsidRDefault="00B0797C" w:rsidP="00A62975">
            <w:pPr>
              <w:jc w:val="center"/>
              <w:rPr>
                <w:snapToGrid w:val="0"/>
                <w:sz w:val="20"/>
                <w:szCs w:val="20"/>
                <w:lang w:val="es-ES"/>
              </w:rPr>
            </w:pPr>
            <w:r w:rsidRPr="00B0797C">
              <w:rPr>
                <w:snapToGrid w:val="0"/>
                <w:sz w:val="20"/>
                <w:lang w:val="es-ES"/>
              </w:rPr>
              <w:t>20</w:t>
            </w:r>
          </w:p>
        </w:tc>
        <w:tc>
          <w:tcPr>
            <w:tcW w:w="922" w:type="pct"/>
            <w:tcBorders>
              <w:top w:val="single" w:sz="4" w:space="0" w:color="auto"/>
              <w:left w:val="single" w:sz="4" w:space="0" w:color="auto"/>
              <w:bottom w:val="single" w:sz="4" w:space="0" w:color="auto"/>
              <w:right w:val="single" w:sz="4" w:space="0" w:color="auto"/>
            </w:tcBorders>
            <w:hideMark/>
          </w:tcPr>
          <w:p w14:paraId="4AD8962B" w14:textId="77777777" w:rsidR="00B0797C" w:rsidRPr="00B0797C" w:rsidRDefault="00B0797C" w:rsidP="00A62975">
            <w:pPr>
              <w:jc w:val="center"/>
              <w:rPr>
                <w:snapToGrid w:val="0"/>
                <w:sz w:val="20"/>
                <w:szCs w:val="20"/>
                <w:lang w:val="es-ES"/>
              </w:rPr>
            </w:pPr>
            <w:r w:rsidRPr="00B0797C">
              <w:rPr>
                <w:snapToGrid w:val="0"/>
                <w:sz w:val="20"/>
                <w:lang w:val="es-ES"/>
              </w:rPr>
              <w:t>19</w:t>
            </w:r>
          </w:p>
        </w:tc>
        <w:tc>
          <w:tcPr>
            <w:tcW w:w="998" w:type="pct"/>
            <w:tcBorders>
              <w:top w:val="single" w:sz="4" w:space="0" w:color="auto"/>
              <w:left w:val="single" w:sz="4" w:space="0" w:color="auto"/>
              <w:bottom w:val="single" w:sz="4" w:space="0" w:color="auto"/>
              <w:right w:val="single" w:sz="4" w:space="0" w:color="auto"/>
            </w:tcBorders>
            <w:hideMark/>
          </w:tcPr>
          <w:p w14:paraId="7205BCF2" w14:textId="77777777" w:rsidR="00B0797C" w:rsidRPr="00B0797C" w:rsidRDefault="00B0797C" w:rsidP="00A62975">
            <w:pPr>
              <w:jc w:val="center"/>
              <w:rPr>
                <w:snapToGrid w:val="0"/>
                <w:sz w:val="20"/>
                <w:szCs w:val="20"/>
                <w:lang w:val="es-ES"/>
              </w:rPr>
            </w:pPr>
            <w:r w:rsidRPr="00B0797C">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hideMark/>
          </w:tcPr>
          <w:p w14:paraId="612E7B22" w14:textId="77777777" w:rsidR="00B0797C" w:rsidRPr="00B0797C" w:rsidRDefault="00B0797C" w:rsidP="00A62975">
            <w:pPr>
              <w:jc w:val="center"/>
              <w:rPr>
                <w:snapToGrid w:val="0"/>
                <w:sz w:val="20"/>
                <w:szCs w:val="20"/>
                <w:lang w:val="es-ES"/>
              </w:rPr>
            </w:pPr>
            <w:r w:rsidRPr="00B0797C">
              <w:rPr>
                <w:snapToGrid w:val="0"/>
                <w:sz w:val="20"/>
                <w:lang w:val="es-ES"/>
              </w:rPr>
              <w:t>1</w:t>
            </w:r>
          </w:p>
        </w:tc>
      </w:tr>
      <w:tr w:rsidR="00B0797C" w:rsidRPr="00B0797C" w14:paraId="2E9BDC10"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032AE8EB" w14:textId="77777777" w:rsidR="00B0797C" w:rsidRPr="00B0797C" w:rsidRDefault="00B0797C" w:rsidP="00A62975">
            <w:pPr>
              <w:jc w:val="left"/>
              <w:rPr>
                <w:snapToGrid w:val="0"/>
                <w:sz w:val="20"/>
                <w:szCs w:val="20"/>
                <w:lang w:val="es-ES"/>
              </w:rPr>
            </w:pPr>
            <w:r w:rsidRPr="00B0797C">
              <w:rPr>
                <w:snapToGrid w:val="0"/>
                <w:sz w:val="20"/>
                <w:lang w:val="es-ES"/>
              </w:rPr>
              <w:t>Italia</w:t>
            </w:r>
          </w:p>
        </w:tc>
        <w:tc>
          <w:tcPr>
            <w:tcW w:w="864" w:type="pct"/>
            <w:tcBorders>
              <w:top w:val="single" w:sz="4" w:space="0" w:color="auto"/>
              <w:left w:val="single" w:sz="4" w:space="0" w:color="auto"/>
              <w:bottom w:val="single" w:sz="4" w:space="0" w:color="auto"/>
              <w:right w:val="single" w:sz="4" w:space="0" w:color="auto"/>
            </w:tcBorders>
            <w:hideMark/>
          </w:tcPr>
          <w:p w14:paraId="20362D4E" w14:textId="77777777" w:rsidR="00B0797C" w:rsidRPr="00B0797C" w:rsidRDefault="00B0797C" w:rsidP="00A62975">
            <w:pPr>
              <w:jc w:val="center"/>
              <w:rPr>
                <w:snapToGrid w:val="0"/>
                <w:sz w:val="20"/>
                <w:szCs w:val="20"/>
                <w:lang w:val="es-ES"/>
              </w:rPr>
            </w:pPr>
            <w:r w:rsidRPr="00B0797C">
              <w:rPr>
                <w:snapToGrid w:val="0"/>
                <w:sz w:val="20"/>
                <w:lang w:val="es-ES"/>
              </w:rPr>
              <w:t>11</w:t>
            </w:r>
          </w:p>
        </w:tc>
        <w:tc>
          <w:tcPr>
            <w:tcW w:w="922" w:type="pct"/>
            <w:tcBorders>
              <w:top w:val="single" w:sz="4" w:space="0" w:color="auto"/>
              <w:left w:val="single" w:sz="4" w:space="0" w:color="auto"/>
              <w:bottom w:val="single" w:sz="4" w:space="0" w:color="auto"/>
              <w:right w:val="single" w:sz="4" w:space="0" w:color="auto"/>
            </w:tcBorders>
            <w:hideMark/>
          </w:tcPr>
          <w:p w14:paraId="5974CA13" w14:textId="77777777" w:rsidR="00B0797C" w:rsidRPr="00B0797C" w:rsidRDefault="00B0797C" w:rsidP="00A62975">
            <w:pPr>
              <w:jc w:val="center"/>
              <w:rPr>
                <w:snapToGrid w:val="0"/>
                <w:sz w:val="20"/>
                <w:szCs w:val="20"/>
                <w:lang w:val="es-ES"/>
              </w:rPr>
            </w:pPr>
            <w:r w:rsidRPr="00B0797C">
              <w:rPr>
                <w:snapToGrid w:val="0"/>
                <w:sz w:val="20"/>
                <w:lang w:val="es-ES"/>
              </w:rPr>
              <w:t>11</w:t>
            </w:r>
          </w:p>
        </w:tc>
        <w:tc>
          <w:tcPr>
            <w:tcW w:w="998" w:type="pct"/>
            <w:tcBorders>
              <w:top w:val="single" w:sz="4" w:space="0" w:color="auto"/>
              <w:left w:val="single" w:sz="4" w:space="0" w:color="auto"/>
              <w:bottom w:val="single" w:sz="4" w:space="0" w:color="auto"/>
              <w:right w:val="single" w:sz="4" w:space="0" w:color="auto"/>
            </w:tcBorders>
            <w:hideMark/>
          </w:tcPr>
          <w:p w14:paraId="70792958" w14:textId="77777777" w:rsidR="00B0797C" w:rsidRPr="00B0797C" w:rsidRDefault="00B0797C" w:rsidP="00A62975">
            <w:pPr>
              <w:jc w:val="center"/>
              <w:rPr>
                <w:snapToGrid w:val="0"/>
                <w:sz w:val="20"/>
                <w:szCs w:val="20"/>
                <w:lang w:val="es-ES"/>
              </w:rPr>
            </w:pPr>
            <w:r w:rsidRPr="00B0797C">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hideMark/>
          </w:tcPr>
          <w:p w14:paraId="73340B21" w14:textId="77777777" w:rsidR="00B0797C" w:rsidRPr="00B0797C" w:rsidRDefault="00B0797C" w:rsidP="00A62975">
            <w:pPr>
              <w:jc w:val="center"/>
              <w:rPr>
                <w:snapToGrid w:val="0"/>
                <w:sz w:val="20"/>
                <w:szCs w:val="20"/>
                <w:lang w:val="es-ES"/>
              </w:rPr>
            </w:pPr>
            <w:r w:rsidRPr="00B0797C">
              <w:rPr>
                <w:snapToGrid w:val="0"/>
                <w:sz w:val="20"/>
                <w:lang w:val="es-ES"/>
              </w:rPr>
              <w:t>0</w:t>
            </w:r>
          </w:p>
        </w:tc>
      </w:tr>
      <w:tr w:rsidR="00B0797C" w:rsidRPr="00B0797C" w14:paraId="694E4737"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2C561B05" w14:textId="77777777" w:rsidR="00B0797C" w:rsidRPr="00B0797C" w:rsidRDefault="00B0797C" w:rsidP="00A62975">
            <w:pPr>
              <w:jc w:val="left"/>
              <w:rPr>
                <w:snapToGrid w:val="0"/>
                <w:sz w:val="20"/>
                <w:szCs w:val="20"/>
                <w:lang w:val="es-ES"/>
              </w:rPr>
            </w:pPr>
            <w:r w:rsidRPr="00B0797C">
              <w:rPr>
                <w:snapToGrid w:val="0"/>
                <w:sz w:val="20"/>
                <w:lang w:val="es-ES"/>
              </w:rPr>
              <w:t>Japón</w:t>
            </w:r>
          </w:p>
        </w:tc>
        <w:tc>
          <w:tcPr>
            <w:tcW w:w="864" w:type="pct"/>
            <w:tcBorders>
              <w:top w:val="single" w:sz="4" w:space="0" w:color="auto"/>
              <w:left w:val="single" w:sz="4" w:space="0" w:color="auto"/>
              <w:bottom w:val="single" w:sz="4" w:space="0" w:color="auto"/>
              <w:right w:val="single" w:sz="4" w:space="0" w:color="auto"/>
            </w:tcBorders>
            <w:hideMark/>
          </w:tcPr>
          <w:p w14:paraId="7E57540C" w14:textId="77777777" w:rsidR="00B0797C" w:rsidRPr="00B0797C" w:rsidRDefault="00B0797C" w:rsidP="00A62975">
            <w:pPr>
              <w:jc w:val="center"/>
              <w:rPr>
                <w:snapToGrid w:val="0"/>
                <w:sz w:val="20"/>
                <w:szCs w:val="20"/>
                <w:lang w:val="es-ES"/>
              </w:rPr>
            </w:pPr>
            <w:r w:rsidRPr="00B0797C">
              <w:rPr>
                <w:snapToGrid w:val="0"/>
                <w:sz w:val="20"/>
                <w:lang w:val="es-ES"/>
              </w:rPr>
              <w:t>6</w:t>
            </w:r>
          </w:p>
        </w:tc>
        <w:tc>
          <w:tcPr>
            <w:tcW w:w="922" w:type="pct"/>
            <w:tcBorders>
              <w:top w:val="single" w:sz="4" w:space="0" w:color="auto"/>
              <w:left w:val="single" w:sz="4" w:space="0" w:color="auto"/>
              <w:bottom w:val="single" w:sz="4" w:space="0" w:color="auto"/>
              <w:right w:val="single" w:sz="4" w:space="0" w:color="auto"/>
            </w:tcBorders>
            <w:hideMark/>
          </w:tcPr>
          <w:p w14:paraId="77404A44" w14:textId="77777777" w:rsidR="00B0797C" w:rsidRPr="00B0797C" w:rsidRDefault="00B0797C" w:rsidP="00A62975">
            <w:pPr>
              <w:jc w:val="center"/>
              <w:rPr>
                <w:snapToGrid w:val="0"/>
                <w:sz w:val="20"/>
                <w:szCs w:val="20"/>
                <w:lang w:val="es-ES"/>
              </w:rPr>
            </w:pPr>
            <w:r w:rsidRPr="00B0797C">
              <w:rPr>
                <w:snapToGrid w:val="0"/>
                <w:sz w:val="20"/>
                <w:lang w:val="es-ES"/>
              </w:rPr>
              <w:t>6</w:t>
            </w:r>
          </w:p>
        </w:tc>
        <w:tc>
          <w:tcPr>
            <w:tcW w:w="998" w:type="pct"/>
            <w:tcBorders>
              <w:top w:val="single" w:sz="4" w:space="0" w:color="auto"/>
              <w:left w:val="single" w:sz="4" w:space="0" w:color="auto"/>
              <w:bottom w:val="single" w:sz="4" w:space="0" w:color="auto"/>
              <w:right w:val="single" w:sz="4" w:space="0" w:color="auto"/>
            </w:tcBorders>
            <w:hideMark/>
          </w:tcPr>
          <w:p w14:paraId="786E00EB" w14:textId="77777777" w:rsidR="00B0797C" w:rsidRPr="00B0797C" w:rsidRDefault="00B0797C" w:rsidP="00A62975">
            <w:pPr>
              <w:jc w:val="center"/>
              <w:rPr>
                <w:snapToGrid w:val="0"/>
                <w:sz w:val="20"/>
                <w:szCs w:val="20"/>
                <w:lang w:val="es-ES"/>
              </w:rPr>
            </w:pPr>
            <w:r w:rsidRPr="00B0797C">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hideMark/>
          </w:tcPr>
          <w:p w14:paraId="2F263F11" w14:textId="77777777" w:rsidR="00B0797C" w:rsidRPr="00B0797C" w:rsidRDefault="00B0797C" w:rsidP="00A62975">
            <w:pPr>
              <w:jc w:val="center"/>
              <w:rPr>
                <w:snapToGrid w:val="0"/>
                <w:sz w:val="20"/>
                <w:szCs w:val="20"/>
                <w:lang w:val="es-ES"/>
              </w:rPr>
            </w:pPr>
            <w:r w:rsidRPr="00B0797C">
              <w:rPr>
                <w:snapToGrid w:val="0"/>
                <w:sz w:val="20"/>
                <w:lang w:val="es-ES"/>
              </w:rPr>
              <w:t>0</w:t>
            </w:r>
          </w:p>
        </w:tc>
      </w:tr>
      <w:tr w:rsidR="00B0797C" w:rsidRPr="00B0797C" w14:paraId="2839B635"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7B0EF33A" w14:textId="77777777" w:rsidR="00B0797C" w:rsidRPr="00B0797C" w:rsidRDefault="00B0797C" w:rsidP="00A62975">
            <w:pPr>
              <w:jc w:val="left"/>
              <w:rPr>
                <w:snapToGrid w:val="0"/>
                <w:sz w:val="20"/>
                <w:szCs w:val="20"/>
                <w:lang w:val="es-ES"/>
              </w:rPr>
            </w:pPr>
            <w:r w:rsidRPr="00B0797C">
              <w:rPr>
                <w:snapToGrid w:val="0"/>
                <w:sz w:val="20"/>
                <w:lang w:val="es-ES"/>
              </w:rPr>
              <w:t>España</w:t>
            </w:r>
          </w:p>
        </w:tc>
        <w:tc>
          <w:tcPr>
            <w:tcW w:w="864" w:type="pct"/>
            <w:tcBorders>
              <w:top w:val="single" w:sz="4" w:space="0" w:color="auto"/>
              <w:left w:val="single" w:sz="4" w:space="0" w:color="auto"/>
              <w:bottom w:val="single" w:sz="4" w:space="0" w:color="auto"/>
              <w:right w:val="single" w:sz="4" w:space="0" w:color="auto"/>
            </w:tcBorders>
            <w:hideMark/>
          </w:tcPr>
          <w:p w14:paraId="0795E7A4" w14:textId="77777777" w:rsidR="00B0797C" w:rsidRPr="00B0797C" w:rsidRDefault="00B0797C" w:rsidP="00A62975">
            <w:pPr>
              <w:jc w:val="center"/>
              <w:rPr>
                <w:snapToGrid w:val="0"/>
                <w:sz w:val="20"/>
                <w:szCs w:val="20"/>
                <w:lang w:val="es-ES"/>
              </w:rPr>
            </w:pPr>
            <w:r w:rsidRPr="00B0797C">
              <w:rPr>
                <w:snapToGrid w:val="0"/>
                <w:sz w:val="20"/>
                <w:lang w:val="es-ES"/>
              </w:rPr>
              <w:t>1</w:t>
            </w:r>
          </w:p>
        </w:tc>
        <w:tc>
          <w:tcPr>
            <w:tcW w:w="922" w:type="pct"/>
            <w:tcBorders>
              <w:top w:val="single" w:sz="4" w:space="0" w:color="auto"/>
              <w:left w:val="single" w:sz="4" w:space="0" w:color="auto"/>
              <w:bottom w:val="single" w:sz="4" w:space="0" w:color="auto"/>
              <w:right w:val="single" w:sz="4" w:space="0" w:color="auto"/>
            </w:tcBorders>
            <w:hideMark/>
          </w:tcPr>
          <w:p w14:paraId="1CE443E4" w14:textId="77777777" w:rsidR="00B0797C" w:rsidRPr="00B0797C" w:rsidRDefault="00B0797C" w:rsidP="00A62975">
            <w:pPr>
              <w:jc w:val="center"/>
              <w:rPr>
                <w:snapToGrid w:val="0"/>
                <w:sz w:val="20"/>
                <w:szCs w:val="20"/>
                <w:lang w:val="es-ES"/>
              </w:rPr>
            </w:pPr>
            <w:r w:rsidRPr="00B0797C">
              <w:rPr>
                <w:snapToGrid w:val="0"/>
                <w:sz w:val="20"/>
                <w:lang w:val="es-ES"/>
              </w:rPr>
              <w:t>1</w:t>
            </w:r>
          </w:p>
        </w:tc>
        <w:tc>
          <w:tcPr>
            <w:tcW w:w="998" w:type="pct"/>
            <w:tcBorders>
              <w:top w:val="single" w:sz="4" w:space="0" w:color="auto"/>
              <w:left w:val="single" w:sz="4" w:space="0" w:color="auto"/>
              <w:bottom w:val="single" w:sz="4" w:space="0" w:color="auto"/>
              <w:right w:val="single" w:sz="4" w:space="0" w:color="auto"/>
            </w:tcBorders>
            <w:hideMark/>
          </w:tcPr>
          <w:p w14:paraId="7C0D35FA" w14:textId="77777777" w:rsidR="00B0797C" w:rsidRPr="00B0797C" w:rsidRDefault="00B0797C" w:rsidP="00A62975">
            <w:pPr>
              <w:jc w:val="center"/>
              <w:rPr>
                <w:snapToGrid w:val="0"/>
                <w:sz w:val="20"/>
                <w:szCs w:val="20"/>
                <w:lang w:val="es-ES"/>
              </w:rPr>
            </w:pPr>
            <w:r w:rsidRPr="00B0797C">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hideMark/>
          </w:tcPr>
          <w:p w14:paraId="21DCA1D9" w14:textId="77777777" w:rsidR="00B0797C" w:rsidRPr="00B0797C" w:rsidRDefault="00B0797C" w:rsidP="00A62975">
            <w:pPr>
              <w:jc w:val="center"/>
              <w:rPr>
                <w:snapToGrid w:val="0"/>
                <w:sz w:val="20"/>
                <w:szCs w:val="20"/>
                <w:lang w:val="es-ES"/>
              </w:rPr>
            </w:pPr>
            <w:r w:rsidRPr="00B0797C">
              <w:rPr>
                <w:snapToGrid w:val="0"/>
                <w:sz w:val="20"/>
                <w:lang w:val="es-ES"/>
              </w:rPr>
              <w:t>0</w:t>
            </w:r>
          </w:p>
        </w:tc>
      </w:tr>
      <w:tr w:rsidR="00B0797C" w:rsidRPr="00B0797C" w14:paraId="6B3C2DA3"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490FE7D2" w14:textId="77777777" w:rsidR="00B0797C" w:rsidRPr="00B0797C" w:rsidRDefault="00B0797C" w:rsidP="00A62975">
            <w:pPr>
              <w:jc w:val="left"/>
              <w:rPr>
                <w:snapToGrid w:val="0"/>
                <w:sz w:val="20"/>
                <w:szCs w:val="20"/>
                <w:lang w:val="es-ES"/>
              </w:rPr>
            </w:pPr>
            <w:r w:rsidRPr="00B0797C">
              <w:rPr>
                <w:snapToGrid w:val="0"/>
                <w:sz w:val="20"/>
                <w:lang w:val="es-ES"/>
              </w:rPr>
              <w:t xml:space="preserve">Reino Unido de Gran Bretaña e Irlanda del Norte </w:t>
            </w:r>
          </w:p>
        </w:tc>
        <w:tc>
          <w:tcPr>
            <w:tcW w:w="864" w:type="pct"/>
            <w:tcBorders>
              <w:top w:val="single" w:sz="4" w:space="0" w:color="auto"/>
              <w:left w:val="single" w:sz="4" w:space="0" w:color="auto"/>
              <w:bottom w:val="single" w:sz="4" w:space="0" w:color="auto"/>
              <w:right w:val="single" w:sz="4" w:space="0" w:color="auto"/>
            </w:tcBorders>
            <w:vAlign w:val="center"/>
            <w:hideMark/>
          </w:tcPr>
          <w:p w14:paraId="023D3198" w14:textId="77777777" w:rsidR="00B0797C" w:rsidRPr="00B0797C" w:rsidRDefault="00B0797C" w:rsidP="00A62975">
            <w:pPr>
              <w:jc w:val="center"/>
              <w:rPr>
                <w:snapToGrid w:val="0"/>
                <w:sz w:val="20"/>
                <w:szCs w:val="20"/>
                <w:lang w:val="es-ES"/>
              </w:rPr>
            </w:pPr>
            <w:r w:rsidRPr="00B0797C">
              <w:rPr>
                <w:snapToGrid w:val="0"/>
                <w:sz w:val="20"/>
                <w:lang w:val="es-ES"/>
              </w:rPr>
              <w:t>1</w:t>
            </w:r>
          </w:p>
        </w:tc>
        <w:tc>
          <w:tcPr>
            <w:tcW w:w="922" w:type="pct"/>
            <w:tcBorders>
              <w:top w:val="single" w:sz="4" w:space="0" w:color="auto"/>
              <w:left w:val="single" w:sz="4" w:space="0" w:color="auto"/>
              <w:bottom w:val="single" w:sz="4" w:space="0" w:color="auto"/>
              <w:right w:val="single" w:sz="4" w:space="0" w:color="auto"/>
            </w:tcBorders>
            <w:vAlign w:val="center"/>
            <w:hideMark/>
          </w:tcPr>
          <w:p w14:paraId="00A44095" w14:textId="77777777" w:rsidR="00B0797C" w:rsidRPr="00B0797C" w:rsidRDefault="00B0797C" w:rsidP="00A62975">
            <w:pPr>
              <w:jc w:val="center"/>
              <w:rPr>
                <w:snapToGrid w:val="0"/>
                <w:sz w:val="20"/>
                <w:szCs w:val="20"/>
                <w:lang w:val="es-ES"/>
              </w:rPr>
            </w:pPr>
            <w:r w:rsidRPr="00B0797C">
              <w:rPr>
                <w:snapToGrid w:val="0"/>
                <w:sz w:val="20"/>
                <w:lang w:val="es-ES"/>
              </w:rPr>
              <w:t>1</w:t>
            </w:r>
          </w:p>
        </w:tc>
        <w:tc>
          <w:tcPr>
            <w:tcW w:w="998" w:type="pct"/>
            <w:tcBorders>
              <w:top w:val="single" w:sz="4" w:space="0" w:color="auto"/>
              <w:left w:val="single" w:sz="4" w:space="0" w:color="auto"/>
              <w:bottom w:val="single" w:sz="4" w:space="0" w:color="auto"/>
              <w:right w:val="single" w:sz="4" w:space="0" w:color="auto"/>
            </w:tcBorders>
            <w:vAlign w:val="center"/>
            <w:hideMark/>
          </w:tcPr>
          <w:p w14:paraId="384E35A0" w14:textId="77777777" w:rsidR="00B0797C" w:rsidRPr="00B0797C" w:rsidRDefault="00B0797C" w:rsidP="00A62975">
            <w:pPr>
              <w:jc w:val="center"/>
              <w:rPr>
                <w:snapToGrid w:val="0"/>
                <w:sz w:val="20"/>
                <w:szCs w:val="20"/>
                <w:lang w:val="es-ES"/>
              </w:rPr>
            </w:pPr>
            <w:r w:rsidRPr="00B0797C">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vAlign w:val="center"/>
            <w:hideMark/>
          </w:tcPr>
          <w:p w14:paraId="2B6C0D04" w14:textId="77777777" w:rsidR="00B0797C" w:rsidRPr="00B0797C" w:rsidRDefault="00B0797C" w:rsidP="00A62975">
            <w:pPr>
              <w:jc w:val="center"/>
              <w:rPr>
                <w:snapToGrid w:val="0"/>
                <w:sz w:val="20"/>
                <w:szCs w:val="20"/>
                <w:lang w:val="es-ES"/>
              </w:rPr>
            </w:pPr>
            <w:r w:rsidRPr="00B0797C">
              <w:rPr>
                <w:snapToGrid w:val="0"/>
                <w:sz w:val="20"/>
                <w:lang w:val="es-ES"/>
              </w:rPr>
              <w:t>0</w:t>
            </w:r>
          </w:p>
        </w:tc>
      </w:tr>
      <w:tr w:rsidR="00B0797C" w:rsidRPr="00B0797C" w14:paraId="7A691E8D"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7EAFC896" w14:textId="77777777" w:rsidR="00B0797C" w:rsidRPr="00B0797C" w:rsidRDefault="00B0797C" w:rsidP="00A62975">
            <w:pPr>
              <w:jc w:val="left"/>
              <w:rPr>
                <w:snapToGrid w:val="0"/>
                <w:sz w:val="20"/>
                <w:szCs w:val="20"/>
                <w:lang w:val="es-ES"/>
              </w:rPr>
            </w:pPr>
            <w:r w:rsidRPr="00B0797C">
              <w:rPr>
                <w:snapToGrid w:val="0"/>
                <w:sz w:val="20"/>
                <w:lang w:val="es-ES"/>
              </w:rPr>
              <w:t>Estados Unidos de América</w:t>
            </w:r>
          </w:p>
        </w:tc>
        <w:tc>
          <w:tcPr>
            <w:tcW w:w="864" w:type="pct"/>
            <w:tcBorders>
              <w:top w:val="single" w:sz="4" w:space="0" w:color="auto"/>
              <w:left w:val="single" w:sz="4" w:space="0" w:color="auto"/>
              <w:bottom w:val="single" w:sz="4" w:space="0" w:color="auto"/>
              <w:right w:val="single" w:sz="4" w:space="0" w:color="auto"/>
            </w:tcBorders>
            <w:hideMark/>
          </w:tcPr>
          <w:p w14:paraId="38AF24CB" w14:textId="77777777" w:rsidR="00B0797C" w:rsidRPr="00B0797C" w:rsidRDefault="00B0797C" w:rsidP="00A62975">
            <w:pPr>
              <w:jc w:val="center"/>
              <w:rPr>
                <w:snapToGrid w:val="0"/>
                <w:sz w:val="20"/>
                <w:szCs w:val="20"/>
                <w:lang w:val="es-ES"/>
              </w:rPr>
            </w:pPr>
            <w:r w:rsidRPr="00B0797C">
              <w:rPr>
                <w:snapToGrid w:val="0"/>
                <w:sz w:val="20"/>
                <w:lang w:val="es-ES"/>
              </w:rPr>
              <w:t>2</w:t>
            </w:r>
          </w:p>
        </w:tc>
        <w:tc>
          <w:tcPr>
            <w:tcW w:w="922" w:type="pct"/>
            <w:tcBorders>
              <w:top w:val="single" w:sz="4" w:space="0" w:color="auto"/>
              <w:left w:val="single" w:sz="4" w:space="0" w:color="auto"/>
              <w:bottom w:val="single" w:sz="4" w:space="0" w:color="auto"/>
              <w:right w:val="single" w:sz="4" w:space="0" w:color="auto"/>
            </w:tcBorders>
            <w:hideMark/>
          </w:tcPr>
          <w:p w14:paraId="322354CA" w14:textId="77777777" w:rsidR="00B0797C" w:rsidRPr="00B0797C" w:rsidRDefault="00B0797C" w:rsidP="00A62975">
            <w:pPr>
              <w:jc w:val="center"/>
              <w:rPr>
                <w:snapToGrid w:val="0"/>
                <w:sz w:val="20"/>
                <w:szCs w:val="20"/>
                <w:lang w:val="es-ES"/>
              </w:rPr>
            </w:pPr>
            <w:r w:rsidRPr="00B0797C">
              <w:rPr>
                <w:snapToGrid w:val="0"/>
                <w:sz w:val="20"/>
                <w:lang w:val="es-ES"/>
              </w:rPr>
              <w:t>2</w:t>
            </w:r>
          </w:p>
        </w:tc>
        <w:tc>
          <w:tcPr>
            <w:tcW w:w="998" w:type="pct"/>
            <w:tcBorders>
              <w:top w:val="single" w:sz="4" w:space="0" w:color="auto"/>
              <w:left w:val="single" w:sz="4" w:space="0" w:color="auto"/>
              <w:bottom w:val="single" w:sz="4" w:space="0" w:color="auto"/>
              <w:right w:val="single" w:sz="4" w:space="0" w:color="auto"/>
            </w:tcBorders>
            <w:hideMark/>
          </w:tcPr>
          <w:p w14:paraId="1078A972" w14:textId="77777777" w:rsidR="00B0797C" w:rsidRPr="00B0797C" w:rsidRDefault="00B0797C" w:rsidP="00A62975">
            <w:pPr>
              <w:jc w:val="center"/>
              <w:rPr>
                <w:snapToGrid w:val="0"/>
                <w:sz w:val="20"/>
                <w:szCs w:val="20"/>
                <w:lang w:val="es-ES"/>
              </w:rPr>
            </w:pPr>
            <w:r w:rsidRPr="00B0797C">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hideMark/>
          </w:tcPr>
          <w:p w14:paraId="000928A6" w14:textId="77777777" w:rsidR="00B0797C" w:rsidRPr="00B0797C" w:rsidRDefault="00B0797C" w:rsidP="00A62975">
            <w:pPr>
              <w:jc w:val="center"/>
              <w:rPr>
                <w:snapToGrid w:val="0"/>
                <w:sz w:val="20"/>
                <w:szCs w:val="20"/>
                <w:lang w:val="es-ES"/>
              </w:rPr>
            </w:pPr>
            <w:r w:rsidRPr="00B0797C">
              <w:rPr>
                <w:snapToGrid w:val="0"/>
                <w:sz w:val="20"/>
                <w:lang w:val="es-ES"/>
              </w:rPr>
              <w:t>0</w:t>
            </w:r>
          </w:p>
        </w:tc>
      </w:tr>
      <w:tr w:rsidR="00B0797C" w:rsidRPr="00B0797C" w14:paraId="5C8AF904"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2DC5F48C" w14:textId="77777777" w:rsidR="00B0797C" w:rsidRPr="00B0797C" w:rsidRDefault="00B0797C" w:rsidP="00A62975">
            <w:pPr>
              <w:jc w:val="left"/>
              <w:rPr>
                <w:snapToGrid w:val="0"/>
                <w:sz w:val="20"/>
                <w:szCs w:val="20"/>
                <w:lang w:val="es-ES"/>
              </w:rPr>
            </w:pPr>
            <w:r w:rsidRPr="00B0797C">
              <w:rPr>
                <w:snapToGrid w:val="0"/>
                <w:sz w:val="20"/>
                <w:lang w:val="es-ES"/>
              </w:rPr>
              <w:t>PNUD</w:t>
            </w:r>
          </w:p>
        </w:tc>
        <w:tc>
          <w:tcPr>
            <w:tcW w:w="864" w:type="pct"/>
            <w:tcBorders>
              <w:top w:val="single" w:sz="4" w:space="0" w:color="auto"/>
              <w:left w:val="single" w:sz="4" w:space="0" w:color="auto"/>
              <w:bottom w:val="single" w:sz="4" w:space="0" w:color="auto"/>
              <w:right w:val="single" w:sz="4" w:space="0" w:color="auto"/>
            </w:tcBorders>
            <w:hideMark/>
          </w:tcPr>
          <w:p w14:paraId="1E436093" w14:textId="77777777" w:rsidR="00B0797C" w:rsidRPr="00B0797C" w:rsidRDefault="00B0797C" w:rsidP="00A62975">
            <w:pPr>
              <w:jc w:val="center"/>
              <w:rPr>
                <w:snapToGrid w:val="0"/>
                <w:sz w:val="20"/>
                <w:szCs w:val="20"/>
                <w:lang w:val="es-ES"/>
              </w:rPr>
            </w:pPr>
            <w:r w:rsidRPr="00B0797C">
              <w:rPr>
                <w:snapToGrid w:val="0"/>
                <w:sz w:val="20"/>
                <w:lang w:val="es-ES"/>
              </w:rPr>
              <w:t>897</w:t>
            </w:r>
          </w:p>
        </w:tc>
        <w:tc>
          <w:tcPr>
            <w:tcW w:w="922" w:type="pct"/>
            <w:tcBorders>
              <w:top w:val="single" w:sz="4" w:space="0" w:color="auto"/>
              <w:left w:val="single" w:sz="4" w:space="0" w:color="auto"/>
              <w:bottom w:val="single" w:sz="4" w:space="0" w:color="auto"/>
              <w:right w:val="single" w:sz="4" w:space="0" w:color="auto"/>
            </w:tcBorders>
            <w:hideMark/>
          </w:tcPr>
          <w:p w14:paraId="19DCA658" w14:textId="77777777" w:rsidR="00B0797C" w:rsidRPr="00B0797C" w:rsidRDefault="00B0797C" w:rsidP="00A62975">
            <w:pPr>
              <w:jc w:val="center"/>
              <w:rPr>
                <w:snapToGrid w:val="0"/>
                <w:sz w:val="20"/>
                <w:szCs w:val="20"/>
                <w:lang w:val="es-ES"/>
              </w:rPr>
            </w:pPr>
            <w:r w:rsidRPr="00B0797C">
              <w:rPr>
                <w:snapToGrid w:val="0"/>
                <w:sz w:val="20"/>
                <w:lang w:val="es-ES"/>
              </w:rPr>
              <w:t>895</w:t>
            </w:r>
          </w:p>
        </w:tc>
        <w:tc>
          <w:tcPr>
            <w:tcW w:w="998" w:type="pct"/>
            <w:tcBorders>
              <w:top w:val="single" w:sz="4" w:space="0" w:color="auto"/>
              <w:left w:val="single" w:sz="4" w:space="0" w:color="auto"/>
              <w:bottom w:val="single" w:sz="4" w:space="0" w:color="auto"/>
              <w:right w:val="single" w:sz="4" w:space="0" w:color="auto"/>
            </w:tcBorders>
            <w:hideMark/>
          </w:tcPr>
          <w:p w14:paraId="40E647A0" w14:textId="77777777" w:rsidR="00B0797C" w:rsidRPr="00B0797C" w:rsidRDefault="00B0797C" w:rsidP="00A62975">
            <w:pPr>
              <w:jc w:val="center"/>
              <w:rPr>
                <w:snapToGrid w:val="0"/>
                <w:sz w:val="20"/>
                <w:szCs w:val="20"/>
                <w:lang w:val="es-ES"/>
              </w:rPr>
            </w:pPr>
            <w:r w:rsidRPr="00B0797C">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hideMark/>
          </w:tcPr>
          <w:p w14:paraId="5D568DCE" w14:textId="77777777" w:rsidR="00B0797C" w:rsidRPr="00B0797C" w:rsidRDefault="00B0797C" w:rsidP="00A62975">
            <w:pPr>
              <w:jc w:val="center"/>
              <w:rPr>
                <w:snapToGrid w:val="0"/>
                <w:sz w:val="20"/>
                <w:szCs w:val="20"/>
                <w:lang w:val="es-ES"/>
              </w:rPr>
            </w:pPr>
            <w:r w:rsidRPr="00B0797C">
              <w:rPr>
                <w:snapToGrid w:val="0"/>
                <w:sz w:val="20"/>
                <w:lang w:val="es-ES"/>
              </w:rPr>
              <w:t>2</w:t>
            </w:r>
          </w:p>
        </w:tc>
      </w:tr>
      <w:tr w:rsidR="00B0797C" w:rsidRPr="00B0797C" w14:paraId="7F20950E"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5A7FFED8" w14:textId="77777777" w:rsidR="00B0797C" w:rsidRPr="00B0797C" w:rsidRDefault="00B0797C" w:rsidP="00A62975">
            <w:pPr>
              <w:jc w:val="left"/>
              <w:rPr>
                <w:snapToGrid w:val="0"/>
                <w:sz w:val="20"/>
                <w:szCs w:val="20"/>
                <w:lang w:val="es-ES"/>
              </w:rPr>
            </w:pPr>
            <w:r w:rsidRPr="00B0797C">
              <w:rPr>
                <w:snapToGrid w:val="0"/>
                <w:sz w:val="20"/>
                <w:lang w:val="es-ES"/>
              </w:rPr>
              <w:t>ONUDI</w:t>
            </w:r>
          </w:p>
        </w:tc>
        <w:tc>
          <w:tcPr>
            <w:tcW w:w="864" w:type="pct"/>
            <w:tcBorders>
              <w:top w:val="single" w:sz="4" w:space="0" w:color="auto"/>
              <w:left w:val="single" w:sz="4" w:space="0" w:color="auto"/>
              <w:bottom w:val="single" w:sz="4" w:space="0" w:color="auto"/>
              <w:right w:val="single" w:sz="4" w:space="0" w:color="auto"/>
            </w:tcBorders>
            <w:hideMark/>
          </w:tcPr>
          <w:p w14:paraId="7B608FFD" w14:textId="77777777" w:rsidR="00B0797C" w:rsidRPr="00B0797C" w:rsidRDefault="00B0797C" w:rsidP="00A62975">
            <w:pPr>
              <w:jc w:val="center"/>
              <w:rPr>
                <w:snapToGrid w:val="0"/>
                <w:sz w:val="20"/>
                <w:szCs w:val="20"/>
                <w:lang w:val="es-ES"/>
              </w:rPr>
            </w:pPr>
            <w:r w:rsidRPr="00B0797C">
              <w:rPr>
                <w:snapToGrid w:val="0"/>
                <w:sz w:val="20"/>
                <w:lang w:val="es-ES"/>
              </w:rPr>
              <w:t>448</w:t>
            </w:r>
          </w:p>
        </w:tc>
        <w:tc>
          <w:tcPr>
            <w:tcW w:w="922" w:type="pct"/>
            <w:tcBorders>
              <w:top w:val="single" w:sz="4" w:space="0" w:color="auto"/>
              <w:left w:val="single" w:sz="4" w:space="0" w:color="auto"/>
              <w:bottom w:val="single" w:sz="4" w:space="0" w:color="auto"/>
              <w:right w:val="single" w:sz="4" w:space="0" w:color="auto"/>
            </w:tcBorders>
            <w:hideMark/>
          </w:tcPr>
          <w:p w14:paraId="4280CFDA" w14:textId="77777777" w:rsidR="00B0797C" w:rsidRPr="00B0797C" w:rsidRDefault="00B0797C" w:rsidP="00A62975">
            <w:pPr>
              <w:jc w:val="center"/>
              <w:rPr>
                <w:snapToGrid w:val="0"/>
                <w:sz w:val="20"/>
                <w:szCs w:val="20"/>
                <w:lang w:val="es-ES"/>
              </w:rPr>
            </w:pPr>
            <w:r w:rsidRPr="00B0797C">
              <w:rPr>
                <w:snapToGrid w:val="0"/>
                <w:sz w:val="20"/>
                <w:lang w:val="es-ES"/>
              </w:rPr>
              <w:t>448</w:t>
            </w:r>
          </w:p>
        </w:tc>
        <w:tc>
          <w:tcPr>
            <w:tcW w:w="998" w:type="pct"/>
            <w:tcBorders>
              <w:top w:val="single" w:sz="4" w:space="0" w:color="auto"/>
              <w:left w:val="single" w:sz="4" w:space="0" w:color="auto"/>
              <w:bottom w:val="single" w:sz="4" w:space="0" w:color="auto"/>
              <w:right w:val="single" w:sz="4" w:space="0" w:color="auto"/>
            </w:tcBorders>
            <w:hideMark/>
          </w:tcPr>
          <w:p w14:paraId="62B2AA3F" w14:textId="77777777" w:rsidR="00B0797C" w:rsidRPr="00B0797C" w:rsidRDefault="00B0797C" w:rsidP="00A62975">
            <w:pPr>
              <w:jc w:val="center"/>
              <w:rPr>
                <w:snapToGrid w:val="0"/>
                <w:sz w:val="20"/>
                <w:szCs w:val="20"/>
                <w:lang w:val="es-ES"/>
              </w:rPr>
            </w:pPr>
            <w:r w:rsidRPr="00B0797C">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hideMark/>
          </w:tcPr>
          <w:p w14:paraId="7B3A1ABC" w14:textId="77777777" w:rsidR="00B0797C" w:rsidRPr="00B0797C" w:rsidRDefault="00B0797C" w:rsidP="00A62975">
            <w:pPr>
              <w:jc w:val="center"/>
              <w:rPr>
                <w:snapToGrid w:val="0"/>
                <w:sz w:val="20"/>
                <w:szCs w:val="20"/>
                <w:lang w:val="es-ES"/>
              </w:rPr>
            </w:pPr>
            <w:r w:rsidRPr="00B0797C">
              <w:rPr>
                <w:snapToGrid w:val="0"/>
                <w:sz w:val="20"/>
                <w:lang w:val="es-ES"/>
              </w:rPr>
              <w:t>0</w:t>
            </w:r>
          </w:p>
        </w:tc>
      </w:tr>
      <w:tr w:rsidR="00B0797C" w:rsidRPr="00B0797C" w14:paraId="2A1B0990"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2003368B" w14:textId="77777777" w:rsidR="00B0797C" w:rsidRPr="00B0797C" w:rsidRDefault="00B0797C" w:rsidP="00A62975">
            <w:pPr>
              <w:jc w:val="left"/>
              <w:rPr>
                <w:snapToGrid w:val="0"/>
                <w:sz w:val="20"/>
                <w:szCs w:val="20"/>
                <w:lang w:val="es-ES"/>
              </w:rPr>
            </w:pPr>
            <w:r w:rsidRPr="00B0797C">
              <w:rPr>
                <w:snapToGrid w:val="0"/>
                <w:sz w:val="20"/>
                <w:lang w:val="es-ES"/>
              </w:rPr>
              <w:t>Banco Mundial</w:t>
            </w:r>
          </w:p>
        </w:tc>
        <w:tc>
          <w:tcPr>
            <w:tcW w:w="864" w:type="pct"/>
            <w:tcBorders>
              <w:top w:val="single" w:sz="4" w:space="0" w:color="auto"/>
              <w:left w:val="single" w:sz="4" w:space="0" w:color="auto"/>
              <w:bottom w:val="single" w:sz="4" w:space="0" w:color="auto"/>
              <w:right w:val="single" w:sz="4" w:space="0" w:color="auto"/>
            </w:tcBorders>
            <w:hideMark/>
          </w:tcPr>
          <w:p w14:paraId="36504119" w14:textId="77777777" w:rsidR="00B0797C" w:rsidRPr="00B0797C" w:rsidRDefault="00B0797C" w:rsidP="00A62975">
            <w:pPr>
              <w:jc w:val="center"/>
              <w:rPr>
                <w:snapToGrid w:val="0"/>
                <w:sz w:val="20"/>
                <w:szCs w:val="20"/>
                <w:lang w:val="es-ES"/>
              </w:rPr>
            </w:pPr>
            <w:r w:rsidRPr="00B0797C">
              <w:rPr>
                <w:snapToGrid w:val="0"/>
                <w:sz w:val="20"/>
                <w:lang w:val="es-ES"/>
              </w:rPr>
              <w:t>457</w:t>
            </w:r>
          </w:p>
        </w:tc>
        <w:tc>
          <w:tcPr>
            <w:tcW w:w="922" w:type="pct"/>
            <w:tcBorders>
              <w:top w:val="single" w:sz="4" w:space="0" w:color="auto"/>
              <w:left w:val="single" w:sz="4" w:space="0" w:color="auto"/>
              <w:bottom w:val="single" w:sz="4" w:space="0" w:color="auto"/>
              <w:right w:val="single" w:sz="4" w:space="0" w:color="auto"/>
            </w:tcBorders>
            <w:hideMark/>
          </w:tcPr>
          <w:p w14:paraId="3FDE2450" w14:textId="77777777" w:rsidR="00B0797C" w:rsidRPr="00B0797C" w:rsidRDefault="00B0797C" w:rsidP="00A62975">
            <w:pPr>
              <w:jc w:val="center"/>
              <w:rPr>
                <w:snapToGrid w:val="0"/>
                <w:sz w:val="20"/>
                <w:szCs w:val="20"/>
                <w:lang w:val="es-ES"/>
              </w:rPr>
            </w:pPr>
            <w:r w:rsidRPr="00B0797C">
              <w:rPr>
                <w:snapToGrid w:val="0"/>
                <w:sz w:val="20"/>
                <w:lang w:val="es-ES"/>
              </w:rPr>
              <w:t>452</w:t>
            </w:r>
          </w:p>
        </w:tc>
        <w:tc>
          <w:tcPr>
            <w:tcW w:w="998" w:type="pct"/>
            <w:tcBorders>
              <w:top w:val="single" w:sz="4" w:space="0" w:color="auto"/>
              <w:left w:val="single" w:sz="4" w:space="0" w:color="auto"/>
              <w:bottom w:val="single" w:sz="4" w:space="0" w:color="auto"/>
              <w:right w:val="single" w:sz="4" w:space="0" w:color="auto"/>
            </w:tcBorders>
            <w:hideMark/>
          </w:tcPr>
          <w:p w14:paraId="4823EECC" w14:textId="77777777" w:rsidR="00B0797C" w:rsidRPr="00B0797C" w:rsidRDefault="00B0797C" w:rsidP="00A62975">
            <w:pPr>
              <w:jc w:val="center"/>
              <w:rPr>
                <w:snapToGrid w:val="0"/>
                <w:sz w:val="20"/>
                <w:szCs w:val="20"/>
                <w:lang w:val="es-ES"/>
              </w:rPr>
            </w:pPr>
            <w:r w:rsidRPr="00B0797C">
              <w:rPr>
                <w:snapToGrid w:val="0"/>
                <w:sz w:val="20"/>
                <w:lang w:val="es-ES"/>
              </w:rPr>
              <w:t>2</w:t>
            </w:r>
          </w:p>
        </w:tc>
        <w:tc>
          <w:tcPr>
            <w:tcW w:w="846" w:type="pct"/>
            <w:tcBorders>
              <w:top w:val="single" w:sz="4" w:space="0" w:color="auto"/>
              <w:left w:val="single" w:sz="4" w:space="0" w:color="auto"/>
              <w:bottom w:val="single" w:sz="4" w:space="0" w:color="auto"/>
              <w:right w:val="single" w:sz="4" w:space="0" w:color="auto"/>
            </w:tcBorders>
            <w:hideMark/>
          </w:tcPr>
          <w:p w14:paraId="258CEADE" w14:textId="77777777" w:rsidR="00B0797C" w:rsidRPr="00B0797C" w:rsidRDefault="00B0797C" w:rsidP="00A62975">
            <w:pPr>
              <w:jc w:val="center"/>
              <w:rPr>
                <w:snapToGrid w:val="0"/>
                <w:sz w:val="20"/>
                <w:szCs w:val="20"/>
                <w:lang w:val="es-ES"/>
              </w:rPr>
            </w:pPr>
            <w:r w:rsidRPr="00B0797C">
              <w:rPr>
                <w:snapToGrid w:val="0"/>
                <w:sz w:val="20"/>
                <w:lang w:val="es-ES"/>
              </w:rPr>
              <w:t>3</w:t>
            </w:r>
          </w:p>
        </w:tc>
      </w:tr>
      <w:tr w:rsidR="00B0797C" w:rsidRPr="00B0797C" w14:paraId="31021531" w14:textId="77777777" w:rsidTr="00B0797C">
        <w:trPr>
          <w:cantSplit/>
        </w:trPr>
        <w:tc>
          <w:tcPr>
            <w:tcW w:w="1370" w:type="pct"/>
            <w:tcBorders>
              <w:top w:val="single" w:sz="4" w:space="0" w:color="auto"/>
              <w:left w:val="single" w:sz="4" w:space="0" w:color="auto"/>
              <w:bottom w:val="single" w:sz="4" w:space="0" w:color="auto"/>
              <w:right w:val="single" w:sz="4" w:space="0" w:color="auto"/>
            </w:tcBorders>
            <w:hideMark/>
          </w:tcPr>
          <w:p w14:paraId="6A4A94A7" w14:textId="77777777" w:rsidR="00B0797C" w:rsidRPr="00B0797C" w:rsidRDefault="00B0797C" w:rsidP="00A62975">
            <w:pPr>
              <w:jc w:val="left"/>
              <w:rPr>
                <w:b/>
                <w:snapToGrid w:val="0"/>
                <w:sz w:val="20"/>
                <w:szCs w:val="20"/>
                <w:lang w:val="es-ES"/>
              </w:rPr>
            </w:pPr>
            <w:r w:rsidRPr="00B0797C">
              <w:rPr>
                <w:b/>
                <w:snapToGrid w:val="0"/>
                <w:sz w:val="20"/>
                <w:lang w:val="es-ES"/>
              </w:rPr>
              <w:t>Total</w:t>
            </w:r>
          </w:p>
        </w:tc>
        <w:tc>
          <w:tcPr>
            <w:tcW w:w="864" w:type="pct"/>
            <w:tcBorders>
              <w:top w:val="single" w:sz="4" w:space="0" w:color="auto"/>
              <w:left w:val="single" w:sz="4" w:space="0" w:color="auto"/>
              <w:bottom w:val="single" w:sz="4" w:space="0" w:color="auto"/>
              <w:right w:val="single" w:sz="4" w:space="0" w:color="auto"/>
            </w:tcBorders>
            <w:hideMark/>
          </w:tcPr>
          <w:p w14:paraId="4A35C57A" w14:textId="59DD75B7" w:rsidR="00B0797C" w:rsidRPr="00B0797C" w:rsidRDefault="00B0797C" w:rsidP="00A62975">
            <w:pPr>
              <w:tabs>
                <w:tab w:val="left" w:pos="600"/>
                <w:tab w:val="center" w:pos="915"/>
              </w:tabs>
              <w:jc w:val="center"/>
              <w:rPr>
                <w:b/>
                <w:snapToGrid w:val="0"/>
                <w:sz w:val="20"/>
                <w:szCs w:val="20"/>
                <w:lang w:val="es-ES"/>
              </w:rPr>
            </w:pPr>
            <w:r w:rsidRPr="00B0797C">
              <w:rPr>
                <w:b/>
                <w:snapToGrid w:val="0"/>
                <w:sz w:val="20"/>
                <w:lang w:val="es-ES"/>
              </w:rPr>
              <w:t>1</w:t>
            </w:r>
            <w:r w:rsidR="006C6E63">
              <w:rPr>
                <w:b/>
                <w:snapToGrid w:val="0"/>
                <w:sz w:val="20"/>
                <w:lang w:val="es-ES"/>
              </w:rPr>
              <w:t xml:space="preserve"> </w:t>
            </w:r>
            <w:r w:rsidRPr="00B0797C">
              <w:rPr>
                <w:b/>
                <w:snapToGrid w:val="0"/>
                <w:sz w:val="20"/>
                <w:lang w:val="es-ES"/>
              </w:rPr>
              <w:t>856</w:t>
            </w:r>
          </w:p>
        </w:tc>
        <w:tc>
          <w:tcPr>
            <w:tcW w:w="922" w:type="pct"/>
            <w:tcBorders>
              <w:top w:val="single" w:sz="4" w:space="0" w:color="auto"/>
              <w:left w:val="single" w:sz="4" w:space="0" w:color="auto"/>
              <w:bottom w:val="single" w:sz="4" w:space="0" w:color="auto"/>
              <w:right w:val="single" w:sz="4" w:space="0" w:color="auto"/>
            </w:tcBorders>
            <w:hideMark/>
          </w:tcPr>
          <w:p w14:paraId="0BE5A800" w14:textId="16275E07" w:rsidR="00B0797C" w:rsidRPr="00B0797C" w:rsidRDefault="00B0797C" w:rsidP="00A62975">
            <w:pPr>
              <w:jc w:val="center"/>
              <w:rPr>
                <w:b/>
                <w:snapToGrid w:val="0"/>
                <w:sz w:val="20"/>
                <w:szCs w:val="20"/>
                <w:lang w:val="es-ES"/>
              </w:rPr>
            </w:pPr>
            <w:r w:rsidRPr="00B0797C">
              <w:rPr>
                <w:b/>
                <w:snapToGrid w:val="0"/>
                <w:sz w:val="20"/>
                <w:lang w:val="es-ES"/>
              </w:rPr>
              <w:t>1</w:t>
            </w:r>
            <w:r w:rsidR="006C6E63">
              <w:rPr>
                <w:b/>
                <w:snapToGrid w:val="0"/>
                <w:sz w:val="20"/>
                <w:lang w:val="es-ES"/>
              </w:rPr>
              <w:t xml:space="preserve"> </w:t>
            </w:r>
            <w:r w:rsidRPr="00B0797C">
              <w:rPr>
                <w:b/>
                <w:snapToGrid w:val="0"/>
                <w:sz w:val="20"/>
                <w:lang w:val="es-ES"/>
              </w:rPr>
              <w:t>848</w:t>
            </w:r>
          </w:p>
        </w:tc>
        <w:tc>
          <w:tcPr>
            <w:tcW w:w="998" w:type="pct"/>
            <w:tcBorders>
              <w:top w:val="single" w:sz="4" w:space="0" w:color="auto"/>
              <w:left w:val="single" w:sz="4" w:space="0" w:color="auto"/>
              <w:bottom w:val="single" w:sz="4" w:space="0" w:color="auto"/>
              <w:right w:val="single" w:sz="4" w:space="0" w:color="auto"/>
            </w:tcBorders>
            <w:hideMark/>
          </w:tcPr>
          <w:p w14:paraId="046AB0D7" w14:textId="77777777" w:rsidR="00B0797C" w:rsidRPr="00B0797C" w:rsidRDefault="00B0797C" w:rsidP="00A62975">
            <w:pPr>
              <w:jc w:val="center"/>
              <w:rPr>
                <w:b/>
                <w:snapToGrid w:val="0"/>
                <w:sz w:val="20"/>
                <w:szCs w:val="20"/>
                <w:lang w:val="es-ES"/>
              </w:rPr>
            </w:pPr>
            <w:r w:rsidRPr="00B0797C">
              <w:rPr>
                <w:b/>
                <w:snapToGrid w:val="0"/>
                <w:sz w:val="20"/>
                <w:lang w:val="es-ES"/>
              </w:rPr>
              <w:t>2</w:t>
            </w:r>
          </w:p>
        </w:tc>
        <w:tc>
          <w:tcPr>
            <w:tcW w:w="846" w:type="pct"/>
            <w:tcBorders>
              <w:top w:val="single" w:sz="4" w:space="0" w:color="auto"/>
              <w:left w:val="single" w:sz="4" w:space="0" w:color="auto"/>
              <w:bottom w:val="single" w:sz="4" w:space="0" w:color="auto"/>
              <w:right w:val="single" w:sz="4" w:space="0" w:color="auto"/>
            </w:tcBorders>
            <w:hideMark/>
          </w:tcPr>
          <w:p w14:paraId="0C0EDB5C" w14:textId="77777777" w:rsidR="00B0797C" w:rsidRPr="00B0797C" w:rsidRDefault="00B0797C" w:rsidP="00A62975">
            <w:pPr>
              <w:jc w:val="center"/>
              <w:rPr>
                <w:b/>
                <w:snapToGrid w:val="0"/>
                <w:sz w:val="20"/>
                <w:szCs w:val="20"/>
                <w:lang w:val="es-ES"/>
              </w:rPr>
            </w:pPr>
            <w:r w:rsidRPr="00B0797C">
              <w:rPr>
                <w:b/>
                <w:snapToGrid w:val="0"/>
                <w:sz w:val="20"/>
                <w:lang w:val="es-ES"/>
              </w:rPr>
              <w:t>6</w:t>
            </w:r>
          </w:p>
        </w:tc>
      </w:tr>
    </w:tbl>
    <w:p w14:paraId="37F3B831" w14:textId="77777777" w:rsidR="00B0797C" w:rsidRPr="00B0797C" w:rsidRDefault="00B0797C" w:rsidP="00A62975">
      <w:pPr>
        <w:pStyle w:val="Heading1"/>
        <w:numPr>
          <w:ilvl w:val="0"/>
          <w:numId w:val="21"/>
        </w:numPr>
        <w:spacing w:before="240"/>
        <w:rPr>
          <w:lang w:val="es-ES"/>
        </w:rPr>
      </w:pPr>
      <w:r w:rsidRPr="00B0797C">
        <w:rPr>
          <w:lang w:val="es-ES"/>
        </w:rPr>
        <w:t>De los 1 234 proyectos ajenos a la inversión</w:t>
      </w:r>
      <w:r w:rsidRPr="00B0797C">
        <w:rPr>
          <w:rStyle w:val="FootnoteReference"/>
          <w:lang w:val="es-ES"/>
        </w:rPr>
        <w:footnoteReference w:id="4"/>
      </w:r>
      <w:r w:rsidRPr="00B0797C">
        <w:rPr>
          <w:lang w:val="es-ES"/>
        </w:rPr>
        <w:t xml:space="preserve"> que se han completado, los organismos bilaterales y de ejecución habían presentado 1 214 informes de terminación de proyectos, por lo que restan 20 informes de terminación de proyectos pendientes, como se muestra en el Cuadro 4. </w:t>
      </w:r>
    </w:p>
    <w:p w14:paraId="1BEDFCE8" w14:textId="77777777" w:rsidR="00B0797C" w:rsidRPr="00B0797C" w:rsidRDefault="00B0797C" w:rsidP="006C6E63">
      <w:pPr>
        <w:pStyle w:val="FootnoteText"/>
        <w:keepNext/>
        <w:keepLines/>
        <w:ind w:left="14"/>
        <w:contextualSpacing/>
        <w:rPr>
          <w:b/>
          <w:sz w:val="21"/>
          <w:szCs w:val="21"/>
        </w:rPr>
      </w:pPr>
      <w:r w:rsidRPr="00B0797C">
        <w:rPr>
          <w:b/>
          <w:sz w:val="21"/>
        </w:rPr>
        <w:lastRenderedPageBreak/>
        <w:t>Cuadro 4. Informes de terminación de proyectos presentados para proyectos ajenos a la inversión</w:t>
      </w:r>
    </w:p>
    <w:tbl>
      <w:tblPr>
        <w:tblW w:w="9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560"/>
        <w:gridCol w:w="2127"/>
        <w:gridCol w:w="2255"/>
        <w:gridCol w:w="1844"/>
      </w:tblGrid>
      <w:tr w:rsidR="00B0797C" w:rsidRPr="00B0797C" w14:paraId="5F349AEF" w14:textId="77777777" w:rsidTr="00B0797C">
        <w:trPr>
          <w:trHeight w:val="467"/>
          <w:tblHeader/>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140C003D" w14:textId="77777777" w:rsidR="00B0797C" w:rsidRPr="00B0797C" w:rsidRDefault="00B0797C" w:rsidP="00A62975">
            <w:pPr>
              <w:jc w:val="left"/>
              <w:rPr>
                <w:b/>
                <w:color w:val="000000"/>
                <w:sz w:val="20"/>
                <w:szCs w:val="20"/>
                <w:lang w:val="es-ES"/>
              </w:rPr>
            </w:pPr>
            <w:r w:rsidRPr="00B0797C">
              <w:rPr>
                <w:b/>
                <w:color w:val="000000"/>
                <w:sz w:val="20"/>
                <w:lang w:val="es-ES"/>
              </w:rPr>
              <w:t>Organismo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B71E13A" w14:textId="77777777" w:rsidR="00B0797C" w:rsidRPr="00B0797C" w:rsidRDefault="00B0797C" w:rsidP="00A62975">
            <w:pPr>
              <w:jc w:val="center"/>
              <w:rPr>
                <w:b/>
                <w:color w:val="000000"/>
                <w:sz w:val="20"/>
                <w:szCs w:val="20"/>
                <w:lang w:val="es-ES"/>
              </w:rPr>
            </w:pPr>
            <w:r w:rsidRPr="00B0797C">
              <w:rPr>
                <w:b/>
                <w:color w:val="000000"/>
                <w:sz w:val="20"/>
                <w:lang w:val="es-ES"/>
              </w:rPr>
              <w:t>Terminados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ADA4955" w14:textId="77777777" w:rsidR="00B0797C" w:rsidRPr="00B0797C" w:rsidRDefault="00B0797C" w:rsidP="00A62975">
            <w:pPr>
              <w:jc w:val="center"/>
              <w:rPr>
                <w:b/>
                <w:sz w:val="20"/>
                <w:szCs w:val="20"/>
                <w:lang w:val="es-ES"/>
              </w:rPr>
            </w:pPr>
            <w:r w:rsidRPr="00B0797C">
              <w:rPr>
                <w:b/>
                <w:sz w:val="20"/>
                <w:lang w:val="es-ES"/>
              </w:rPr>
              <w:t xml:space="preserve">Recibidos antes de la </w:t>
            </w:r>
          </w:p>
          <w:p w14:paraId="333C24DC" w14:textId="77777777" w:rsidR="00B0797C" w:rsidRPr="00B0797C" w:rsidRDefault="00B0797C" w:rsidP="00A62975">
            <w:pPr>
              <w:jc w:val="center"/>
              <w:rPr>
                <w:b/>
                <w:sz w:val="20"/>
                <w:szCs w:val="20"/>
                <w:lang w:val="es-ES"/>
              </w:rPr>
            </w:pPr>
            <w:r w:rsidRPr="00B0797C">
              <w:rPr>
                <w:b/>
                <w:sz w:val="20"/>
                <w:lang w:val="es-ES"/>
              </w:rPr>
              <w:t>84</w:t>
            </w:r>
            <w:r w:rsidRPr="00B0797C">
              <w:rPr>
                <w:b/>
                <w:sz w:val="20"/>
                <w:vertAlign w:val="superscript"/>
                <w:lang w:val="es-ES"/>
              </w:rPr>
              <w:t>a</w:t>
            </w:r>
            <w:r w:rsidRPr="00B0797C">
              <w:rPr>
                <w:b/>
                <w:sz w:val="20"/>
                <w:lang w:val="es-ES"/>
              </w:rPr>
              <w:t> reunión</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55EE3BD" w14:textId="77777777" w:rsidR="00B0797C" w:rsidRPr="00B0797C" w:rsidRDefault="00B0797C" w:rsidP="00A62975">
            <w:pPr>
              <w:jc w:val="center"/>
              <w:rPr>
                <w:b/>
                <w:sz w:val="20"/>
                <w:szCs w:val="20"/>
                <w:lang w:val="es-ES"/>
              </w:rPr>
            </w:pPr>
            <w:r w:rsidRPr="00B0797C">
              <w:rPr>
                <w:b/>
                <w:sz w:val="20"/>
                <w:lang w:val="es-ES"/>
              </w:rPr>
              <w:t xml:space="preserve">Recibidos después de la </w:t>
            </w:r>
          </w:p>
          <w:p w14:paraId="44539F01" w14:textId="77777777" w:rsidR="00B0797C" w:rsidRPr="00B0797C" w:rsidRDefault="00B0797C" w:rsidP="00A62975">
            <w:pPr>
              <w:jc w:val="center"/>
              <w:rPr>
                <w:b/>
                <w:sz w:val="20"/>
                <w:szCs w:val="20"/>
                <w:lang w:val="es-ES"/>
              </w:rPr>
            </w:pPr>
            <w:r w:rsidRPr="00B0797C">
              <w:rPr>
                <w:b/>
                <w:sz w:val="20"/>
                <w:lang w:val="es-ES"/>
              </w:rPr>
              <w:t>84</w:t>
            </w:r>
            <w:r w:rsidRPr="00B0797C">
              <w:rPr>
                <w:b/>
                <w:sz w:val="20"/>
                <w:vertAlign w:val="superscript"/>
                <w:lang w:val="es-ES"/>
              </w:rPr>
              <w:t>a</w:t>
            </w:r>
            <w:r w:rsidRPr="00B0797C">
              <w:rPr>
                <w:b/>
                <w:sz w:val="20"/>
                <w:lang w:val="es-ES"/>
              </w:rPr>
              <w:t> reunión</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707BEEE" w14:textId="77777777" w:rsidR="00B0797C" w:rsidRPr="00B0797C" w:rsidRDefault="00B0797C" w:rsidP="00A62975">
            <w:pPr>
              <w:jc w:val="center"/>
              <w:rPr>
                <w:b/>
                <w:sz w:val="20"/>
                <w:szCs w:val="20"/>
                <w:lang w:val="es-ES"/>
              </w:rPr>
            </w:pPr>
            <w:r w:rsidRPr="00B0797C">
              <w:rPr>
                <w:b/>
                <w:sz w:val="20"/>
                <w:lang w:val="es-ES"/>
              </w:rPr>
              <w:t>Pendientes</w:t>
            </w:r>
          </w:p>
        </w:tc>
      </w:tr>
      <w:tr w:rsidR="00B0797C" w:rsidRPr="00B0797C" w14:paraId="4F222710"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0028A0F0" w14:textId="77777777" w:rsidR="00B0797C" w:rsidRPr="00B0797C" w:rsidRDefault="00B0797C" w:rsidP="00A62975">
            <w:pPr>
              <w:jc w:val="left"/>
              <w:rPr>
                <w:color w:val="000000"/>
                <w:sz w:val="20"/>
                <w:szCs w:val="20"/>
                <w:lang w:val="es-ES"/>
              </w:rPr>
            </w:pPr>
            <w:r w:rsidRPr="00B0797C">
              <w:rPr>
                <w:color w:val="000000"/>
                <w:sz w:val="20"/>
                <w:lang w:val="es-ES"/>
              </w:rPr>
              <w:t>Canadá</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31B2D00F" w14:textId="77777777" w:rsidR="00B0797C" w:rsidRPr="00B0797C" w:rsidRDefault="00B0797C" w:rsidP="00A62975">
            <w:pPr>
              <w:ind w:left="-25" w:right="-605"/>
              <w:jc w:val="center"/>
              <w:rPr>
                <w:sz w:val="20"/>
                <w:szCs w:val="20"/>
                <w:lang w:val="es-ES"/>
              </w:rPr>
            </w:pPr>
            <w:r w:rsidRPr="00B0797C">
              <w:rPr>
                <w:sz w:val="20"/>
                <w:lang w:val="es-ES"/>
              </w:rPr>
              <w:t>57</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33E4A41F" w14:textId="77777777" w:rsidR="00B0797C" w:rsidRPr="00B0797C" w:rsidRDefault="00B0797C" w:rsidP="00A62975">
            <w:pPr>
              <w:ind w:left="778"/>
              <w:jc w:val="center"/>
              <w:rPr>
                <w:sz w:val="20"/>
                <w:szCs w:val="20"/>
                <w:lang w:val="es-ES"/>
              </w:rPr>
            </w:pPr>
            <w:r w:rsidRPr="00B0797C">
              <w:rPr>
                <w:sz w:val="20"/>
                <w:lang w:val="es-ES"/>
              </w:rPr>
              <w:t>56</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657904DD" w14:textId="77777777" w:rsidR="00B0797C" w:rsidRPr="00B0797C" w:rsidRDefault="00B0797C" w:rsidP="00A62975">
            <w:pPr>
              <w:ind w:left="875"/>
              <w:jc w:val="center"/>
              <w:rPr>
                <w:sz w:val="20"/>
                <w:szCs w:val="20"/>
                <w:lang w:val="es-ES"/>
              </w:rPr>
            </w:pPr>
            <w:r w:rsidRPr="00B0797C">
              <w:rPr>
                <w:sz w:val="20"/>
                <w:lang w:val="es-ES"/>
              </w:rPr>
              <w:t>1</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6EBC76B0" w14:textId="77777777" w:rsidR="00B0797C" w:rsidRPr="00B0797C" w:rsidRDefault="00B0797C" w:rsidP="00A62975">
            <w:pPr>
              <w:ind w:right="-799"/>
              <w:jc w:val="center"/>
              <w:rPr>
                <w:sz w:val="20"/>
                <w:szCs w:val="20"/>
                <w:lang w:val="es-ES"/>
              </w:rPr>
            </w:pPr>
            <w:r w:rsidRPr="00B0797C">
              <w:rPr>
                <w:sz w:val="20"/>
                <w:lang w:val="es-ES"/>
              </w:rPr>
              <w:t>0</w:t>
            </w:r>
          </w:p>
        </w:tc>
      </w:tr>
      <w:tr w:rsidR="00B0797C" w:rsidRPr="00B0797C" w14:paraId="6B6418F6"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6C4164A8" w14:textId="77777777" w:rsidR="00B0797C" w:rsidRPr="00B0797C" w:rsidRDefault="00B0797C" w:rsidP="00A62975">
            <w:pPr>
              <w:jc w:val="left"/>
              <w:rPr>
                <w:color w:val="000000"/>
                <w:sz w:val="20"/>
                <w:szCs w:val="20"/>
                <w:lang w:val="es-ES"/>
              </w:rPr>
            </w:pPr>
            <w:r w:rsidRPr="00B0797C">
              <w:rPr>
                <w:color w:val="000000"/>
                <w:sz w:val="20"/>
                <w:lang w:val="es-ES"/>
              </w:rPr>
              <w:t>Francia</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23BF64B0" w14:textId="77777777" w:rsidR="00B0797C" w:rsidRPr="00B0797C" w:rsidRDefault="00B0797C" w:rsidP="00A62975">
            <w:pPr>
              <w:ind w:left="-25" w:right="-605"/>
              <w:jc w:val="center"/>
              <w:rPr>
                <w:sz w:val="20"/>
                <w:szCs w:val="20"/>
                <w:lang w:val="es-ES"/>
              </w:rPr>
            </w:pPr>
            <w:r w:rsidRPr="00B0797C">
              <w:rPr>
                <w:sz w:val="20"/>
                <w:lang w:val="es-ES"/>
              </w:rPr>
              <w:t>34</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00867DE5" w14:textId="77777777" w:rsidR="00B0797C" w:rsidRPr="00B0797C" w:rsidRDefault="00B0797C" w:rsidP="00A62975">
            <w:pPr>
              <w:ind w:left="778"/>
              <w:jc w:val="center"/>
              <w:rPr>
                <w:sz w:val="20"/>
                <w:szCs w:val="20"/>
                <w:lang w:val="es-ES"/>
              </w:rPr>
            </w:pPr>
            <w:r w:rsidRPr="00B0797C">
              <w:rPr>
                <w:sz w:val="20"/>
                <w:lang w:val="es-ES"/>
              </w:rPr>
              <w:t>34</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2987862" w14:textId="77777777" w:rsidR="00B0797C" w:rsidRPr="00B0797C" w:rsidRDefault="00B0797C" w:rsidP="00A62975">
            <w:pPr>
              <w:ind w:left="875"/>
              <w:jc w:val="center"/>
              <w:rPr>
                <w:sz w:val="20"/>
                <w:szCs w:val="20"/>
                <w:lang w:val="es-ES"/>
              </w:rPr>
            </w:pPr>
            <w:r w:rsidRPr="00B0797C">
              <w:rPr>
                <w:sz w:val="20"/>
                <w:lang w:val="es-ES"/>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6E4F184C" w14:textId="77777777" w:rsidR="00B0797C" w:rsidRPr="00B0797C" w:rsidRDefault="00B0797C" w:rsidP="00A62975">
            <w:pPr>
              <w:ind w:right="-799"/>
              <w:jc w:val="center"/>
              <w:rPr>
                <w:sz w:val="20"/>
                <w:szCs w:val="20"/>
                <w:lang w:val="es-ES"/>
              </w:rPr>
            </w:pPr>
            <w:r w:rsidRPr="00B0797C">
              <w:rPr>
                <w:sz w:val="20"/>
                <w:lang w:val="es-ES"/>
              </w:rPr>
              <w:t>0</w:t>
            </w:r>
          </w:p>
        </w:tc>
      </w:tr>
      <w:tr w:rsidR="00B0797C" w:rsidRPr="00B0797C" w14:paraId="42F41C9D"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7A1E9138" w14:textId="77777777" w:rsidR="00B0797C" w:rsidRPr="00B0797C" w:rsidRDefault="00B0797C" w:rsidP="00A62975">
            <w:pPr>
              <w:jc w:val="left"/>
              <w:rPr>
                <w:color w:val="000000"/>
                <w:sz w:val="20"/>
                <w:szCs w:val="20"/>
                <w:lang w:val="es-ES"/>
              </w:rPr>
            </w:pPr>
            <w:r w:rsidRPr="00B0797C">
              <w:rPr>
                <w:color w:val="000000"/>
                <w:sz w:val="20"/>
                <w:lang w:val="es-ES"/>
              </w:rPr>
              <w:t>Alemania</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01B61B4A" w14:textId="77777777" w:rsidR="00B0797C" w:rsidRPr="00B0797C" w:rsidRDefault="00B0797C" w:rsidP="00A62975">
            <w:pPr>
              <w:ind w:left="-25" w:right="-605"/>
              <w:jc w:val="center"/>
              <w:rPr>
                <w:sz w:val="20"/>
                <w:szCs w:val="20"/>
                <w:lang w:val="es-ES"/>
              </w:rPr>
            </w:pPr>
            <w:r w:rsidRPr="00B0797C">
              <w:rPr>
                <w:sz w:val="20"/>
                <w:lang w:val="es-ES"/>
              </w:rPr>
              <w:t>61</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241A8CB" w14:textId="77777777" w:rsidR="00B0797C" w:rsidRPr="00B0797C" w:rsidRDefault="00B0797C" w:rsidP="00A62975">
            <w:pPr>
              <w:ind w:left="778"/>
              <w:jc w:val="center"/>
              <w:rPr>
                <w:sz w:val="20"/>
                <w:szCs w:val="20"/>
                <w:lang w:val="es-ES"/>
              </w:rPr>
            </w:pPr>
            <w:r w:rsidRPr="00B0797C">
              <w:rPr>
                <w:sz w:val="20"/>
                <w:lang w:val="es-ES"/>
              </w:rPr>
              <w:t>60</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6BF55574" w14:textId="77777777" w:rsidR="00B0797C" w:rsidRPr="00B0797C" w:rsidRDefault="00B0797C" w:rsidP="00A62975">
            <w:pPr>
              <w:ind w:left="875"/>
              <w:jc w:val="center"/>
              <w:rPr>
                <w:sz w:val="20"/>
                <w:szCs w:val="20"/>
                <w:lang w:val="es-ES"/>
              </w:rPr>
            </w:pPr>
            <w:r w:rsidRPr="00B0797C">
              <w:rPr>
                <w:sz w:val="20"/>
                <w:lang w:val="es-ES"/>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3DDC2E97" w14:textId="77777777" w:rsidR="00B0797C" w:rsidRPr="00B0797C" w:rsidRDefault="00B0797C" w:rsidP="00A62975">
            <w:pPr>
              <w:ind w:right="-799"/>
              <w:jc w:val="center"/>
              <w:rPr>
                <w:sz w:val="20"/>
                <w:szCs w:val="20"/>
                <w:lang w:val="es-ES"/>
              </w:rPr>
            </w:pPr>
            <w:r w:rsidRPr="00B0797C">
              <w:rPr>
                <w:sz w:val="20"/>
                <w:lang w:val="es-ES"/>
              </w:rPr>
              <w:t>1</w:t>
            </w:r>
          </w:p>
        </w:tc>
      </w:tr>
      <w:tr w:rsidR="00B0797C" w:rsidRPr="00B0797C" w14:paraId="6800201A"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29FA90FF" w14:textId="77777777" w:rsidR="00B0797C" w:rsidRPr="00B0797C" w:rsidRDefault="00B0797C" w:rsidP="00A62975">
            <w:pPr>
              <w:jc w:val="left"/>
              <w:rPr>
                <w:color w:val="000000"/>
                <w:sz w:val="20"/>
                <w:szCs w:val="20"/>
                <w:lang w:val="es-ES"/>
              </w:rPr>
            </w:pPr>
            <w:r w:rsidRPr="00B0797C">
              <w:rPr>
                <w:color w:val="000000"/>
                <w:sz w:val="20"/>
                <w:lang w:val="es-ES"/>
              </w:rPr>
              <w:t>Italia</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0C9957F0" w14:textId="77777777" w:rsidR="00B0797C" w:rsidRPr="00B0797C" w:rsidRDefault="00B0797C" w:rsidP="00A62975">
            <w:pPr>
              <w:ind w:left="-25" w:right="-605"/>
              <w:jc w:val="center"/>
              <w:rPr>
                <w:sz w:val="20"/>
                <w:szCs w:val="20"/>
                <w:lang w:val="es-ES"/>
              </w:rPr>
            </w:pPr>
            <w:r w:rsidRPr="00B0797C">
              <w:rPr>
                <w:sz w:val="20"/>
                <w:lang w:val="es-ES"/>
              </w:rPr>
              <w:t>1</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71CF48BC" w14:textId="77777777" w:rsidR="00B0797C" w:rsidRPr="00B0797C" w:rsidRDefault="00B0797C" w:rsidP="00A62975">
            <w:pPr>
              <w:ind w:left="778"/>
              <w:jc w:val="center"/>
              <w:rPr>
                <w:sz w:val="20"/>
                <w:szCs w:val="20"/>
                <w:lang w:val="es-ES"/>
              </w:rPr>
            </w:pPr>
            <w:r w:rsidRPr="00B0797C">
              <w:rPr>
                <w:sz w:val="20"/>
                <w:lang w:val="es-ES"/>
              </w:rPr>
              <w:t>1</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38263721" w14:textId="77777777" w:rsidR="00B0797C" w:rsidRPr="00B0797C" w:rsidRDefault="00B0797C" w:rsidP="00A62975">
            <w:pPr>
              <w:ind w:left="875"/>
              <w:jc w:val="center"/>
              <w:rPr>
                <w:sz w:val="20"/>
                <w:szCs w:val="20"/>
                <w:lang w:val="es-ES"/>
              </w:rPr>
            </w:pPr>
            <w:r w:rsidRPr="00B0797C">
              <w:rPr>
                <w:sz w:val="20"/>
                <w:lang w:val="es-ES"/>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2D1DB6F2" w14:textId="77777777" w:rsidR="00B0797C" w:rsidRPr="00B0797C" w:rsidRDefault="00B0797C" w:rsidP="00A62975">
            <w:pPr>
              <w:ind w:right="-799"/>
              <w:jc w:val="center"/>
              <w:rPr>
                <w:sz w:val="20"/>
                <w:szCs w:val="20"/>
                <w:lang w:val="es-ES"/>
              </w:rPr>
            </w:pPr>
            <w:r w:rsidRPr="00B0797C">
              <w:rPr>
                <w:sz w:val="20"/>
                <w:lang w:val="es-ES"/>
              </w:rPr>
              <w:t>0</w:t>
            </w:r>
          </w:p>
        </w:tc>
      </w:tr>
      <w:tr w:rsidR="00B0797C" w:rsidRPr="00B0797C" w14:paraId="72C1B519"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67DC7C81" w14:textId="77777777" w:rsidR="00B0797C" w:rsidRPr="00B0797C" w:rsidRDefault="00B0797C" w:rsidP="00A62975">
            <w:pPr>
              <w:jc w:val="left"/>
              <w:rPr>
                <w:color w:val="000000"/>
                <w:sz w:val="20"/>
                <w:szCs w:val="20"/>
                <w:lang w:val="es-ES"/>
              </w:rPr>
            </w:pPr>
            <w:r w:rsidRPr="00B0797C">
              <w:rPr>
                <w:color w:val="000000"/>
                <w:sz w:val="20"/>
                <w:lang w:val="es-ES"/>
              </w:rPr>
              <w:t>Japón</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10A152C2" w14:textId="77777777" w:rsidR="00B0797C" w:rsidRPr="00B0797C" w:rsidRDefault="00B0797C" w:rsidP="00A62975">
            <w:pPr>
              <w:ind w:left="-25" w:right="-605"/>
              <w:jc w:val="center"/>
              <w:rPr>
                <w:sz w:val="20"/>
                <w:szCs w:val="20"/>
                <w:lang w:val="es-ES"/>
              </w:rPr>
            </w:pPr>
            <w:r w:rsidRPr="00B0797C">
              <w:rPr>
                <w:sz w:val="20"/>
                <w:lang w:val="es-ES"/>
              </w:rPr>
              <w:t>17</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17F0938D" w14:textId="77777777" w:rsidR="00B0797C" w:rsidRPr="00B0797C" w:rsidRDefault="00B0797C" w:rsidP="00A62975">
            <w:pPr>
              <w:ind w:left="778"/>
              <w:jc w:val="center"/>
              <w:rPr>
                <w:sz w:val="20"/>
                <w:szCs w:val="20"/>
                <w:lang w:val="es-ES"/>
              </w:rPr>
            </w:pPr>
            <w:r w:rsidRPr="00B0797C">
              <w:rPr>
                <w:sz w:val="20"/>
                <w:lang w:val="es-ES"/>
              </w:rPr>
              <w:t>17</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03594F1C" w14:textId="77777777" w:rsidR="00B0797C" w:rsidRPr="00B0797C" w:rsidRDefault="00B0797C" w:rsidP="00A62975">
            <w:pPr>
              <w:ind w:left="875"/>
              <w:jc w:val="center"/>
              <w:rPr>
                <w:sz w:val="20"/>
                <w:szCs w:val="20"/>
                <w:lang w:val="es-ES"/>
              </w:rPr>
            </w:pPr>
            <w:r w:rsidRPr="00B0797C">
              <w:rPr>
                <w:sz w:val="20"/>
                <w:lang w:val="es-ES"/>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143C9235" w14:textId="77777777" w:rsidR="00B0797C" w:rsidRPr="00B0797C" w:rsidRDefault="00B0797C" w:rsidP="00A62975">
            <w:pPr>
              <w:ind w:right="-799"/>
              <w:jc w:val="center"/>
              <w:rPr>
                <w:sz w:val="20"/>
                <w:szCs w:val="20"/>
                <w:lang w:val="es-ES"/>
              </w:rPr>
            </w:pPr>
            <w:r w:rsidRPr="00B0797C">
              <w:rPr>
                <w:sz w:val="20"/>
                <w:lang w:val="es-ES"/>
              </w:rPr>
              <w:t>0</w:t>
            </w:r>
          </w:p>
        </w:tc>
      </w:tr>
      <w:tr w:rsidR="00B0797C" w:rsidRPr="00B0797C" w14:paraId="6E60AD01"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0C4D629E" w14:textId="77777777" w:rsidR="00B0797C" w:rsidRPr="00B0797C" w:rsidRDefault="00B0797C" w:rsidP="00A62975">
            <w:pPr>
              <w:jc w:val="left"/>
              <w:rPr>
                <w:color w:val="000000"/>
                <w:sz w:val="20"/>
                <w:szCs w:val="20"/>
                <w:lang w:val="es-ES"/>
              </w:rPr>
            </w:pPr>
            <w:r w:rsidRPr="00B0797C">
              <w:rPr>
                <w:color w:val="000000"/>
                <w:sz w:val="20"/>
                <w:lang w:val="es-ES"/>
              </w:rPr>
              <w:t>Portugal</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0FCCF57C" w14:textId="77777777" w:rsidR="00B0797C" w:rsidRPr="00B0797C" w:rsidRDefault="00B0797C" w:rsidP="00A62975">
            <w:pPr>
              <w:ind w:left="-25" w:right="-605"/>
              <w:jc w:val="center"/>
              <w:rPr>
                <w:sz w:val="20"/>
                <w:szCs w:val="20"/>
                <w:lang w:val="es-ES"/>
              </w:rPr>
            </w:pPr>
            <w:r w:rsidRPr="00B0797C">
              <w:rPr>
                <w:sz w:val="20"/>
                <w:lang w:val="es-ES"/>
              </w:rPr>
              <w:t>1</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4F23E5C" w14:textId="77777777" w:rsidR="00B0797C" w:rsidRPr="00B0797C" w:rsidRDefault="00B0797C" w:rsidP="00A62975">
            <w:pPr>
              <w:ind w:left="778"/>
              <w:jc w:val="center"/>
              <w:rPr>
                <w:sz w:val="20"/>
                <w:szCs w:val="20"/>
                <w:lang w:val="es-ES"/>
              </w:rPr>
            </w:pPr>
            <w:r w:rsidRPr="00B0797C">
              <w:rPr>
                <w:sz w:val="20"/>
                <w:lang w:val="es-ES"/>
              </w:rPr>
              <w:t>0</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1C4F1EA0" w14:textId="77777777" w:rsidR="00B0797C" w:rsidRPr="00B0797C" w:rsidRDefault="00B0797C" w:rsidP="00A62975">
            <w:pPr>
              <w:ind w:left="875"/>
              <w:jc w:val="center"/>
              <w:rPr>
                <w:sz w:val="20"/>
                <w:szCs w:val="20"/>
                <w:lang w:val="es-ES"/>
              </w:rPr>
            </w:pPr>
            <w:r w:rsidRPr="00B0797C">
              <w:rPr>
                <w:sz w:val="20"/>
                <w:lang w:val="es-ES"/>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22569361" w14:textId="77777777" w:rsidR="00B0797C" w:rsidRPr="00B0797C" w:rsidRDefault="00B0797C" w:rsidP="00A62975">
            <w:pPr>
              <w:ind w:right="-799"/>
              <w:jc w:val="center"/>
              <w:rPr>
                <w:sz w:val="20"/>
                <w:szCs w:val="20"/>
                <w:lang w:val="es-ES"/>
              </w:rPr>
            </w:pPr>
            <w:r w:rsidRPr="00B0797C">
              <w:rPr>
                <w:sz w:val="20"/>
                <w:lang w:val="es-ES"/>
              </w:rPr>
              <w:t>1</w:t>
            </w:r>
          </w:p>
        </w:tc>
      </w:tr>
      <w:tr w:rsidR="00B0797C" w:rsidRPr="00B0797C" w14:paraId="62364AC9"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tcPr>
          <w:p w14:paraId="0DD9E51F" w14:textId="77777777" w:rsidR="00B0797C" w:rsidRPr="00B0797C" w:rsidRDefault="00B0797C" w:rsidP="00A62975">
            <w:pPr>
              <w:jc w:val="left"/>
              <w:rPr>
                <w:color w:val="000000"/>
                <w:sz w:val="20"/>
                <w:szCs w:val="20"/>
                <w:lang w:val="es-ES"/>
              </w:rPr>
            </w:pPr>
            <w:r w:rsidRPr="00B0797C">
              <w:rPr>
                <w:color w:val="000000"/>
                <w:sz w:val="20"/>
                <w:lang w:val="es-ES"/>
              </w:rPr>
              <w:t>Federación de Rusia</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tcPr>
          <w:p w14:paraId="7B377D25" w14:textId="77777777" w:rsidR="00B0797C" w:rsidRPr="00B0797C" w:rsidRDefault="00B0797C" w:rsidP="00A62975">
            <w:pPr>
              <w:ind w:left="-25" w:right="-605"/>
              <w:jc w:val="center"/>
              <w:rPr>
                <w:sz w:val="20"/>
                <w:szCs w:val="20"/>
                <w:lang w:val="es-ES"/>
              </w:rPr>
            </w:pPr>
            <w:r w:rsidRPr="00B0797C">
              <w:rPr>
                <w:sz w:val="20"/>
                <w:lang w:val="es-ES"/>
              </w:rPr>
              <w:t>1</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tcPr>
          <w:p w14:paraId="1AC8FF10" w14:textId="77777777" w:rsidR="00B0797C" w:rsidRPr="00B0797C" w:rsidRDefault="00B0797C" w:rsidP="00A62975">
            <w:pPr>
              <w:ind w:left="778"/>
              <w:jc w:val="center"/>
              <w:rPr>
                <w:sz w:val="20"/>
                <w:szCs w:val="20"/>
                <w:lang w:val="es-ES"/>
              </w:rPr>
            </w:pPr>
            <w:r w:rsidRPr="00B0797C">
              <w:rPr>
                <w:sz w:val="20"/>
                <w:lang w:val="es-ES"/>
              </w:rPr>
              <w:t>0</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tcPr>
          <w:p w14:paraId="2BEDBDCA" w14:textId="77777777" w:rsidR="00B0797C" w:rsidRPr="00B0797C" w:rsidRDefault="00B0797C" w:rsidP="00A62975">
            <w:pPr>
              <w:ind w:left="875"/>
              <w:jc w:val="center"/>
              <w:rPr>
                <w:sz w:val="20"/>
                <w:szCs w:val="20"/>
                <w:lang w:val="es-ES"/>
              </w:rPr>
            </w:pPr>
            <w:r w:rsidRPr="00B0797C">
              <w:rPr>
                <w:sz w:val="20"/>
                <w:lang w:val="es-ES"/>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tcPr>
          <w:p w14:paraId="5A96B1F8" w14:textId="77777777" w:rsidR="00B0797C" w:rsidRPr="00B0797C" w:rsidRDefault="00B0797C" w:rsidP="00A62975">
            <w:pPr>
              <w:ind w:right="-799"/>
              <w:jc w:val="center"/>
              <w:rPr>
                <w:sz w:val="20"/>
                <w:szCs w:val="20"/>
                <w:lang w:val="es-ES"/>
              </w:rPr>
            </w:pPr>
            <w:r w:rsidRPr="00B0797C">
              <w:rPr>
                <w:sz w:val="20"/>
                <w:lang w:val="es-ES"/>
              </w:rPr>
              <w:t>1</w:t>
            </w:r>
          </w:p>
        </w:tc>
      </w:tr>
      <w:tr w:rsidR="00B0797C" w:rsidRPr="00B0797C" w14:paraId="786892EB"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57DFFD1A" w14:textId="77777777" w:rsidR="00B0797C" w:rsidRPr="00B0797C" w:rsidRDefault="00B0797C" w:rsidP="00A62975">
            <w:pPr>
              <w:jc w:val="left"/>
              <w:rPr>
                <w:color w:val="000000"/>
                <w:sz w:val="20"/>
                <w:szCs w:val="20"/>
                <w:lang w:val="es-ES"/>
              </w:rPr>
            </w:pPr>
            <w:r w:rsidRPr="00B0797C">
              <w:rPr>
                <w:color w:val="000000"/>
                <w:sz w:val="20"/>
                <w:lang w:val="es-ES"/>
              </w:rPr>
              <w:t>PNUD</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46FDA07E" w14:textId="77777777" w:rsidR="00B0797C" w:rsidRPr="00B0797C" w:rsidRDefault="00B0797C" w:rsidP="00A62975">
            <w:pPr>
              <w:ind w:left="-25" w:right="-605"/>
              <w:jc w:val="center"/>
              <w:rPr>
                <w:sz w:val="20"/>
                <w:szCs w:val="20"/>
                <w:lang w:val="es-ES"/>
              </w:rPr>
            </w:pPr>
            <w:r w:rsidRPr="00B0797C">
              <w:rPr>
                <w:sz w:val="20"/>
                <w:lang w:val="es-ES"/>
              </w:rPr>
              <w:t>295</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0B02D7A5" w14:textId="77777777" w:rsidR="00B0797C" w:rsidRPr="00B0797C" w:rsidRDefault="00B0797C" w:rsidP="00A62975">
            <w:pPr>
              <w:ind w:left="778"/>
              <w:jc w:val="center"/>
              <w:rPr>
                <w:sz w:val="20"/>
                <w:szCs w:val="20"/>
                <w:lang w:val="es-ES"/>
              </w:rPr>
            </w:pPr>
            <w:r w:rsidRPr="00B0797C">
              <w:rPr>
                <w:sz w:val="20"/>
                <w:lang w:val="es-ES"/>
              </w:rPr>
              <w:t>289</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07178E91" w14:textId="77777777" w:rsidR="00B0797C" w:rsidRPr="00B0797C" w:rsidRDefault="00B0797C" w:rsidP="00A62975">
            <w:pPr>
              <w:ind w:left="875"/>
              <w:jc w:val="center"/>
              <w:rPr>
                <w:sz w:val="20"/>
                <w:szCs w:val="20"/>
                <w:lang w:val="es-ES"/>
              </w:rPr>
            </w:pPr>
            <w:r w:rsidRPr="00B0797C">
              <w:rPr>
                <w:sz w:val="20"/>
                <w:lang w:val="es-ES"/>
              </w:rPr>
              <w:t>5</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2DC4F7F1" w14:textId="77777777" w:rsidR="00B0797C" w:rsidRPr="00B0797C" w:rsidRDefault="00B0797C" w:rsidP="00A62975">
            <w:pPr>
              <w:ind w:right="-799"/>
              <w:jc w:val="center"/>
              <w:rPr>
                <w:sz w:val="20"/>
                <w:szCs w:val="20"/>
                <w:lang w:val="es-ES"/>
              </w:rPr>
            </w:pPr>
            <w:r w:rsidRPr="00B0797C">
              <w:rPr>
                <w:sz w:val="20"/>
                <w:lang w:val="es-ES"/>
              </w:rPr>
              <w:t>1</w:t>
            </w:r>
          </w:p>
        </w:tc>
      </w:tr>
      <w:tr w:rsidR="00B0797C" w:rsidRPr="00B0797C" w14:paraId="7C2821E0"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5ED92E51" w14:textId="77777777" w:rsidR="00B0797C" w:rsidRPr="00B0797C" w:rsidRDefault="00B0797C" w:rsidP="00A62975">
            <w:pPr>
              <w:jc w:val="left"/>
              <w:rPr>
                <w:color w:val="000000"/>
                <w:sz w:val="20"/>
                <w:szCs w:val="20"/>
                <w:lang w:val="es-ES"/>
              </w:rPr>
            </w:pPr>
            <w:r w:rsidRPr="00B0797C">
              <w:rPr>
                <w:color w:val="000000"/>
                <w:sz w:val="20"/>
                <w:lang w:val="es-ES"/>
              </w:rPr>
              <w:t>PNUMA</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4CD2B776" w14:textId="77777777" w:rsidR="00B0797C" w:rsidRPr="00B0797C" w:rsidRDefault="00B0797C" w:rsidP="00A62975">
            <w:pPr>
              <w:ind w:left="-25" w:right="-605"/>
              <w:jc w:val="center"/>
              <w:rPr>
                <w:sz w:val="20"/>
                <w:szCs w:val="20"/>
                <w:lang w:val="es-ES"/>
              </w:rPr>
            </w:pPr>
            <w:r w:rsidRPr="00B0797C">
              <w:rPr>
                <w:sz w:val="20"/>
                <w:lang w:val="es-ES"/>
              </w:rPr>
              <w:t>479</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AD50222" w14:textId="77777777" w:rsidR="00B0797C" w:rsidRPr="00B0797C" w:rsidRDefault="00B0797C" w:rsidP="00A62975">
            <w:pPr>
              <w:ind w:left="778"/>
              <w:jc w:val="center"/>
              <w:rPr>
                <w:sz w:val="20"/>
                <w:szCs w:val="20"/>
                <w:lang w:val="es-ES"/>
              </w:rPr>
            </w:pPr>
            <w:r w:rsidRPr="00B0797C">
              <w:rPr>
                <w:sz w:val="20"/>
                <w:lang w:val="es-ES"/>
              </w:rPr>
              <w:t>458</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68BFAB24" w14:textId="77777777" w:rsidR="00B0797C" w:rsidRPr="00B0797C" w:rsidRDefault="00B0797C" w:rsidP="00A62975">
            <w:pPr>
              <w:ind w:left="875"/>
              <w:jc w:val="center"/>
              <w:rPr>
                <w:sz w:val="20"/>
                <w:szCs w:val="20"/>
                <w:lang w:val="es-ES"/>
              </w:rPr>
            </w:pPr>
            <w:r w:rsidRPr="00B0797C">
              <w:rPr>
                <w:sz w:val="20"/>
                <w:lang w:val="es-ES"/>
              </w:rPr>
              <w:t>11*</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1C156749" w14:textId="77777777" w:rsidR="00B0797C" w:rsidRPr="00B0797C" w:rsidRDefault="00B0797C" w:rsidP="00A62975">
            <w:pPr>
              <w:ind w:right="-799"/>
              <w:jc w:val="center"/>
              <w:rPr>
                <w:sz w:val="20"/>
                <w:szCs w:val="20"/>
                <w:lang w:val="es-ES"/>
              </w:rPr>
            </w:pPr>
            <w:r w:rsidRPr="00B0797C">
              <w:rPr>
                <w:sz w:val="20"/>
                <w:lang w:val="es-ES"/>
              </w:rPr>
              <w:t>10</w:t>
            </w:r>
          </w:p>
        </w:tc>
      </w:tr>
      <w:tr w:rsidR="00B0797C" w:rsidRPr="00B0797C" w14:paraId="0C1584D0"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2AA87DB8" w14:textId="77777777" w:rsidR="00B0797C" w:rsidRPr="00B0797C" w:rsidRDefault="00B0797C" w:rsidP="00A62975">
            <w:pPr>
              <w:jc w:val="left"/>
              <w:rPr>
                <w:color w:val="000000"/>
                <w:sz w:val="20"/>
                <w:szCs w:val="20"/>
                <w:lang w:val="es-ES"/>
              </w:rPr>
            </w:pPr>
            <w:r w:rsidRPr="00B0797C">
              <w:rPr>
                <w:color w:val="000000"/>
                <w:sz w:val="20"/>
                <w:lang w:val="es-ES"/>
              </w:rPr>
              <w:t>ONUDI</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1CEBD2B0" w14:textId="77777777" w:rsidR="00B0797C" w:rsidRPr="00B0797C" w:rsidRDefault="00B0797C" w:rsidP="00A62975">
            <w:pPr>
              <w:ind w:left="-25" w:right="-605"/>
              <w:jc w:val="center"/>
              <w:rPr>
                <w:sz w:val="20"/>
                <w:szCs w:val="20"/>
                <w:lang w:val="es-ES"/>
              </w:rPr>
            </w:pPr>
            <w:r w:rsidRPr="00B0797C">
              <w:rPr>
                <w:sz w:val="20"/>
                <w:lang w:val="es-ES"/>
              </w:rPr>
              <w:t>154</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1DFE716C" w14:textId="77777777" w:rsidR="00B0797C" w:rsidRPr="00B0797C" w:rsidRDefault="00B0797C" w:rsidP="00A62975">
            <w:pPr>
              <w:ind w:left="778"/>
              <w:jc w:val="center"/>
              <w:rPr>
                <w:sz w:val="20"/>
                <w:szCs w:val="20"/>
                <w:lang w:val="es-ES"/>
              </w:rPr>
            </w:pPr>
            <w:r w:rsidRPr="00B0797C">
              <w:rPr>
                <w:sz w:val="20"/>
                <w:lang w:val="es-ES"/>
              </w:rPr>
              <w:t>143</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551FAA6" w14:textId="77777777" w:rsidR="00B0797C" w:rsidRPr="00B0797C" w:rsidRDefault="00B0797C" w:rsidP="00A62975">
            <w:pPr>
              <w:ind w:left="875"/>
              <w:jc w:val="center"/>
              <w:rPr>
                <w:sz w:val="20"/>
                <w:szCs w:val="20"/>
                <w:lang w:val="es-ES"/>
              </w:rPr>
            </w:pPr>
            <w:r w:rsidRPr="00B0797C">
              <w:rPr>
                <w:sz w:val="20"/>
                <w:lang w:val="es-ES"/>
              </w:rPr>
              <w:t>11</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750997E8" w14:textId="77777777" w:rsidR="00B0797C" w:rsidRPr="00B0797C" w:rsidRDefault="00B0797C" w:rsidP="00A62975">
            <w:pPr>
              <w:ind w:right="-799"/>
              <w:jc w:val="center"/>
              <w:rPr>
                <w:sz w:val="20"/>
                <w:szCs w:val="20"/>
                <w:lang w:val="es-ES"/>
              </w:rPr>
            </w:pPr>
            <w:r w:rsidRPr="00B0797C">
              <w:rPr>
                <w:sz w:val="20"/>
                <w:lang w:val="es-ES"/>
              </w:rPr>
              <w:t>0</w:t>
            </w:r>
          </w:p>
        </w:tc>
      </w:tr>
      <w:tr w:rsidR="00B0797C" w:rsidRPr="00B0797C" w14:paraId="367B6747"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3094D7D6" w14:textId="77777777" w:rsidR="00B0797C" w:rsidRPr="00B0797C" w:rsidRDefault="00B0797C" w:rsidP="00A62975">
            <w:pPr>
              <w:jc w:val="left"/>
              <w:rPr>
                <w:color w:val="000000"/>
                <w:sz w:val="20"/>
                <w:szCs w:val="20"/>
                <w:lang w:val="es-ES"/>
              </w:rPr>
            </w:pPr>
            <w:r w:rsidRPr="00B0797C">
              <w:rPr>
                <w:color w:val="000000"/>
                <w:sz w:val="20"/>
                <w:lang w:val="es-ES"/>
              </w:rPr>
              <w:t>Banco Mundial</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5928F007" w14:textId="77777777" w:rsidR="00B0797C" w:rsidRPr="00B0797C" w:rsidRDefault="00B0797C" w:rsidP="00A62975">
            <w:pPr>
              <w:ind w:left="-25" w:right="-605"/>
              <w:jc w:val="center"/>
              <w:rPr>
                <w:sz w:val="20"/>
                <w:szCs w:val="20"/>
                <w:lang w:val="es-ES"/>
              </w:rPr>
            </w:pPr>
            <w:r w:rsidRPr="00B0797C">
              <w:rPr>
                <w:sz w:val="20"/>
                <w:lang w:val="es-ES"/>
              </w:rPr>
              <w:t>44</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128D1ABB" w14:textId="77777777" w:rsidR="00B0797C" w:rsidRPr="00B0797C" w:rsidRDefault="00B0797C" w:rsidP="00A62975">
            <w:pPr>
              <w:ind w:left="778"/>
              <w:jc w:val="center"/>
              <w:rPr>
                <w:sz w:val="20"/>
                <w:szCs w:val="20"/>
                <w:lang w:val="es-ES"/>
              </w:rPr>
            </w:pPr>
            <w:r w:rsidRPr="00B0797C">
              <w:rPr>
                <w:sz w:val="20"/>
                <w:lang w:val="es-ES"/>
              </w:rPr>
              <w:t>36</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A4737C6" w14:textId="77777777" w:rsidR="00B0797C" w:rsidRPr="00B0797C" w:rsidRDefault="00B0797C" w:rsidP="00A62975">
            <w:pPr>
              <w:ind w:left="875"/>
              <w:jc w:val="center"/>
              <w:rPr>
                <w:sz w:val="20"/>
                <w:szCs w:val="20"/>
                <w:lang w:val="es-ES"/>
              </w:rPr>
            </w:pPr>
            <w:r w:rsidRPr="00B0797C">
              <w:rPr>
                <w:sz w:val="20"/>
                <w:lang w:val="es-ES"/>
              </w:rPr>
              <w:t>3</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2933777B" w14:textId="77777777" w:rsidR="00B0797C" w:rsidRPr="00B0797C" w:rsidRDefault="00B0797C" w:rsidP="00A62975">
            <w:pPr>
              <w:ind w:right="-799"/>
              <w:jc w:val="center"/>
              <w:rPr>
                <w:sz w:val="20"/>
                <w:szCs w:val="20"/>
                <w:lang w:val="es-ES"/>
              </w:rPr>
            </w:pPr>
            <w:r w:rsidRPr="00B0797C">
              <w:rPr>
                <w:sz w:val="20"/>
                <w:lang w:val="es-ES"/>
              </w:rPr>
              <w:t>5</w:t>
            </w:r>
          </w:p>
        </w:tc>
      </w:tr>
      <w:tr w:rsidR="00B0797C" w:rsidRPr="00B0797C" w14:paraId="33CEC61A"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3735CE1C" w14:textId="77777777" w:rsidR="00B0797C" w:rsidRPr="00B0797C" w:rsidRDefault="00B0797C" w:rsidP="00A62975">
            <w:pPr>
              <w:jc w:val="left"/>
              <w:rPr>
                <w:color w:val="000000"/>
                <w:sz w:val="20"/>
                <w:szCs w:val="20"/>
                <w:lang w:val="es-ES"/>
              </w:rPr>
            </w:pPr>
            <w:r w:rsidRPr="00B0797C">
              <w:rPr>
                <w:color w:val="000000"/>
                <w:sz w:val="20"/>
                <w:lang w:val="es-ES"/>
              </w:rPr>
              <w:t>Otros</w:t>
            </w:r>
            <w:r w:rsidRPr="00B0797C">
              <w:rPr>
                <w:rStyle w:val="FootnoteReference"/>
                <w:color w:val="000000"/>
                <w:sz w:val="20"/>
                <w:szCs w:val="20"/>
                <w:lang w:val="es-ES"/>
              </w:rPr>
              <w:footnoteReference w:id="5"/>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2630CE4F" w14:textId="77777777" w:rsidR="00B0797C" w:rsidRPr="00B0797C" w:rsidRDefault="00B0797C" w:rsidP="00A62975">
            <w:pPr>
              <w:ind w:left="-25" w:right="-605"/>
              <w:jc w:val="center"/>
              <w:rPr>
                <w:sz w:val="20"/>
                <w:szCs w:val="20"/>
                <w:lang w:val="es-ES"/>
              </w:rPr>
            </w:pPr>
            <w:r w:rsidRPr="00B0797C">
              <w:rPr>
                <w:sz w:val="20"/>
                <w:lang w:val="es-ES"/>
              </w:rPr>
              <w:t>90</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396760C6" w14:textId="77777777" w:rsidR="00B0797C" w:rsidRPr="00B0797C" w:rsidRDefault="00B0797C" w:rsidP="00A62975">
            <w:pPr>
              <w:ind w:left="778"/>
              <w:jc w:val="center"/>
              <w:rPr>
                <w:sz w:val="20"/>
                <w:szCs w:val="20"/>
                <w:lang w:val="es-ES"/>
              </w:rPr>
            </w:pPr>
            <w:r w:rsidRPr="00B0797C">
              <w:rPr>
                <w:sz w:val="20"/>
                <w:lang w:val="es-ES"/>
              </w:rPr>
              <w:t>90</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DF86EFC" w14:textId="77777777" w:rsidR="00B0797C" w:rsidRPr="00B0797C" w:rsidRDefault="00B0797C" w:rsidP="00A62975">
            <w:pPr>
              <w:ind w:left="875"/>
              <w:jc w:val="center"/>
              <w:rPr>
                <w:sz w:val="20"/>
                <w:szCs w:val="20"/>
                <w:lang w:val="es-ES"/>
              </w:rPr>
            </w:pPr>
            <w:r w:rsidRPr="00B0797C">
              <w:rPr>
                <w:sz w:val="20"/>
                <w:lang w:val="es-ES"/>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EC69855" w14:textId="77777777" w:rsidR="00B0797C" w:rsidRPr="00B0797C" w:rsidRDefault="00B0797C" w:rsidP="00A62975">
            <w:pPr>
              <w:ind w:right="-799"/>
              <w:jc w:val="center"/>
              <w:rPr>
                <w:sz w:val="20"/>
                <w:szCs w:val="20"/>
                <w:lang w:val="es-ES"/>
              </w:rPr>
            </w:pPr>
            <w:r w:rsidRPr="00B0797C">
              <w:rPr>
                <w:sz w:val="20"/>
                <w:lang w:val="es-ES"/>
              </w:rPr>
              <w:t>0</w:t>
            </w:r>
          </w:p>
        </w:tc>
      </w:tr>
      <w:tr w:rsidR="00B0797C" w:rsidRPr="00B0797C" w14:paraId="6C89B036" w14:textId="77777777" w:rsidTr="00B0797C">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1E92A964" w14:textId="77777777" w:rsidR="00B0797C" w:rsidRPr="00B0797C" w:rsidRDefault="00B0797C" w:rsidP="00A62975">
            <w:pPr>
              <w:jc w:val="left"/>
              <w:rPr>
                <w:b/>
                <w:color w:val="000000"/>
                <w:sz w:val="20"/>
                <w:szCs w:val="20"/>
                <w:lang w:val="es-ES"/>
              </w:rPr>
            </w:pPr>
            <w:r w:rsidRPr="00B0797C">
              <w:rPr>
                <w:b/>
                <w:color w:val="000000"/>
                <w:sz w:val="20"/>
                <w:lang w:val="es-ES"/>
              </w:rPr>
              <w:t>Total</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7B7921EA" w14:textId="676FF828" w:rsidR="00B0797C" w:rsidRPr="00B0797C" w:rsidRDefault="00B0797C" w:rsidP="00A62975">
            <w:pPr>
              <w:ind w:left="-25" w:right="-605"/>
              <w:jc w:val="center"/>
              <w:rPr>
                <w:b/>
                <w:sz w:val="20"/>
                <w:szCs w:val="20"/>
                <w:lang w:val="es-ES"/>
              </w:rPr>
            </w:pPr>
            <w:r w:rsidRPr="00B0797C">
              <w:rPr>
                <w:b/>
                <w:sz w:val="20"/>
                <w:lang w:val="es-ES"/>
              </w:rPr>
              <w:t>1</w:t>
            </w:r>
            <w:r w:rsidR="00A62975">
              <w:rPr>
                <w:b/>
                <w:sz w:val="20"/>
                <w:lang w:val="es-ES"/>
              </w:rPr>
              <w:t> </w:t>
            </w:r>
            <w:r w:rsidRPr="00B0797C">
              <w:rPr>
                <w:b/>
                <w:sz w:val="20"/>
                <w:lang w:val="es-ES"/>
              </w:rPr>
              <w:t>234</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7116FDE0" w14:textId="3EB00498" w:rsidR="00B0797C" w:rsidRPr="00B0797C" w:rsidRDefault="00B0797C" w:rsidP="00A62975">
            <w:pPr>
              <w:ind w:left="778"/>
              <w:jc w:val="center"/>
              <w:rPr>
                <w:b/>
                <w:sz w:val="20"/>
                <w:szCs w:val="20"/>
                <w:lang w:val="es-ES"/>
              </w:rPr>
            </w:pPr>
            <w:r w:rsidRPr="00B0797C">
              <w:rPr>
                <w:b/>
                <w:sz w:val="20"/>
                <w:lang w:val="es-ES"/>
              </w:rPr>
              <w:t>1</w:t>
            </w:r>
            <w:r w:rsidR="00A62975">
              <w:rPr>
                <w:b/>
                <w:sz w:val="20"/>
                <w:lang w:val="es-ES"/>
              </w:rPr>
              <w:t> </w:t>
            </w:r>
            <w:r w:rsidRPr="00B0797C">
              <w:rPr>
                <w:b/>
                <w:sz w:val="20"/>
                <w:lang w:val="es-ES"/>
              </w:rPr>
              <w:t>184</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1A165B8F" w14:textId="77777777" w:rsidR="00B0797C" w:rsidRPr="00B0797C" w:rsidRDefault="00B0797C" w:rsidP="00A62975">
            <w:pPr>
              <w:ind w:left="875"/>
              <w:jc w:val="center"/>
              <w:rPr>
                <w:b/>
                <w:sz w:val="20"/>
                <w:szCs w:val="20"/>
                <w:lang w:val="es-ES"/>
              </w:rPr>
            </w:pPr>
            <w:r w:rsidRPr="00B0797C">
              <w:rPr>
                <w:b/>
                <w:sz w:val="20"/>
                <w:lang w:val="es-ES"/>
              </w:rPr>
              <w:t>31</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66C3470D" w14:textId="77777777" w:rsidR="00B0797C" w:rsidRPr="00B0797C" w:rsidRDefault="00B0797C" w:rsidP="00A62975">
            <w:pPr>
              <w:ind w:right="-799"/>
              <w:jc w:val="center"/>
              <w:rPr>
                <w:b/>
                <w:sz w:val="20"/>
                <w:szCs w:val="20"/>
                <w:lang w:val="es-ES"/>
              </w:rPr>
            </w:pPr>
            <w:r w:rsidRPr="00B0797C">
              <w:rPr>
                <w:b/>
                <w:sz w:val="20"/>
                <w:lang w:val="es-ES"/>
              </w:rPr>
              <w:t>19</w:t>
            </w:r>
          </w:p>
        </w:tc>
      </w:tr>
    </w:tbl>
    <w:p w14:paraId="7939F66F" w14:textId="77777777" w:rsidR="00B0797C" w:rsidRPr="00B0797C" w:rsidRDefault="00B0797C" w:rsidP="00A62975">
      <w:pPr>
        <w:pStyle w:val="Heading1"/>
        <w:numPr>
          <w:ilvl w:val="0"/>
          <w:numId w:val="0"/>
        </w:numPr>
        <w:rPr>
          <w:lang w:val="es-ES"/>
        </w:rPr>
      </w:pPr>
      <w:r w:rsidRPr="00B0797C">
        <w:rPr>
          <w:lang w:val="es-ES"/>
        </w:rPr>
        <w:t xml:space="preserve">* </w:t>
      </w:r>
      <w:r w:rsidRPr="00B0797C">
        <w:rPr>
          <w:sz w:val="20"/>
          <w:lang w:val="es-ES"/>
        </w:rPr>
        <w:t>El PNUMA presentó dos informes de terminación de proyectos individuales para proyectos ajenos a la inversión después de la fecha límite.</w:t>
      </w:r>
    </w:p>
    <w:p w14:paraId="3FAFF30A" w14:textId="77777777" w:rsidR="00B0797C" w:rsidRPr="00B0797C" w:rsidRDefault="00B0797C" w:rsidP="00A62975">
      <w:pPr>
        <w:pStyle w:val="Heading1"/>
        <w:tabs>
          <w:tab w:val="clear" w:pos="0"/>
          <w:tab w:val="num" w:pos="720"/>
        </w:tabs>
        <w:spacing w:before="240"/>
        <w:rPr>
          <w:lang w:val="es-ES"/>
        </w:rPr>
      </w:pPr>
      <w:r w:rsidRPr="00B0797C">
        <w:rPr>
          <w:lang w:val="es-ES"/>
        </w:rPr>
        <w:t>La lista de los 32 informes de terminación de proyectos para proyectos de inversión y ajenos a la inversión (que incluye un informe de terminación de proyectos refundido para una encuesta de alternativas a las SAO de nivel nacional) recibidos después de la 84ª reunión figura en el Anexo II el presente documento. Los resultados totales relacionados con los desembolsos, la eliminación real y las demoras se indican en el Cuadro 5.</w:t>
      </w:r>
    </w:p>
    <w:p w14:paraId="5C0BA411" w14:textId="77777777" w:rsidR="00B0797C" w:rsidRPr="00B0797C" w:rsidRDefault="00B0797C" w:rsidP="00A62975">
      <w:pPr>
        <w:pStyle w:val="Heading1"/>
        <w:numPr>
          <w:ilvl w:val="0"/>
          <w:numId w:val="0"/>
        </w:numPr>
        <w:tabs>
          <w:tab w:val="left" w:pos="720"/>
        </w:tabs>
        <w:spacing w:after="0"/>
        <w:rPr>
          <w:b/>
          <w:lang w:val="es-ES"/>
        </w:rPr>
      </w:pPr>
      <w:r w:rsidRPr="00B0797C">
        <w:rPr>
          <w:b/>
          <w:lang w:val="es-ES"/>
        </w:rPr>
        <w:t>Cuadro 5. Reseña del presupuesto, las SAO eliminadas y las demoras de los proyectos individuales presentados después de la 84ª reunión</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045"/>
        <w:gridCol w:w="1185"/>
        <w:gridCol w:w="1185"/>
        <w:gridCol w:w="1185"/>
        <w:gridCol w:w="1185"/>
        <w:gridCol w:w="1185"/>
        <w:gridCol w:w="1185"/>
      </w:tblGrid>
      <w:tr w:rsidR="00B0797C" w:rsidRPr="00B0797C" w14:paraId="7A190B79" w14:textId="77777777" w:rsidTr="00B0797C">
        <w:tc>
          <w:tcPr>
            <w:tcW w:w="1360" w:type="dxa"/>
            <w:vMerge w:val="restart"/>
            <w:shd w:val="clear" w:color="auto" w:fill="auto"/>
            <w:vAlign w:val="center"/>
            <w:hideMark/>
          </w:tcPr>
          <w:p w14:paraId="45A20D6C" w14:textId="77777777" w:rsidR="00B0797C" w:rsidRPr="00B0797C" w:rsidRDefault="00B0797C" w:rsidP="00A62975">
            <w:pPr>
              <w:jc w:val="left"/>
              <w:rPr>
                <w:b/>
                <w:bCs/>
                <w:sz w:val="20"/>
                <w:szCs w:val="20"/>
                <w:lang w:val="es-ES"/>
              </w:rPr>
            </w:pPr>
            <w:r w:rsidRPr="00B0797C">
              <w:rPr>
                <w:b/>
                <w:sz w:val="20"/>
                <w:lang w:val="es-ES"/>
              </w:rPr>
              <w:t>Organismo</w:t>
            </w:r>
          </w:p>
        </w:tc>
        <w:tc>
          <w:tcPr>
            <w:tcW w:w="1045" w:type="dxa"/>
            <w:vMerge w:val="restart"/>
            <w:shd w:val="clear" w:color="auto" w:fill="auto"/>
            <w:tcMar>
              <w:left w:w="0" w:type="dxa"/>
              <w:right w:w="0" w:type="dxa"/>
            </w:tcMar>
            <w:vAlign w:val="center"/>
            <w:hideMark/>
          </w:tcPr>
          <w:p w14:paraId="74E9BBA0" w14:textId="77777777" w:rsidR="00B0797C" w:rsidRPr="00B0797C" w:rsidRDefault="00B0797C" w:rsidP="00A62975">
            <w:pPr>
              <w:jc w:val="center"/>
              <w:rPr>
                <w:b/>
                <w:bCs/>
                <w:sz w:val="20"/>
                <w:szCs w:val="20"/>
                <w:lang w:val="es-ES"/>
              </w:rPr>
            </w:pPr>
            <w:r w:rsidRPr="00B0797C">
              <w:rPr>
                <w:b/>
                <w:sz w:val="20"/>
                <w:lang w:val="es-ES"/>
              </w:rPr>
              <w:t>Cantidad de proyectos</w:t>
            </w:r>
          </w:p>
        </w:tc>
        <w:tc>
          <w:tcPr>
            <w:tcW w:w="2370" w:type="dxa"/>
            <w:gridSpan w:val="2"/>
            <w:shd w:val="clear" w:color="auto" w:fill="auto"/>
            <w:vAlign w:val="center"/>
            <w:hideMark/>
          </w:tcPr>
          <w:p w14:paraId="45CFEFB2" w14:textId="77777777" w:rsidR="00B0797C" w:rsidRPr="00B0797C" w:rsidRDefault="00B0797C" w:rsidP="00A62975">
            <w:pPr>
              <w:jc w:val="center"/>
              <w:rPr>
                <w:b/>
                <w:bCs/>
                <w:sz w:val="20"/>
                <w:szCs w:val="20"/>
                <w:lang w:val="es-ES"/>
              </w:rPr>
            </w:pPr>
            <w:r w:rsidRPr="00B0797C">
              <w:rPr>
                <w:b/>
                <w:sz w:val="20"/>
                <w:lang w:val="es-ES"/>
              </w:rPr>
              <w:t>Fondos ($EUA)</w:t>
            </w:r>
          </w:p>
        </w:tc>
        <w:tc>
          <w:tcPr>
            <w:tcW w:w="2370" w:type="dxa"/>
            <w:gridSpan w:val="2"/>
            <w:shd w:val="clear" w:color="auto" w:fill="auto"/>
            <w:vAlign w:val="center"/>
            <w:hideMark/>
          </w:tcPr>
          <w:p w14:paraId="552B6232" w14:textId="77777777" w:rsidR="00B0797C" w:rsidRPr="00B0797C" w:rsidRDefault="00B0797C" w:rsidP="00A62975">
            <w:pPr>
              <w:jc w:val="center"/>
              <w:rPr>
                <w:b/>
                <w:bCs/>
                <w:sz w:val="20"/>
                <w:szCs w:val="20"/>
                <w:lang w:val="es-ES"/>
              </w:rPr>
            </w:pPr>
            <w:r w:rsidRPr="00B0797C">
              <w:rPr>
                <w:b/>
                <w:sz w:val="20"/>
                <w:lang w:val="es-ES"/>
              </w:rPr>
              <w:t>Eliminación de toneladas PAO</w:t>
            </w:r>
          </w:p>
        </w:tc>
        <w:tc>
          <w:tcPr>
            <w:tcW w:w="2370" w:type="dxa"/>
            <w:gridSpan w:val="2"/>
            <w:shd w:val="clear" w:color="auto" w:fill="auto"/>
            <w:vAlign w:val="center"/>
            <w:hideMark/>
          </w:tcPr>
          <w:p w14:paraId="7C62EC88" w14:textId="77777777" w:rsidR="00B0797C" w:rsidRPr="00B0797C" w:rsidRDefault="00B0797C" w:rsidP="00A62975">
            <w:pPr>
              <w:jc w:val="center"/>
              <w:rPr>
                <w:b/>
                <w:bCs/>
                <w:sz w:val="20"/>
                <w:szCs w:val="20"/>
                <w:lang w:val="es-ES"/>
              </w:rPr>
            </w:pPr>
            <w:r w:rsidRPr="00B0797C">
              <w:rPr>
                <w:b/>
                <w:sz w:val="20"/>
                <w:lang w:val="es-ES"/>
              </w:rPr>
              <w:t>Demora media (meses)</w:t>
            </w:r>
          </w:p>
        </w:tc>
      </w:tr>
      <w:tr w:rsidR="00B0797C" w:rsidRPr="00B0797C" w14:paraId="6A4FB184" w14:textId="77777777" w:rsidTr="00B0797C">
        <w:tc>
          <w:tcPr>
            <w:tcW w:w="1360" w:type="dxa"/>
            <w:vMerge/>
            <w:vAlign w:val="center"/>
            <w:hideMark/>
          </w:tcPr>
          <w:p w14:paraId="2DDA1AB8" w14:textId="77777777" w:rsidR="00B0797C" w:rsidRPr="00B0797C" w:rsidRDefault="00B0797C" w:rsidP="00A62975">
            <w:pPr>
              <w:jc w:val="left"/>
              <w:rPr>
                <w:b/>
                <w:bCs/>
                <w:sz w:val="20"/>
                <w:szCs w:val="20"/>
                <w:lang w:val="es-ES" w:eastAsia="en-CA"/>
              </w:rPr>
            </w:pPr>
          </w:p>
        </w:tc>
        <w:tc>
          <w:tcPr>
            <w:tcW w:w="1045" w:type="dxa"/>
            <w:vMerge/>
            <w:vAlign w:val="center"/>
            <w:hideMark/>
          </w:tcPr>
          <w:p w14:paraId="233FBEC4" w14:textId="77777777" w:rsidR="00B0797C" w:rsidRPr="00B0797C" w:rsidRDefault="00B0797C" w:rsidP="00A62975">
            <w:pPr>
              <w:jc w:val="left"/>
              <w:rPr>
                <w:b/>
                <w:bCs/>
                <w:sz w:val="20"/>
                <w:szCs w:val="20"/>
                <w:lang w:val="es-ES" w:eastAsia="en-CA"/>
              </w:rPr>
            </w:pPr>
          </w:p>
        </w:tc>
        <w:tc>
          <w:tcPr>
            <w:tcW w:w="1185" w:type="dxa"/>
            <w:shd w:val="clear" w:color="auto" w:fill="auto"/>
            <w:vAlign w:val="center"/>
            <w:hideMark/>
          </w:tcPr>
          <w:p w14:paraId="5F862856" w14:textId="77777777" w:rsidR="00B0797C" w:rsidRPr="00B0797C" w:rsidRDefault="00B0797C" w:rsidP="00A62975">
            <w:pPr>
              <w:jc w:val="center"/>
              <w:rPr>
                <w:b/>
                <w:bCs/>
                <w:sz w:val="20"/>
                <w:szCs w:val="20"/>
                <w:lang w:val="es-ES"/>
              </w:rPr>
            </w:pPr>
            <w:r w:rsidRPr="00B0797C">
              <w:rPr>
                <w:b/>
                <w:sz w:val="20"/>
                <w:lang w:val="es-ES"/>
              </w:rPr>
              <w:t>Aprobado</w:t>
            </w:r>
          </w:p>
        </w:tc>
        <w:tc>
          <w:tcPr>
            <w:tcW w:w="1185" w:type="dxa"/>
            <w:shd w:val="clear" w:color="auto" w:fill="auto"/>
            <w:vAlign w:val="center"/>
            <w:hideMark/>
          </w:tcPr>
          <w:p w14:paraId="38C661DB" w14:textId="77777777" w:rsidR="00B0797C" w:rsidRPr="00B0797C" w:rsidRDefault="00B0797C" w:rsidP="00A62975">
            <w:pPr>
              <w:jc w:val="center"/>
              <w:rPr>
                <w:b/>
                <w:bCs/>
                <w:sz w:val="20"/>
                <w:szCs w:val="20"/>
                <w:lang w:val="es-ES"/>
              </w:rPr>
            </w:pPr>
            <w:r w:rsidRPr="00B0797C">
              <w:rPr>
                <w:b/>
                <w:sz w:val="20"/>
                <w:lang w:val="es-ES"/>
              </w:rPr>
              <w:t>Desembolsado</w:t>
            </w:r>
          </w:p>
        </w:tc>
        <w:tc>
          <w:tcPr>
            <w:tcW w:w="1185" w:type="dxa"/>
            <w:shd w:val="clear" w:color="auto" w:fill="auto"/>
            <w:vAlign w:val="center"/>
            <w:hideMark/>
          </w:tcPr>
          <w:p w14:paraId="2DA4D6A4" w14:textId="77777777" w:rsidR="00B0797C" w:rsidRPr="00B0797C" w:rsidRDefault="00B0797C" w:rsidP="00A62975">
            <w:pPr>
              <w:jc w:val="center"/>
              <w:rPr>
                <w:b/>
                <w:bCs/>
                <w:sz w:val="20"/>
                <w:szCs w:val="20"/>
                <w:lang w:val="es-ES"/>
              </w:rPr>
            </w:pPr>
            <w:r w:rsidRPr="00B0797C">
              <w:rPr>
                <w:b/>
                <w:sz w:val="20"/>
                <w:lang w:val="es-ES"/>
              </w:rPr>
              <w:t>Aprobado</w:t>
            </w:r>
          </w:p>
        </w:tc>
        <w:tc>
          <w:tcPr>
            <w:tcW w:w="1185" w:type="dxa"/>
            <w:shd w:val="clear" w:color="auto" w:fill="auto"/>
            <w:vAlign w:val="center"/>
            <w:hideMark/>
          </w:tcPr>
          <w:p w14:paraId="27CB2161" w14:textId="77777777" w:rsidR="00B0797C" w:rsidRPr="00B0797C" w:rsidRDefault="00B0797C" w:rsidP="00A62975">
            <w:pPr>
              <w:jc w:val="center"/>
              <w:rPr>
                <w:b/>
                <w:bCs/>
                <w:sz w:val="20"/>
                <w:szCs w:val="20"/>
                <w:lang w:val="es-ES"/>
              </w:rPr>
            </w:pPr>
            <w:r w:rsidRPr="00B0797C">
              <w:rPr>
                <w:b/>
                <w:sz w:val="20"/>
                <w:lang w:val="es-ES"/>
              </w:rPr>
              <w:t>Real</w:t>
            </w:r>
          </w:p>
        </w:tc>
        <w:tc>
          <w:tcPr>
            <w:tcW w:w="1185" w:type="dxa"/>
            <w:shd w:val="clear" w:color="auto" w:fill="auto"/>
            <w:vAlign w:val="center"/>
            <w:hideMark/>
          </w:tcPr>
          <w:p w14:paraId="36CC4AE0" w14:textId="77777777" w:rsidR="00B0797C" w:rsidRPr="00B0797C" w:rsidRDefault="00B0797C" w:rsidP="00A62975">
            <w:pPr>
              <w:jc w:val="center"/>
              <w:rPr>
                <w:b/>
                <w:bCs/>
                <w:sz w:val="20"/>
                <w:szCs w:val="20"/>
                <w:lang w:val="es-ES"/>
              </w:rPr>
            </w:pPr>
            <w:r w:rsidRPr="00B0797C">
              <w:rPr>
                <w:b/>
                <w:sz w:val="20"/>
                <w:lang w:val="es-ES"/>
              </w:rPr>
              <w:t>Duración</w:t>
            </w:r>
          </w:p>
        </w:tc>
        <w:tc>
          <w:tcPr>
            <w:tcW w:w="1185" w:type="dxa"/>
            <w:shd w:val="clear" w:color="auto" w:fill="auto"/>
            <w:vAlign w:val="center"/>
            <w:hideMark/>
          </w:tcPr>
          <w:p w14:paraId="56613589" w14:textId="77777777" w:rsidR="00B0797C" w:rsidRPr="00B0797C" w:rsidRDefault="00B0797C" w:rsidP="00A62975">
            <w:pPr>
              <w:jc w:val="center"/>
              <w:rPr>
                <w:b/>
                <w:bCs/>
                <w:sz w:val="20"/>
                <w:szCs w:val="20"/>
                <w:lang w:val="es-ES"/>
              </w:rPr>
            </w:pPr>
            <w:r w:rsidRPr="00B0797C">
              <w:rPr>
                <w:b/>
                <w:sz w:val="20"/>
                <w:lang w:val="es-ES"/>
              </w:rPr>
              <w:t>Demoras</w:t>
            </w:r>
          </w:p>
        </w:tc>
      </w:tr>
      <w:tr w:rsidR="00B0797C" w:rsidRPr="00B0797C" w14:paraId="6D1D4D74" w14:textId="77777777" w:rsidTr="00B0797C">
        <w:tc>
          <w:tcPr>
            <w:tcW w:w="1360" w:type="dxa"/>
            <w:shd w:val="clear" w:color="auto" w:fill="auto"/>
            <w:noWrap/>
            <w:vAlign w:val="center"/>
            <w:hideMark/>
          </w:tcPr>
          <w:p w14:paraId="0E5A129C" w14:textId="77777777" w:rsidR="00B0797C" w:rsidRPr="00B0797C" w:rsidRDefault="00B0797C" w:rsidP="00A62975">
            <w:pPr>
              <w:rPr>
                <w:sz w:val="20"/>
                <w:szCs w:val="20"/>
                <w:lang w:val="es-ES"/>
              </w:rPr>
            </w:pPr>
            <w:r w:rsidRPr="00B0797C">
              <w:rPr>
                <w:sz w:val="20"/>
                <w:lang w:val="es-ES"/>
              </w:rPr>
              <w:t>Canadá</w:t>
            </w:r>
          </w:p>
        </w:tc>
        <w:tc>
          <w:tcPr>
            <w:tcW w:w="1045" w:type="dxa"/>
            <w:shd w:val="clear" w:color="auto" w:fill="auto"/>
            <w:noWrap/>
            <w:vAlign w:val="center"/>
            <w:hideMark/>
          </w:tcPr>
          <w:p w14:paraId="3088B59A" w14:textId="77777777" w:rsidR="00B0797C" w:rsidRPr="00B0797C" w:rsidRDefault="00B0797C" w:rsidP="00A62975">
            <w:pPr>
              <w:jc w:val="center"/>
              <w:rPr>
                <w:sz w:val="20"/>
                <w:szCs w:val="20"/>
                <w:lang w:val="es-ES"/>
              </w:rPr>
            </w:pPr>
            <w:r w:rsidRPr="00B0797C">
              <w:rPr>
                <w:sz w:val="20"/>
                <w:lang w:val="es-ES"/>
              </w:rPr>
              <w:t>1</w:t>
            </w:r>
          </w:p>
        </w:tc>
        <w:tc>
          <w:tcPr>
            <w:tcW w:w="1185" w:type="dxa"/>
            <w:shd w:val="clear" w:color="auto" w:fill="auto"/>
            <w:noWrap/>
            <w:tcMar>
              <w:left w:w="0" w:type="dxa"/>
              <w:right w:w="173" w:type="dxa"/>
            </w:tcMar>
            <w:vAlign w:val="center"/>
            <w:hideMark/>
          </w:tcPr>
          <w:p w14:paraId="07ABA100" w14:textId="5A26A9EC" w:rsidR="00B0797C" w:rsidRPr="00B0797C" w:rsidRDefault="00B0797C" w:rsidP="00A62975">
            <w:pPr>
              <w:jc w:val="right"/>
              <w:rPr>
                <w:sz w:val="20"/>
                <w:szCs w:val="20"/>
                <w:lang w:val="es-ES"/>
              </w:rPr>
            </w:pPr>
            <w:r w:rsidRPr="00B0797C">
              <w:rPr>
                <w:sz w:val="20"/>
                <w:lang w:val="es-ES"/>
              </w:rPr>
              <w:t>50</w:t>
            </w:r>
            <w:r w:rsidR="00A62975">
              <w:rPr>
                <w:sz w:val="20"/>
                <w:lang w:val="es-ES"/>
              </w:rPr>
              <w:t> </w:t>
            </w:r>
            <w:r w:rsidRPr="00B0797C">
              <w:rPr>
                <w:sz w:val="20"/>
                <w:lang w:val="es-ES"/>
              </w:rPr>
              <w:t>000</w:t>
            </w:r>
          </w:p>
        </w:tc>
        <w:tc>
          <w:tcPr>
            <w:tcW w:w="1185" w:type="dxa"/>
            <w:shd w:val="clear" w:color="auto" w:fill="auto"/>
            <w:noWrap/>
            <w:tcMar>
              <w:left w:w="0" w:type="dxa"/>
              <w:right w:w="173" w:type="dxa"/>
            </w:tcMar>
            <w:vAlign w:val="center"/>
            <w:hideMark/>
          </w:tcPr>
          <w:p w14:paraId="5E4C3E7C" w14:textId="799BA8F7" w:rsidR="00B0797C" w:rsidRPr="00B0797C" w:rsidRDefault="00B0797C" w:rsidP="00A62975">
            <w:pPr>
              <w:jc w:val="right"/>
              <w:rPr>
                <w:sz w:val="20"/>
                <w:szCs w:val="20"/>
                <w:lang w:val="es-ES"/>
              </w:rPr>
            </w:pPr>
            <w:r w:rsidRPr="00B0797C">
              <w:rPr>
                <w:sz w:val="20"/>
                <w:lang w:val="es-ES"/>
              </w:rPr>
              <w:t>50</w:t>
            </w:r>
            <w:r w:rsidR="00A62975">
              <w:rPr>
                <w:sz w:val="20"/>
                <w:lang w:val="es-ES"/>
              </w:rPr>
              <w:t> </w:t>
            </w:r>
            <w:r w:rsidRPr="00B0797C">
              <w:rPr>
                <w:sz w:val="20"/>
                <w:lang w:val="es-ES"/>
              </w:rPr>
              <w:t>000</w:t>
            </w:r>
          </w:p>
        </w:tc>
        <w:tc>
          <w:tcPr>
            <w:tcW w:w="1185" w:type="dxa"/>
            <w:shd w:val="clear" w:color="auto" w:fill="auto"/>
            <w:noWrap/>
            <w:tcMar>
              <w:left w:w="0" w:type="dxa"/>
              <w:right w:w="173" w:type="dxa"/>
            </w:tcMar>
            <w:vAlign w:val="center"/>
            <w:hideMark/>
          </w:tcPr>
          <w:p w14:paraId="2E0611CF" w14:textId="77777777" w:rsidR="00B0797C" w:rsidRPr="00B0797C" w:rsidRDefault="00B0797C" w:rsidP="00A62975">
            <w:pPr>
              <w:jc w:val="right"/>
              <w:rPr>
                <w:sz w:val="20"/>
                <w:szCs w:val="20"/>
                <w:lang w:val="es-ES"/>
              </w:rPr>
            </w:pPr>
            <w:r w:rsidRPr="00B0797C">
              <w:rPr>
                <w:sz w:val="20"/>
                <w:lang w:val="es-ES"/>
              </w:rPr>
              <w:t>0</w:t>
            </w:r>
          </w:p>
        </w:tc>
        <w:tc>
          <w:tcPr>
            <w:tcW w:w="1185" w:type="dxa"/>
            <w:shd w:val="clear" w:color="auto" w:fill="auto"/>
            <w:noWrap/>
            <w:tcMar>
              <w:left w:w="0" w:type="dxa"/>
              <w:right w:w="173" w:type="dxa"/>
            </w:tcMar>
            <w:vAlign w:val="center"/>
            <w:hideMark/>
          </w:tcPr>
          <w:p w14:paraId="39E60838" w14:textId="77777777" w:rsidR="00B0797C" w:rsidRPr="00B0797C" w:rsidRDefault="00B0797C" w:rsidP="00A62975">
            <w:pPr>
              <w:jc w:val="right"/>
              <w:rPr>
                <w:sz w:val="20"/>
                <w:szCs w:val="20"/>
                <w:lang w:val="es-ES"/>
              </w:rPr>
            </w:pPr>
            <w:r w:rsidRPr="00B0797C">
              <w:rPr>
                <w:sz w:val="20"/>
                <w:lang w:val="es-ES"/>
              </w:rPr>
              <w:t>0</w:t>
            </w:r>
          </w:p>
        </w:tc>
        <w:tc>
          <w:tcPr>
            <w:tcW w:w="1185" w:type="dxa"/>
            <w:shd w:val="clear" w:color="auto" w:fill="auto"/>
            <w:noWrap/>
            <w:tcMar>
              <w:left w:w="0" w:type="dxa"/>
              <w:right w:w="173" w:type="dxa"/>
            </w:tcMar>
            <w:vAlign w:val="center"/>
            <w:hideMark/>
          </w:tcPr>
          <w:p w14:paraId="48D613E6" w14:textId="77777777" w:rsidR="00B0797C" w:rsidRPr="00B0797C" w:rsidRDefault="00B0797C" w:rsidP="00A62975">
            <w:pPr>
              <w:jc w:val="right"/>
              <w:rPr>
                <w:sz w:val="20"/>
                <w:szCs w:val="20"/>
                <w:lang w:val="es-ES"/>
              </w:rPr>
            </w:pPr>
            <w:r w:rsidRPr="00B0797C">
              <w:rPr>
                <w:sz w:val="20"/>
                <w:lang w:val="es-ES"/>
              </w:rPr>
              <w:t>45,70</w:t>
            </w:r>
          </w:p>
        </w:tc>
        <w:tc>
          <w:tcPr>
            <w:tcW w:w="1185" w:type="dxa"/>
            <w:shd w:val="clear" w:color="auto" w:fill="auto"/>
            <w:noWrap/>
            <w:tcMar>
              <w:left w:w="0" w:type="dxa"/>
              <w:right w:w="173" w:type="dxa"/>
            </w:tcMar>
            <w:vAlign w:val="center"/>
            <w:hideMark/>
          </w:tcPr>
          <w:p w14:paraId="57C64A4D" w14:textId="77777777" w:rsidR="00B0797C" w:rsidRPr="00B0797C" w:rsidRDefault="00B0797C" w:rsidP="00A62975">
            <w:pPr>
              <w:jc w:val="right"/>
              <w:rPr>
                <w:sz w:val="20"/>
                <w:szCs w:val="20"/>
                <w:lang w:val="es-ES"/>
              </w:rPr>
            </w:pPr>
            <w:r w:rsidRPr="00B0797C">
              <w:rPr>
                <w:sz w:val="20"/>
                <w:lang w:val="es-ES"/>
              </w:rPr>
              <w:t>27,37</w:t>
            </w:r>
          </w:p>
        </w:tc>
      </w:tr>
      <w:tr w:rsidR="00B0797C" w:rsidRPr="00B0797C" w14:paraId="53013B19" w14:textId="77777777" w:rsidTr="00B0797C">
        <w:tc>
          <w:tcPr>
            <w:tcW w:w="1360" w:type="dxa"/>
            <w:shd w:val="clear" w:color="auto" w:fill="auto"/>
            <w:noWrap/>
            <w:vAlign w:val="center"/>
            <w:hideMark/>
          </w:tcPr>
          <w:p w14:paraId="1831410C" w14:textId="77777777" w:rsidR="00B0797C" w:rsidRPr="00B0797C" w:rsidRDefault="00B0797C" w:rsidP="00A62975">
            <w:pPr>
              <w:rPr>
                <w:sz w:val="20"/>
                <w:szCs w:val="20"/>
                <w:lang w:val="es-ES"/>
              </w:rPr>
            </w:pPr>
            <w:r w:rsidRPr="00B0797C">
              <w:rPr>
                <w:sz w:val="20"/>
                <w:lang w:val="es-ES"/>
              </w:rPr>
              <w:t>BIRF</w:t>
            </w:r>
          </w:p>
        </w:tc>
        <w:tc>
          <w:tcPr>
            <w:tcW w:w="1045" w:type="dxa"/>
            <w:shd w:val="clear" w:color="auto" w:fill="auto"/>
            <w:noWrap/>
            <w:vAlign w:val="center"/>
            <w:hideMark/>
          </w:tcPr>
          <w:p w14:paraId="34991E09" w14:textId="77777777" w:rsidR="00B0797C" w:rsidRPr="00B0797C" w:rsidRDefault="00B0797C" w:rsidP="00A62975">
            <w:pPr>
              <w:jc w:val="center"/>
              <w:rPr>
                <w:sz w:val="20"/>
                <w:szCs w:val="20"/>
                <w:lang w:val="es-ES"/>
              </w:rPr>
            </w:pPr>
            <w:r w:rsidRPr="00B0797C">
              <w:rPr>
                <w:sz w:val="20"/>
                <w:lang w:val="es-ES"/>
              </w:rPr>
              <w:t>5</w:t>
            </w:r>
          </w:p>
        </w:tc>
        <w:tc>
          <w:tcPr>
            <w:tcW w:w="1185" w:type="dxa"/>
            <w:shd w:val="clear" w:color="auto" w:fill="auto"/>
            <w:noWrap/>
            <w:tcMar>
              <w:left w:w="0" w:type="dxa"/>
              <w:right w:w="173" w:type="dxa"/>
            </w:tcMar>
            <w:vAlign w:val="center"/>
            <w:hideMark/>
          </w:tcPr>
          <w:p w14:paraId="71220D58" w14:textId="4C7AE6B6" w:rsidR="00B0797C" w:rsidRPr="00B0797C" w:rsidRDefault="00B0797C" w:rsidP="00A62975">
            <w:pPr>
              <w:jc w:val="right"/>
              <w:rPr>
                <w:sz w:val="20"/>
                <w:szCs w:val="20"/>
                <w:lang w:val="es-ES"/>
              </w:rPr>
            </w:pPr>
            <w:r w:rsidRPr="00B0797C">
              <w:rPr>
                <w:sz w:val="20"/>
                <w:lang w:val="es-ES"/>
              </w:rPr>
              <w:t>5</w:t>
            </w:r>
            <w:r w:rsidR="00A62975">
              <w:rPr>
                <w:sz w:val="20"/>
                <w:lang w:val="es-ES"/>
              </w:rPr>
              <w:t> </w:t>
            </w:r>
            <w:r w:rsidRPr="00B0797C">
              <w:rPr>
                <w:sz w:val="20"/>
                <w:lang w:val="es-ES"/>
              </w:rPr>
              <w:t>659</w:t>
            </w:r>
            <w:r w:rsidR="00A62975">
              <w:rPr>
                <w:sz w:val="20"/>
                <w:lang w:val="es-ES"/>
              </w:rPr>
              <w:t> </w:t>
            </w:r>
            <w:r w:rsidRPr="00B0797C">
              <w:rPr>
                <w:sz w:val="20"/>
                <w:lang w:val="es-ES"/>
              </w:rPr>
              <w:t>580</w:t>
            </w:r>
          </w:p>
        </w:tc>
        <w:tc>
          <w:tcPr>
            <w:tcW w:w="1185" w:type="dxa"/>
            <w:shd w:val="clear" w:color="auto" w:fill="auto"/>
            <w:noWrap/>
            <w:tcMar>
              <w:left w:w="0" w:type="dxa"/>
              <w:right w:w="173" w:type="dxa"/>
            </w:tcMar>
            <w:vAlign w:val="center"/>
            <w:hideMark/>
          </w:tcPr>
          <w:p w14:paraId="4266CD26" w14:textId="2C0CD096" w:rsidR="00B0797C" w:rsidRPr="00B0797C" w:rsidRDefault="00B0797C" w:rsidP="00A62975">
            <w:pPr>
              <w:jc w:val="right"/>
              <w:rPr>
                <w:sz w:val="20"/>
                <w:szCs w:val="20"/>
                <w:lang w:val="es-ES"/>
              </w:rPr>
            </w:pPr>
            <w:r w:rsidRPr="00B0797C">
              <w:rPr>
                <w:sz w:val="20"/>
                <w:lang w:val="es-ES"/>
              </w:rPr>
              <w:t>5</w:t>
            </w:r>
            <w:r w:rsidR="00A62975">
              <w:rPr>
                <w:sz w:val="20"/>
                <w:lang w:val="es-ES"/>
              </w:rPr>
              <w:t> </w:t>
            </w:r>
            <w:r w:rsidRPr="00B0797C">
              <w:rPr>
                <w:sz w:val="20"/>
                <w:lang w:val="es-ES"/>
              </w:rPr>
              <w:t>301</w:t>
            </w:r>
            <w:r w:rsidR="00A62975">
              <w:rPr>
                <w:sz w:val="20"/>
                <w:lang w:val="es-ES"/>
              </w:rPr>
              <w:t> </w:t>
            </w:r>
            <w:r w:rsidRPr="00B0797C">
              <w:rPr>
                <w:sz w:val="20"/>
                <w:lang w:val="es-ES"/>
              </w:rPr>
              <w:t>585</w:t>
            </w:r>
          </w:p>
        </w:tc>
        <w:tc>
          <w:tcPr>
            <w:tcW w:w="1185" w:type="dxa"/>
            <w:shd w:val="clear" w:color="auto" w:fill="auto"/>
            <w:noWrap/>
            <w:tcMar>
              <w:left w:w="0" w:type="dxa"/>
              <w:right w:w="173" w:type="dxa"/>
            </w:tcMar>
            <w:vAlign w:val="center"/>
            <w:hideMark/>
          </w:tcPr>
          <w:p w14:paraId="7CD8FF18" w14:textId="77777777" w:rsidR="00B0797C" w:rsidRPr="00B0797C" w:rsidRDefault="00B0797C" w:rsidP="00A62975">
            <w:pPr>
              <w:jc w:val="right"/>
              <w:rPr>
                <w:sz w:val="20"/>
                <w:szCs w:val="20"/>
                <w:lang w:val="es-ES"/>
              </w:rPr>
            </w:pPr>
            <w:r w:rsidRPr="00B0797C">
              <w:rPr>
                <w:sz w:val="20"/>
                <w:lang w:val="es-ES"/>
              </w:rPr>
              <w:t>173,3</w:t>
            </w:r>
          </w:p>
        </w:tc>
        <w:tc>
          <w:tcPr>
            <w:tcW w:w="1185" w:type="dxa"/>
            <w:shd w:val="clear" w:color="auto" w:fill="auto"/>
            <w:noWrap/>
            <w:tcMar>
              <w:left w:w="0" w:type="dxa"/>
              <w:right w:w="173" w:type="dxa"/>
            </w:tcMar>
            <w:vAlign w:val="center"/>
            <w:hideMark/>
          </w:tcPr>
          <w:p w14:paraId="2BBF492F" w14:textId="77777777" w:rsidR="00B0797C" w:rsidRPr="00B0797C" w:rsidRDefault="00B0797C" w:rsidP="00A62975">
            <w:pPr>
              <w:jc w:val="right"/>
              <w:rPr>
                <w:sz w:val="20"/>
                <w:szCs w:val="20"/>
                <w:lang w:val="es-ES"/>
              </w:rPr>
            </w:pPr>
            <w:r w:rsidRPr="00B0797C">
              <w:rPr>
                <w:sz w:val="20"/>
                <w:lang w:val="es-ES"/>
              </w:rPr>
              <w:t>172,2</w:t>
            </w:r>
          </w:p>
        </w:tc>
        <w:tc>
          <w:tcPr>
            <w:tcW w:w="1185" w:type="dxa"/>
            <w:shd w:val="clear" w:color="auto" w:fill="auto"/>
            <w:noWrap/>
            <w:tcMar>
              <w:left w:w="0" w:type="dxa"/>
              <w:right w:w="173" w:type="dxa"/>
            </w:tcMar>
            <w:vAlign w:val="center"/>
            <w:hideMark/>
          </w:tcPr>
          <w:p w14:paraId="64676783" w14:textId="77777777" w:rsidR="00B0797C" w:rsidRPr="00B0797C" w:rsidRDefault="00B0797C" w:rsidP="00A62975">
            <w:pPr>
              <w:jc w:val="right"/>
              <w:rPr>
                <w:sz w:val="20"/>
                <w:szCs w:val="20"/>
                <w:lang w:val="es-ES"/>
              </w:rPr>
            </w:pPr>
            <w:r w:rsidRPr="00B0797C">
              <w:rPr>
                <w:sz w:val="20"/>
                <w:lang w:val="es-ES"/>
              </w:rPr>
              <w:t>86,84</w:t>
            </w:r>
          </w:p>
        </w:tc>
        <w:tc>
          <w:tcPr>
            <w:tcW w:w="1185" w:type="dxa"/>
            <w:shd w:val="clear" w:color="auto" w:fill="auto"/>
            <w:noWrap/>
            <w:tcMar>
              <w:left w:w="0" w:type="dxa"/>
              <w:right w:w="173" w:type="dxa"/>
            </w:tcMar>
            <w:vAlign w:val="center"/>
            <w:hideMark/>
          </w:tcPr>
          <w:p w14:paraId="6DFB0BD1" w14:textId="77777777" w:rsidR="00B0797C" w:rsidRPr="00B0797C" w:rsidRDefault="00B0797C" w:rsidP="00A62975">
            <w:pPr>
              <w:jc w:val="right"/>
              <w:rPr>
                <w:sz w:val="20"/>
                <w:szCs w:val="20"/>
                <w:lang w:val="es-ES"/>
              </w:rPr>
            </w:pPr>
            <w:r w:rsidRPr="00B0797C">
              <w:rPr>
                <w:sz w:val="20"/>
                <w:lang w:val="es-ES"/>
              </w:rPr>
              <w:t>61,09</w:t>
            </w:r>
          </w:p>
        </w:tc>
      </w:tr>
      <w:tr w:rsidR="00B0797C" w:rsidRPr="00B0797C" w14:paraId="7882C122" w14:textId="77777777" w:rsidTr="00B0797C">
        <w:tc>
          <w:tcPr>
            <w:tcW w:w="1360" w:type="dxa"/>
            <w:shd w:val="clear" w:color="auto" w:fill="auto"/>
            <w:noWrap/>
            <w:vAlign w:val="center"/>
            <w:hideMark/>
          </w:tcPr>
          <w:p w14:paraId="714516C1" w14:textId="77777777" w:rsidR="00B0797C" w:rsidRPr="00B0797C" w:rsidRDefault="00B0797C" w:rsidP="00A62975">
            <w:pPr>
              <w:rPr>
                <w:sz w:val="20"/>
                <w:szCs w:val="20"/>
                <w:lang w:val="es-ES"/>
              </w:rPr>
            </w:pPr>
            <w:r w:rsidRPr="00B0797C">
              <w:rPr>
                <w:sz w:val="20"/>
                <w:lang w:val="es-ES"/>
              </w:rPr>
              <w:t>PNUD</w:t>
            </w:r>
          </w:p>
        </w:tc>
        <w:tc>
          <w:tcPr>
            <w:tcW w:w="1045" w:type="dxa"/>
            <w:shd w:val="clear" w:color="auto" w:fill="auto"/>
            <w:noWrap/>
            <w:vAlign w:val="center"/>
            <w:hideMark/>
          </w:tcPr>
          <w:p w14:paraId="0286E0CE" w14:textId="77777777" w:rsidR="00B0797C" w:rsidRPr="00B0797C" w:rsidRDefault="00B0797C" w:rsidP="00A62975">
            <w:pPr>
              <w:jc w:val="center"/>
              <w:rPr>
                <w:sz w:val="20"/>
                <w:szCs w:val="20"/>
                <w:lang w:val="es-ES"/>
              </w:rPr>
            </w:pPr>
            <w:r w:rsidRPr="00B0797C">
              <w:rPr>
                <w:sz w:val="20"/>
                <w:lang w:val="es-ES"/>
              </w:rPr>
              <w:t>5</w:t>
            </w:r>
          </w:p>
        </w:tc>
        <w:tc>
          <w:tcPr>
            <w:tcW w:w="1185" w:type="dxa"/>
            <w:shd w:val="clear" w:color="auto" w:fill="auto"/>
            <w:noWrap/>
            <w:tcMar>
              <w:left w:w="0" w:type="dxa"/>
              <w:right w:w="173" w:type="dxa"/>
            </w:tcMar>
            <w:vAlign w:val="center"/>
            <w:hideMark/>
          </w:tcPr>
          <w:p w14:paraId="0B6AE787" w14:textId="25C0777A" w:rsidR="00B0797C" w:rsidRPr="00B0797C" w:rsidRDefault="00B0797C" w:rsidP="00A62975">
            <w:pPr>
              <w:jc w:val="right"/>
              <w:rPr>
                <w:sz w:val="20"/>
                <w:szCs w:val="20"/>
                <w:lang w:val="es-ES"/>
              </w:rPr>
            </w:pPr>
            <w:r w:rsidRPr="00B0797C">
              <w:rPr>
                <w:sz w:val="20"/>
                <w:lang w:val="es-ES"/>
              </w:rPr>
              <w:t>3</w:t>
            </w:r>
            <w:r w:rsidR="00A62975">
              <w:rPr>
                <w:sz w:val="20"/>
                <w:lang w:val="es-ES"/>
              </w:rPr>
              <w:t> </w:t>
            </w:r>
            <w:r w:rsidRPr="00B0797C">
              <w:rPr>
                <w:sz w:val="20"/>
                <w:lang w:val="es-ES"/>
              </w:rPr>
              <w:t>111</w:t>
            </w:r>
            <w:r w:rsidR="00A62975">
              <w:rPr>
                <w:sz w:val="20"/>
                <w:lang w:val="es-ES"/>
              </w:rPr>
              <w:t> </w:t>
            </w:r>
            <w:r w:rsidRPr="00B0797C">
              <w:rPr>
                <w:sz w:val="20"/>
                <w:lang w:val="es-ES"/>
              </w:rPr>
              <w:t>195</w:t>
            </w:r>
          </w:p>
        </w:tc>
        <w:tc>
          <w:tcPr>
            <w:tcW w:w="1185" w:type="dxa"/>
            <w:shd w:val="clear" w:color="auto" w:fill="auto"/>
            <w:noWrap/>
            <w:tcMar>
              <w:left w:w="0" w:type="dxa"/>
              <w:right w:w="173" w:type="dxa"/>
            </w:tcMar>
            <w:vAlign w:val="center"/>
            <w:hideMark/>
          </w:tcPr>
          <w:p w14:paraId="1F40CB5D" w14:textId="35E10846" w:rsidR="00B0797C" w:rsidRPr="00B0797C" w:rsidRDefault="00B0797C" w:rsidP="00A62975">
            <w:pPr>
              <w:jc w:val="right"/>
              <w:rPr>
                <w:sz w:val="20"/>
                <w:szCs w:val="20"/>
                <w:lang w:val="es-ES"/>
              </w:rPr>
            </w:pPr>
            <w:r w:rsidRPr="00B0797C">
              <w:rPr>
                <w:sz w:val="20"/>
                <w:lang w:val="es-ES"/>
              </w:rPr>
              <w:t>3</w:t>
            </w:r>
            <w:r w:rsidR="00A62975">
              <w:rPr>
                <w:sz w:val="20"/>
                <w:lang w:val="es-ES"/>
              </w:rPr>
              <w:t> </w:t>
            </w:r>
            <w:r w:rsidRPr="00B0797C">
              <w:rPr>
                <w:sz w:val="20"/>
                <w:lang w:val="es-ES"/>
              </w:rPr>
              <w:t>066</w:t>
            </w:r>
            <w:r w:rsidR="00A62975">
              <w:rPr>
                <w:sz w:val="20"/>
                <w:lang w:val="es-ES"/>
              </w:rPr>
              <w:t> </w:t>
            </w:r>
            <w:r w:rsidRPr="00B0797C">
              <w:rPr>
                <w:sz w:val="20"/>
                <w:lang w:val="es-ES"/>
              </w:rPr>
              <w:t>680</w:t>
            </w:r>
          </w:p>
        </w:tc>
        <w:tc>
          <w:tcPr>
            <w:tcW w:w="1185" w:type="dxa"/>
            <w:shd w:val="clear" w:color="auto" w:fill="auto"/>
            <w:noWrap/>
            <w:tcMar>
              <w:left w:w="0" w:type="dxa"/>
              <w:right w:w="173" w:type="dxa"/>
            </w:tcMar>
            <w:vAlign w:val="center"/>
            <w:hideMark/>
          </w:tcPr>
          <w:p w14:paraId="13C6646D" w14:textId="77777777" w:rsidR="00B0797C" w:rsidRPr="00B0797C" w:rsidRDefault="00B0797C" w:rsidP="00A62975">
            <w:pPr>
              <w:jc w:val="right"/>
              <w:rPr>
                <w:sz w:val="20"/>
                <w:szCs w:val="20"/>
                <w:lang w:val="es-ES"/>
              </w:rPr>
            </w:pPr>
            <w:r w:rsidRPr="00B0797C">
              <w:rPr>
                <w:sz w:val="20"/>
                <w:lang w:val="es-ES"/>
              </w:rPr>
              <w:t>1,3</w:t>
            </w:r>
          </w:p>
        </w:tc>
        <w:tc>
          <w:tcPr>
            <w:tcW w:w="1185" w:type="dxa"/>
            <w:shd w:val="clear" w:color="auto" w:fill="auto"/>
            <w:noWrap/>
            <w:tcMar>
              <w:left w:w="0" w:type="dxa"/>
              <w:right w:w="173" w:type="dxa"/>
            </w:tcMar>
            <w:vAlign w:val="center"/>
            <w:hideMark/>
          </w:tcPr>
          <w:p w14:paraId="3D07764A" w14:textId="77777777" w:rsidR="00B0797C" w:rsidRPr="00B0797C" w:rsidRDefault="00B0797C" w:rsidP="00A62975">
            <w:pPr>
              <w:jc w:val="right"/>
              <w:rPr>
                <w:sz w:val="20"/>
                <w:szCs w:val="20"/>
                <w:lang w:val="es-ES"/>
              </w:rPr>
            </w:pPr>
            <w:r w:rsidRPr="00B0797C">
              <w:rPr>
                <w:sz w:val="20"/>
                <w:lang w:val="es-ES"/>
              </w:rPr>
              <w:t>1,8</w:t>
            </w:r>
          </w:p>
        </w:tc>
        <w:tc>
          <w:tcPr>
            <w:tcW w:w="1185" w:type="dxa"/>
            <w:shd w:val="clear" w:color="auto" w:fill="auto"/>
            <w:noWrap/>
            <w:tcMar>
              <w:left w:w="0" w:type="dxa"/>
              <w:right w:w="173" w:type="dxa"/>
            </w:tcMar>
            <w:vAlign w:val="center"/>
            <w:hideMark/>
          </w:tcPr>
          <w:p w14:paraId="6251B80E" w14:textId="77777777" w:rsidR="00B0797C" w:rsidRPr="00B0797C" w:rsidRDefault="00B0797C" w:rsidP="00A62975">
            <w:pPr>
              <w:jc w:val="right"/>
              <w:rPr>
                <w:sz w:val="20"/>
                <w:szCs w:val="20"/>
                <w:lang w:val="es-ES"/>
              </w:rPr>
            </w:pPr>
            <w:r w:rsidRPr="00B0797C">
              <w:rPr>
                <w:sz w:val="20"/>
                <w:lang w:val="es-ES"/>
              </w:rPr>
              <w:t>38,20</w:t>
            </w:r>
          </w:p>
        </w:tc>
        <w:tc>
          <w:tcPr>
            <w:tcW w:w="1185" w:type="dxa"/>
            <w:shd w:val="clear" w:color="auto" w:fill="auto"/>
            <w:noWrap/>
            <w:tcMar>
              <w:left w:w="0" w:type="dxa"/>
              <w:right w:w="173" w:type="dxa"/>
            </w:tcMar>
            <w:vAlign w:val="center"/>
            <w:hideMark/>
          </w:tcPr>
          <w:p w14:paraId="740ED809" w14:textId="77777777" w:rsidR="00B0797C" w:rsidRPr="00B0797C" w:rsidRDefault="00B0797C" w:rsidP="00A62975">
            <w:pPr>
              <w:jc w:val="right"/>
              <w:rPr>
                <w:sz w:val="20"/>
                <w:szCs w:val="20"/>
                <w:lang w:val="es-ES"/>
              </w:rPr>
            </w:pPr>
            <w:r w:rsidRPr="00B0797C">
              <w:rPr>
                <w:sz w:val="20"/>
                <w:lang w:val="es-ES"/>
              </w:rPr>
              <w:t>13,40</w:t>
            </w:r>
          </w:p>
        </w:tc>
      </w:tr>
      <w:tr w:rsidR="00B0797C" w:rsidRPr="00B0797C" w14:paraId="06DB319B" w14:textId="77777777" w:rsidTr="00B0797C">
        <w:tc>
          <w:tcPr>
            <w:tcW w:w="1360" w:type="dxa"/>
            <w:shd w:val="clear" w:color="auto" w:fill="auto"/>
            <w:noWrap/>
            <w:vAlign w:val="center"/>
            <w:hideMark/>
          </w:tcPr>
          <w:p w14:paraId="4B383CE6" w14:textId="77777777" w:rsidR="00B0797C" w:rsidRPr="00B0797C" w:rsidRDefault="00B0797C" w:rsidP="00A62975">
            <w:pPr>
              <w:rPr>
                <w:sz w:val="20"/>
                <w:szCs w:val="20"/>
                <w:lang w:val="es-ES"/>
              </w:rPr>
            </w:pPr>
            <w:r w:rsidRPr="00B0797C">
              <w:rPr>
                <w:sz w:val="20"/>
                <w:lang w:val="es-ES"/>
              </w:rPr>
              <w:t>PNUMA</w:t>
            </w:r>
          </w:p>
        </w:tc>
        <w:tc>
          <w:tcPr>
            <w:tcW w:w="1045" w:type="dxa"/>
            <w:shd w:val="clear" w:color="auto" w:fill="auto"/>
            <w:noWrap/>
            <w:vAlign w:val="center"/>
            <w:hideMark/>
          </w:tcPr>
          <w:p w14:paraId="47850DA9" w14:textId="77777777" w:rsidR="00B0797C" w:rsidRPr="00B0797C" w:rsidRDefault="00B0797C" w:rsidP="00A62975">
            <w:pPr>
              <w:jc w:val="center"/>
              <w:rPr>
                <w:sz w:val="20"/>
                <w:szCs w:val="20"/>
                <w:lang w:val="es-ES"/>
              </w:rPr>
            </w:pPr>
            <w:r w:rsidRPr="00B0797C">
              <w:rPr>
                <w:sz w:val="20"/>
                <w:lang w:val="es-ES"/>
              </w:rPr>
              <w:t>11</w:t>
            </w:r>
          </w:p>
        </w:tc>
        <w:tc>
          <w:tcPr>
            <w:tcW w:w="1185" w:type="dxa"/>
            <w:shd w:val="clear" w:color="auto" w:fill="auto"/>
            <w:noWrap/>
            <w:tcMar>
              <w:left w:w="0" w:type="dxa"/>
              <w:right w:w="173" w:type="dxa"/>
            </w:tcMar>
            <w:vAlign w:val="center"/>
            <w:hideMark/>
          </w:tcPr>
          <w:p w14:paraId="5669D885" w14:textId="4195FECD" w:rsidR="00B0797C" w:rsidRPr="00B0797C" w:rsidRDefault="00B0797C" w:rsidP="00A62975">
            <w:pPr>
              <w:jc w:val="right"/>
              <w:rPr>
                <w:sz w:val="20"/>
                <w:szCs w:val="20"/>
                <w:lang w:val="es-ES"/>
              </w:rPr>
            </w:pPr>
            <w:r w:rsidRPr="00B0797C">
              <w:rPr>
                <w:sz w:val="20"/>
                <w:lang w:val="es-ES"/>
              </w:rPr>
              <w:t>1</w:t>
            </w:r>
            <w:r w:rsidR="00A62975">
              <w:rPr>
                <w:sz w:val="20"/>
                <w:lang w:val="es-ES"/>
              </w:rPr>
              <w:t> </w:t>
            </w:r>
            <w:r w:rsidRPr="00B0797C">
              <w:rPr>
                <w:sz w:val="20"/>
                <w:lang w:val="es-ES"/>
              </w:rPr>
              <w:t>855</w:t>
            </w:r>
            <w:r w:rsidR="00A62975">
              <w:rPr>
                <w:sz w:val="20"/>
                <w:lang w:val="es-ES"/>
              </w:rPr>
              <w:t> </w:t>
            </w:r>
            <w:r w:rsidRPr="00B0797C">
              <w:rPr>
                <w:sz w:val="20"/>
                <w:lang w:val="es-ES"/>
              </w:rPr>
              <w:t>000</w:t>
            </w:r>
          </w:p>
        </w:tc>
        <w:tc>
          <w:tcPr>
            <w:tcW w:w="1185" w:type="dxa"/>
            <w:shd w:val="clear" w:color="auto" w:fill="auto"/>
            <w:noWrap/>
            <w:tcMar>
              <w:left w:w="0" w:type="dxa"/>
              <w:right w:w="173" w:type="dxa"/>
            </w:tcMar>
            <w:vAlign w:val="center"/>
            <w:hideMark/>
          </w:tcPr>
          <w:p w14:paraId="35A45523" w14:textId="1051DBDF" w:rsidR="00B0797C" w:rsidRPr="00B0797C" w:rsidRDefault="00B0797C" w:rsidP="00A62975">
            <w:pPr>
              <w:jc w:val="right"/>
              <w:rPr>
                <w:sz w:val="20"/>
                <w:szCs w:val="20"/>
                <w:lang w:val="es-ES"/>
              </w:rPr>
            </w:pPr>
            <w:r w:rsidRPr="00B0797C">
              <w:rPr>
                <w:sz w:val="20"/>
                <w:lang w:val="es-ES"/>
              </w:rPr>
              <w:t>1</w:t>
            </w:r>
            <w:r w:rsidR="00A62975">
              <w:rPr>
                <w:sz w:val="20"/>
                <w:lang w:val="es-ES"/>
              </w:rPr>
              <w:t> </w:t>
            </w:r>
            <w:r w:rsidRPr="00B0797C">
              <w:rPr>
                <w:sz w:val="20"/>
                <w:lang w:val="es-ES"/>
              </w:rPr>
              <w:t>715</w:t>
            </w:r>
            <w:r w:rsidR="00A62975">
              <w:rPr>
                <w:sz w:val="20"/>
                <w:lang w:val="es-ES"/>
              </w:rPr>
              <w:t> </w:t>
            </w:r>
            <w:r w:rsidRPr="00B0797C">
              <w:rPr>
                <w:sz w:val="20"/>
                <w:lang w:val="es-ES"/>
              </w:rPr>
              <w:t>857</w:t>
            </w:r>
          </w:p>
        </w:tc>
        <w:tc>
          <w:tcPr>
            <w:tcW w:w="1185" w:type="dxa"/>
            <w:shd w:val="clear" w:color="auto" w:fill="auto"/>
            <w:noWrap/>
            <w:tcMar>
              <w:left w:w="0" w:type="dxa"/>
              <w:right w:w="173" w:type="dxa"/>
            </w:tcMar>
            <w:vAlign w:val="center"/>
            <w:hideMark/>
          </w:tcPr>
          <w:p w14:paraId="7C62EBFD" w14:textId="77777777" w:rsidR="00B0797C" w:rsidRPr="00B0797C" w:rsidRDefault="00B0797C" w:rsidP="00A62975">
            <w:pPr>
              <w:jc w:val="right"/>
              <w:rPr>
                <w:sz w:val="20"/>
                <w:szCs w:val="20"/>
                <w:lang w:val="es-ES"/>
              </w:rPr>
            </w:pPr>
            <w:r w:rsidRPr="00B0797C">
              <w:rPr>
                <w:sz w:val="20"/>
                <w:lang w:val="es-ES"/>
              </w:rPr>
              <w:t>0</w:t>
            </w:r>
          </w:p>
        </w:tc>
        <w:tc>
          <w:tcPr>
            <w:tcW w:w="1185" w:type="dxa"/>
            <w:shd w:val="clear" w:color="auto" w:fill="auto"/>
            <w:noWrap/>
            <w:tcMar>
              <w:left w:w="0" w:type="dxa"/>
              <w:right w:w="173" w:type="dxa"/>
            </w:tcMar>
            <w:vAlign w:val="center"/>
            <w:hideMark/>
          </w:tcPr>
          <w:p w14:paraId="7A0445AA" w14:textId="77777777" w:rsidR="00B0797C" w:rsidRPr="00B0797C" w:rsidRDefault="00B0797C" w:rsidP="00A62975">
            <w:pPr>
              <w:jc w:val="right"/>
              <w:rPr>
                <w:sz w:val="20"/>
                <w:szCs w:val="20"/>
                <w:lang w:val="es-ES"/>
              </w:rPr>
            </w:pPr>
            <w:r w:rsidRPr="00B0797C">
              <w:rPr>
                <w:sz w:val="20"/>
                <w:lang w:val="es-ES"/>
              </w:rPr>
              <w:t>0</w:t>
            </w:r>
          </w:p>
        </w:tc>
        <w:tc>
          <w:tcPr>
            <w:tcW w:w="1185" w:type="dxa"/>
            <w:shd w:val="clear" w:color="auto" w:fill="auto"/>
            <w:noWrap/>
            <w:tcMar>
              <w:left w:w="0" w:type="dxa"/>
              <w:right w:w="173" w:type="dxa"/>
            </w:tcMar>
            <w:vAlign w:val="center"/>
            <w:hideMark/>
          </w:tcPr>
          <w:p w14:paraId="10F1753C" w14:textId="77777777" w:rsidR="00B0797C" w:rsidRPr="00B0797C" w:rsidRDefault="00B0797C" w:rsidP="00A62975">
            <w:pPr>
              <w:jc w:val="right"/>
              <w:rPr>
                <w:sz w:val="20"/>
                <w:szCs w:val="20"/>
                <w:lang w:val="es-ES"/>
              </w:rPr>
            </w:pPr>
            <w:r w:rsidRPr="00B0797C">
              <w:rPr>
                <w:sz w:val="20"/>
                <w:lang w:val="es-ES"/>
              </w:rPr>
              <w:t>20,50</w:t>
            </w:r>
          </w:p>
        </w:tc>
        <w:tc>
          <w:tcPr>
            <w:tcW w:w="1185" w:type="dxa"/>
            <w:shd w:val="clear" w:color="auto" w:fill="auto"/>
            <w:noWrap/>
            <w:tcMar>
              <w:left w:w="0" w:type="dxa"/>
              <w:right w:w="173" w:type="dxa"/>
            </w:tcMar>
            <w:vAlign w:val="center"/>
            <w:hideMark/>
          </w:tcPr>
          <w:p w14:paraId="1A2B369F" w14:textId="77777777" w:rsidR="00B0797C" w:rsidRPr="00B0797C" w:rsidRDefault="00B0797C" w:rsidP="00A62975">
            <w:pPr>
              <w:jc w:val="right"/>
              <w:rPr>
                <w:sz w:val="20"/>
                <w:szCs w:val="20"/>
                <w:lang w:val="es-ES"/>
              </w:rPr>
            </w:pPr>
            <w:r w:rsidRPr="00B0797C">
              <w:rPr>
                <w:sz w:val="20"/>
                <w:lang w:val="es-ES"/>
              </w:rPr>
              <w:t>2,80</w:t>
            </w:r>
          </w:p>
        </w:tc>
      </w:tr>
      <w:tr w:rsidR="00B0797C" w:rsidRPr="00B0797C" w14:paraId="5E4585E7" w14:textId="77777777" w:rsidTr="00B0797C">
        <w:tc>
          <w:tcPr>
            <w:tcW w:w="1360" w:type="dxa"/>
            <w:shd w:val="clear" w:color="auto" w:fill="auto"/>
            <w:noWrap/>
            <w:vAlign w:val="center"/>
            <w:hideMark/>
          </w:tcPr>
          <w:p w14:paraId="220AB17F" w14:textId="77777777" w:rsidR="00B0797C" w:rsidRPr="00B0797C" w:rsidRDefault="00B0797C" w:rsidP="00A62975">
            <w:pPr>
              <w:rPr>
                <w:sz w:val="20"/>
                <w:szCs w:val="20"/>
                <w:lang w:val="es-ES"/>
              </w:rPr>
            </w:pPr>
            <w:r w:rsidRPr="00B0797C">
              <w:rPr>
                <w:sz w:val="20"/>
                <w:lang w:val="es-ES"/>
              </w:rPr>
              <w:t>ONUDI</w:t>
            </w:r>
          </w:p>
        </w:tc>
        <w:tc>
          <w:tcPr>
            <w:tcW w:w="1045" w:type="dxa"/>
            <w:shd w:val="clear" w:color="auto" w:fill="auto"/>
            <w:noWrap/>
            <w:vAlign w:val="center"/>
            <w:hideMark/>
          </w:tcPr>
          <w:p w14:paraId="0F4812BB" w14:textId="77777777" w:rsidR="00B0797C" w:rsidRPr="00B0797C" w:rsidRDefault="00B0797C" w:rsidP="00A62975">
            <w:pPr>
              <w:jc w:val="center"/>
              <w:rPr>
                <w:sz w:val="20"/>
                <w:szCs w:val="20"/>
                <w:lang w:val="es-ES"/>
              </w:rPr>
            </w:pPr>
            <w:r w:rsidRPr="00B0797C">
              <w:rPr>
                <w:sz w:val="20"/>
                <w:lang w:val="es-ES"/>
              </w:rPr>
              <w:t>11</w:t>
            </w:r>
          </w:p>
        </w:tc>
        <w:tc>
          <w:tcPr>
            <w:tcW w:w="1185" w:type="dxa"/>
            <w:shd w:val="clear" w:color="auto" w:fill="auto"/>
            <w:noWrap/>
            <w:tcMar>
              <w:left w:w="0" w:type="dxa"/>
              <w:right w:w="173" w:type="dxa"/>
            </w:tcMar>
            <w:vAlign w:val="bottom"/>
            <w:hideMark/>
          </w:tcPr>
          <w:p w14:paraId="5B034F3F" w14:textId="79295BD9" w:rsidR="00B0797C" w:rsidRPr="00B0797C" w:rsidRDefault="00B0797C" w:rsidP="00A62975">
            <w:pPr>
              <w:jc w:val="right"/>
              <w:rPr>
                <w:sz w:val="20"/>
                <w:szCs w:val="20"/>
                <w:lang w:val="es-ES"/>
              </w:rPr>
            </w:pPr>
            <w:r w:rsidRPr="00B0797C">
              <w:rPr>
                <w:color w:val="000000"/>
                <w:sz w:val="20"/>
                <w:lang w:val="es-ES"/>
              </w:rPr>
              <w:t>3</w:t>
            </w:r>
            <w:r w:rsidR="00A62975">
              <w:rPr>
                <w:color w:val="000000"/>
                <w:sz w:val="20"/>
                <w:lang w:val="es-ES"/>
              </w:rPr>
              <w:t> </w:t>
            </w:r>
            <w:r w:rsidRPr="00B0797C">
              <w:rPr>
                <w:color w:val="000000"/>
                <w:sz w:val="20"/>
                <w:lang w:val="es-ES"/>
              </w:rPr>
              <w:t>240</w:t>
            </w:r>
            <w:r w:rsidR="00A62975">
              <w:rPr>
                <w:color w:val="000000"/>
                <w:sz w:val="20"/>
                <w:lang w:val="es-ES"/>
              </w:rPr>
              <w:t> </w:t>
            </w:r>
            <w:r w:rsidRPr="00B0797C">
              <w:rPr>
                <w:color w:val="000000"/>
                <w:sz w:val="20"/>
                <w:lang w:val="es-ES"/>
              </w:rPr>
              <w:t>449</w:t>
            </w:r>
          </w:p>
        </w:tc>
        <w:tc>
          <w:tcPr>
            <w:tcW w:w="1185" w:type="dxa"/>
            <w:shd w:val="clear" w:color="auto" w:fill="auto"/>
            <w:noWrap/>
            <w:tcMar>
              <w:left w:w="0" w:type="dxa"/>
              <w:right w:w="173" w:type="dxa"/>
            </w:tcMar>
            <w:vAlign w:val="bottom"/>
            <w:hideMark/>
          </w:tcPr>
          <w:p w14:paraId="29041062" w14:textId="19C283B8" w:rsidR="00B0797C" w:rsidRPr="00B0797C" w:rsidRDefault="00B0797C" w:rsidP="00A62975">
            <w:pPr>
              <w:jc w:val="right"/>
              <w:rPr>
                <w:sz w:val="20"/>
                <w:szCs w:val="20"/>
                <w:lang w:val="es-ES"/>
              </w:rPr>
            </w:pPr>
            <w:r w:rsidRPr="00B0797C">
              <w:rPr>
                <w:color w:val="000000"/>
                <w:sz w:val="20"/>
                <w:lang w:val="es-ES"/>
              </w:rPr>
              <w:t>2</w:t>
            </w:r>
            <w:r w:rsidR="00A62975">
              <w:rPr>
                <w:color w:val="000000"/>
                <w:sz w:val="20"/>
                <w:lang w:val="es-ES"/>
              </w:rPr>
              <w:t> </w:t>
            </w:r>
            <w:r w:rsidRPr="00B0797C">
              <w:rPr>
                <w:color w:val="000000"/>
                <w:sz w:val="20"/>
                <w:lang w:val="es-ES"/>
              </w:rPr>
              <w:t>235</w:t>
            </w:r>
            <w:r w:rsidR="00A62975">
              <w:rPr>
                <w:color w:val="000000"/>
                <w:sz w:val="20"/>
                <w:lang w:val="es-ES"/>
              </w:rPr>
              <w:t> </w:t>
            </w:r>
            <w:r w:rsidRPr="00B0797C">
              <w:rPr>
                <w:color w:val="000000"/>
                <w:sz w:val="20"/>
                <w:lang w:val="es-ES"/>
              </w:rPr>
              <w:t>529</w:t>
            </w:r>
          </w:p>
        </w:tc>
        <w:tc>
          <w:tcPr>
            <w:tcW w:w="1185" w:type="dxa"/>
            <w:shd w:val="clear" w:color="auto" w:fill="auto"/>
            <w:noWrap/>
            <w:tcMar>
              <w:left w:w="0" w:type="dxa"/>
              <w:right w:w="173" w:type="dxa"/>
            </w:tcMar>
            <w:vAlign w:val="center"/>
            <w:hideMark/>
          </w:tcPr>
          <w:p w14:paraId="1BF55A0B" w14:textId="77777777" w:rsidR="00B0797C" w:rsidRPr="00B0797C" w:rsidRDefault="00B0797C" w:rsidP="00A62975">
            <w:pPr>
              <w:jc w:val="right"/>
              <w:rPr>
                <w:sz w:val="20"/>
                <w:szCs w:val="20"/>
                <w:lang w:val="es-ES"/>
              </w:rPr>
            </w:pPr>
            <w:r w:rsidRPr="00B0797C">
              <w:rPr>
                <w:sz w:val="20"/>
                <w:lang w:val="es-ES"/>
              </w:rPr>
              <w:t>0</w:t>
            </w:r>
          </w:p>
        </w:tc>
        <w:tc>
          <w:tcPr>
            <w:tcW w:w="1185" w:type="dxa"/>
            <w:shd w:val="clear" w:color="auto" w:fill="auto"/>
            <w:noWrap/>
            <w:tcMar>
              <w:left w:w="0" w:type="dxa"/>
              <w:right w:w="173" w:type="dxa"/>
            </w:tcMar>
            <w:vAlign w:val="center"/>
            <w:hideMark/>
          </w:tcPr>
          <w:p w14:paraId="2E8C14B0" w14:textId="77777777" w:rsidR="00B0797C" w:rsidRPr="00B0797C" w:rsidRDefault="00B0797C" w:rsidP="00A62975">
            <w:pPr>
              <w:jc w:val="right"/>
              <w:rPr>
                <w:sz w:val="20"/>
                <w:szCs w:val="20"/>
                <w:lang w:val="es-ES"/>
              </w:rPr>
            </w:pPr>
            <w:r w:rsidRPr="00B0797C">
              <w:rPr>
                <w:sz w:val="20"/>
                <w:lang w:val="es-ES"/>
              </w:rPr>
              <w:t>0</w:t>
            </w:r>
          </w:p>
        </w:tc>
        <w:tc>
          <w:tcPr>
            <w:tcW w:w="1185" w:type="dxa"/>
            <w:shd w:val="clear" w:color="auto" w:fill="auto"/>
            <w:noWrap/>
            <w:tcMar>
              <w:left w:w="0" w:type="dxa"/>
              <w:right w:w="173" w:type="dxa"/>
            </w:tcMar>
            <w:vAlign w:val="center"/>
            <w:hideMark/>
          </w:tcPr>
          <w:p w14:paraId="4F0282B9" w14:textId="77777777" w:rsidR="00B0797C" w:rsidRPr="00B0797C" w:rsidRDefault="00B0797C" w:rsidP="00A62975">
            <w:pPr>
              <w:jc w:val="right"/>
              <w:rPr>
                <w:sz w:val="20"/>
                <w:szCs w:val="20"/>
                <w:lang w:val="es-ES"/>
              </w:rPr>
            </w:pPr>
            <w:r w:rsidRPr="00B0797C">
              <w:rPr>
                <w:sz w:val="20"/>
                <w:lang w:val="es-ES"/>
              </w:rPr>
              <w:t>37,70</w:t>
            </w:r>
          </w:p>
        </w:tc>
        <w:tc>
          <w:tcPr>
            <w:tcW w:w="1185" w:type="dxa"/>
            <w:shd w:val="clear" w:color="auto" w:fill="auto"/>
            <w:noWrap/>
            <w:tcMar>
              <w:left w:w="0" w:type="dxa"/>
              <w:right w:w="173" w:type="dxa"/>
            </w:tcMar>
            <w:vAlign w:val="center"/>
            <w:hideMark/>
          </w:tcPr>
          <w:p w14:paraId="2E5DC46E" w14:textId="77777777" w:rsidR="00B0797C" w:rsidRPr="00B0797C" w:rsidRDefault="00B0797C" w:rsidP="00A62975">
            <w:pPr>
              <w:jc w:val="right"/>
              <w:rPr>
                <w:sz w:val="20"/>
                <w:szCs w:val="20"/>
                <w:lang w:val="es-ES"/>
              </w:rPr>
            </w:pPr>
            <w:r w:rsidRPr="00B0797C">
              <w:rPr>
                <w:sz w:val="20"/>
                <w:lang w:val="es-ES"/>
              </w:rPr>
              <w:t>17,00</w:t>
            </w:r>
          </w:p>
        </w:tc>
      </w:tr>
      <w:tr w:rsidR="00B0797C" w:rsidRPr="00B0797C" w14:paraId="21CDCD0E" w14:textId="77777777" w:rsidTr="00B0797C">
        <w:tc>
          <w:tcPr>
            <w:tcW w:w="1360" w:type="dxa"/>
            <w:shd w:val="clear" w:color="auto" w:fill="auto"/>
            <w:noWrap/>
            <w:vAlign w:val="center"/>
            <w:hideMark/>
          </w:tcPr>
          <w:p w14:paraId="2C2ED5DF" w14:textId="77777777" w:rsidR="00B0797C" w:rsidRPr="00B0797C" w:rsidRDefault="00B0797C" w:rsidP="00A62975">
            <w:pPr>
              <w:rPr>
                <w:b/>
                <w:bCs/>
                <w:sz w:val="20"/>
                <w:szCs w:val="20"/>
                <w:lang w:val="es-ES"/>
              </w:rPr>
            </w:pPr>
            <w:r w:rsidRPr="00B0797C">
              <w:rPr>
                <w:b/>
                <w:sz w:val="20"/>
                <w:lang w:val="es-ES"/>
              </w:rPr>
              <w:t>Total general</w:t>
            </w:r>
          </w:p>
        </w:tc>
        <w:tc>
          <w:tcPr>
            <w:tcW w:w="1045" w:type="dxa"/>
            <w:shd w:val="clear" w:color="auto" w:fill="auto"/>
            <w:noWrap/>
            <w:vAlign w:val="center"/>
            <w:hideMark/>
          </w:tcPr>
          <w:p w14:paraId="1BCF9585" w14:textId="77777777" w:rsidR="00B0797C" w:rsidRPr="00B0797C" w:rsidRDefault="00B0797C" w:rsidP="00A62975">
            <w:pPr>
              <w:jc w:val="center"/>
              <w:rPr>
                <w:b/>
                <w:bCs/>
                <w:sz w:val="20"/>
                <w:szCs w:val="20"/>
                <w:lang w:val="es-ES"/>
              </w:rPr>
            </w:pPr>
            <w:r w:rsidRPr="00B0797C">
              <w:rPr>
                <w:b/>
                <w:sz w:val="20"/>
                <w:lang w:val="es-ES"/>
              </w:rPr>
              <w:t>33</w:t>
            </w:r>
          </w:p>
        </w:tc>
        <w:tc>
          <w:tcPr>
            <w:tcW w:w="1185" w:type="dxa"/>
            <w:shd w:val="clear" w:color="auto" w:fill="auto"/>
            <w:noWrap/>
            <w:tcMar>
              <w:left w:w="0" w:type="dxa"/>
              <w:right w:w="173" w:type="dxa"/>
            </w:tcMar>
            <w:vAlign w:val="center"/>
            <w:hideMark/>
          </w:tcPr>
          <w:p w14:paraId="05A7CA10" w14:textId="593095C3" w:rsidR="00B0797C" w:rsidRPr="00B0797C" w:rsidRDefault="00B0797C" w:rsidP="00A62975">
            <w:pPr>
              <w:jc w:val="right"/>
              <w:rPr>
                <w:b/>
                <w:bCs/>
                <w:sz w:val="20"/>
                <w:szCs w:val="20"/>
                <w:lang w:val="es-ES"/>
              </w:rPr>
            </w:pPr>
            <w:r w:rsidRPr="00B0797C">
              <w:rPr>
                <w:b/>
                <w:sz w:val="20"/>
                <w:lang w:val="es-ES"/>
              </w:rPr>
              <w:t>13</w:t>
            </w:r>
            <w:r w:rsidR="00A62975">
              <w:rPr>
                <w:b/>
                <w:sz w:val="20"/>
                <w:lang w:val="es-ES"/>
              </w:rPr>
              <w:t> </w:t>
            </w:r>
            <w:r w:rsidRPr="00B0797C">
              <w:rPr>
                <w:b/>
                <w:sz w:val="20"/>
                <w:lang w:val="es-ES"/>
              </w:rPr>
              <w:t>916</w:t>
            </w:r>
            <w:r w:rsidR="00A62975">
              <w:rPr>
                <w:b/>
                <w:sz w:val="20"/>
                <w:lang w:val="es-ES"/>
              </w:rPr>
              <w:t> </w:t>
            </w:r>
            <w:r w:rsidRPr="00B0797C">
              <w:rPr>
                <w:b/>
                <w:sz w:val="20"/>
                <w:lang w:val="es-ES"/>
              </w:rPr>
              <w:t>224</w:t>
            </w:r>
          </w:p>
        </w:tc>
        <w:tc>
          <w:tcPr>
            <w:tcW w:w="1185" w:type="dxa"/>
            <w:shd w:val="clear" w:color="auto" w:fill="auto"/>
            <w:noWrap/>
            <w:tcMar>
              <w:left w:w="0" w:type="dxa"/>
              <w:right w:w="173" w:type="dxa"/>
            </w:tcMar>
            <w:vAlign w:val="center"/>
            <w:hideMark/>
          </w:tcPr>
          <w:p w14:paraId="10FF8AE0" w14:textId="326ACD4D" w:rsidR="00B0797C" w:rsidRPr="00B0797C" w:rsidRDefault="00B0797C" w:rsidP="00A62975">
            <w:pPr>
              <w:jc w:val="right"/>
              <w:rPr>
                <w:b/>
                <w:bCs/>
                <w:sz w:val="20"/>
                <w:szCs w:val="20"/>
                <w:lang w:val="es-ES"/>
              </w:rPr>
            </w:pPr>
            <w:r w:rsidRPr="00B0797C">
              <w:rPr>
                <w:b/>
                <w:sz w:val="20"/>
                <w:lang w:val="es-ES"/>
              </w:rPr>
              <w:t>12</w:t>
            </w:r>
            <w:r w:rsidR="00A62975">
              <w:rPr>
                <w:b/>
                <w:sz w:val="20"/>
                <w:lang w:val="es-ES"/>
              </w:rPr>
              <w:t> </w:t>
            </w:r>
            <w:r w:rsidRPr="00B0797C">
              <w:rPr>
                <w:b/>
                <w:sz w:val="20"/>
                <w:lang w:val="es-ES"/>
              </w:rPr>
              <w:t>369</w:t>
            </w:r>
            <w:r w:rsidR="00A62975">
              <w:rPr>
                <w:b/>
                <w:sz w:val="20"/>
                <w:lang w:val="es-ES"/>
              </w:rPr>
              <w:t> </w:t>
            </w:r>
            <w:r w:rsidRPr="00B0797C">
              <w:rPr>
                <w:b/>
                <w:sz w:val="20"/>
                <w:lang w:val="es-ES"/>
              </w:rPr>
              <w:t>651</w:t>
            </w:r>
          </w:p>
        </w:tc>
        <w:tc>
          <w:tcPr>
            <w:tcW w:w="1185" w:type="dxa"/>
            <w:shd w:val="clear" w:color="auto" w:fill="auto"/>
            <w:noWrap/>
            <w:tcMar>
              <w:left w:w="0" w:type="dxa"/>
              <w:right w:w="173" w:type="dxa"/>
            </w:tcMar>
            <w:vAlign w:val="center"/>
            <w:hideMark/>
          </w:tcPr>
          <w:p w14:paraId="367F7CA8" w14:textId="77777777" w:rsidR="00B0797C" w:rsidRPr="00B0797C" w:rsidRDefault="00B0797C" w:rsidP="00A62975">
            <w:pPr>
              <w:jc w:val="right"/>
              <w:rPr>
                <w:b/>
                <w:bCs/>
                <w:sz w:val="20"/>
                <w:szCs w:val="20"/>
                <w:lang w:val="es-ES"/>
              </w:rPr>
            </w:pPr>
            <w:r w:rsidRPr="00B0797C">
              <w:rPr>
                <w:b/>
                <w:sz w:val="20"/>
                <w:lang w:val="es-ES"/>
              </w:rPr>
              <w:t>174,6</w:t>
            </w:r>
          </w:p>
        </w:tc>
        <w:tc>
          <w:tcPr>
            <w:tcW w:w="1185" w:type="dxa"/>
            <w:shd w:val="clear" w:color="auto" w:fill="auto"/>
            <w:noWrap/>
            <w:tcMar>
              <w:left w:w="0" w:type="dxa"/>
              <w:right w:w="173" w:type="dxa"/>
            </w:tcMar>
            <w:vAlign w:val="center"/>
            <w:hideMark/>
          </w:tcPr>
          <w:p w14:paraId="53DE053C" w14:textId="77777777" w:rsidR="00B0797C" w:rsidRPr="00B0797C" w:rsidRDefault="00B0797C" w:rsidP="00A62975">
            <w:pPr>
              <w:jc w:val="right"/>
              <w:rPr>
                <w:b/>
                <w:bCs/>
                <w:sz w:val="20"/>
                <w:szCs w:val="20"/>
                <w:lang w:val="es-ES"/>
              </w:rPr>
            </w:pPr>
            <w:r w:rsidRPr="00B0797C">
              <w:rPr>
                <w:b/>
                <w:sz w:val="20"/>
                <w:lang w:val="es-ES"/>
              </w:rPr>
              <w:t>174,0</w:t>
            </w:r>
          </w:p>
        </w:tc>
        <w:tc>
          <w:tcPr>
            <w:tcW w:w="1185" w:type="dxa"/>
            <w:shd w:val="clear" w:color="auto" w:fill="auto"/>
            <w:noWrap/>
            <w:tcMar>
              <w:left w:w="0" w:type="dxa"/>
              <w:right w:w="173" w:type="dxa"/>
            </w:tcMar>
            <w:vAlign w:val="center"/>
            <w:hideMark/>
          </w:tcPr>
          <w:p w14:paraId="077B9E3A" w14:textId="77777777" w:rsidR="00B0797C" w:rsidRPr="00B0797C" w:rsidRDefault="00B0797C" w:rsidP="00A62975">
            <w:pPr>
              <w:jc w:val="right"/>
              <w:rPr>
                <w:b/>
                <w:bCs/>
                <w:sz w:val="20"/>
                <w:szCs w:val="20"/>
                <w:lang w:val="es-ES"/>
              </w:rPr>
            </w:pPr>
            <w:r w:rsidRPr="00B0797C">
              <w:rPr>
                <w:b/>
                <w:sz w:val="20"/>
                <w:lang w:val="es-ES"/>
              </w:rPr>
              <w:t>45,79</w:t>
            </w:r>
          </w:p>
        </w:tc>
        <w:tc>
          <w:tcPr>
            <w:tcW w:w="1185" w:type="dxa"/>
            <w:shd w:val="clear" w:color="auto" w:fill="auto"/>
            <w:noWrap/>
            <w:tcMar>
              <w:left w:w="0" w:type="dxa"/>
              <w:right w:w="173" w:type="dxa"/>
            </w:tcMar>
            <w:vAlign w:val="center"/>
            <w:hideMark/>
          </w:tcPr>
          <w:p w14:paraId="2C71B8DD" w14:textId="77777777" w:rsidR="00B0797C" w:rsidRPr="00B0797C" w:rsidRDefault="00B0797C" w:rsidP="00A62975">
            <w:pPr>
              <w:jc w:val="right"/>
              <w:rPr>
                <w:b/>
                <w:bCs/>
                <w:sz w:val="20"/>
                <w:szCs w:val="20"/>
                <w:lang w:val="es-ES"/>
              </w:rPr>
            </w:pPr>
            <w:r w:rsidRPr="00B0797C">
              <w:rPr>
                <w:b/>
                <w:sz w:val="20"/>
                <w:lang w:val="es-ES"/>
              </w:rPr>
              <w:t>24,33</w:t>
            </w:r>
          </w:p>
        </w:tc>
      </w:tr>
    </w:tbl>
    <w:p w14:paraId="6F405299" w14:textId="77777777" w:rsidR="00B0797C" w:rsidRPr="00B0797C" w:rsidRDefault="00B0797C" w:rsidP="00A62975">
      <w:pPr>
        <w:spacing w:before="120" w:after="240"/>
        <w:rPr>
          <w:b/>
          <w:lang w:val="es-ES"/>
        </w:rPr>
      </w:pPr>
      <w:r w:rsidRPr="00B0797C">
        <w:rPr>
          <w:b/>
          <w:lang w:val="es-ES"/>
        </w:rPr>
        <w:t xml:space="preserve">Motivos de las demoras </w:t>
      </w:r>
    </w:p>
    <w:p w14:paraId="11ADA07C" w14:textId="77777777" w:rsidR="00B0797C" w:rsidRPr="00B0797C" w:rsidRDefault="00B0797C" w:rsidP="00A62975">
      <w:pPr>
        <w:pStyle w:val="Heading1"/>
        <w:tabs>
          <w:tab w:val="clear" w:pos="0"/>
          <w:tab w:val="num" w:pos="720"/>
        </w:tabs>
        <w:spacing w:before="240"/>
        <w:rPr>
          <w:lang w:val="es-ES"/>
        </w:rPr>
      </w:pPr>
      <w:r w:rsidRPr="00B0797C">
        <w:rPr>
          <w:lang w:val="es-ES"/>
        </w:rPr>
        <w:t xml:space="preserve">Los informes sobre los proyectos de demostración sufrieron demoras por diversos motivos, relacionados principalmente, entre otras cosas, con lo siguiente: procesos administrativos tales como la contratación de un consultor y la aprobación gubernamental para iniciar las actividades; fallos de los equipos, equipos dañados e incidentes de incendio: compromiso de la empresa para definir el alcance de su participación y la cancelación de proyectos; demoras de una etapa anterior que afectó la etapa subsiguiente: y dificultades para adoptar la alternativa seleccionada o plazo prolongado para su adquisición. </w:t>
      </w:r>
    </w:p>
    <w:p w14:paraId="4CF273E9" w14:textId="77777777" w:rsidR="00B0797C" w:rsidRPr="00B0797C" w:rsidRDefault="00B0797C" w:rsidP="00A62975">
      <w:pPr>
        <w:pStyle w:val="Heading1"/>
        <w:tabs>
          <w:tab w:val="clear" w:pos="0"/>
          <w:tab w:val="num" w:pos="720"/>
        </w:tabs>
        <w:spacing w:before="240"/>
        <w:rPr>
          <w:color w:val="000000"/>
          <w:lang w:val="es-ES"/>
        </w:rPr>
      </w:pPr>
      <w:r w:rsidRPr="00B0797C">
        <w:rPr>
          <w:lang w:val="es-ES"/>
        </w:rPr>
        <w:t xml:space="preserve">Las demoras de los informes de verificación se relacionaron principalmente con cuestiones administrativas y gubernamentales. Las cuestiones administrativas se debieron en general a la presentación tardía de datos y plazos prolongados para la recopilación de datos, o a la rotación del personal, que </w:t>
      </w:r>
      <w:r w:rsidRPr="00B0797C">
        <w:rPr>
          <w:lang w:val="es-ES"/>
        </w:rPr>
        <w:lastRenderedPageBreak/>
        <w:t xml:space="preserve">condujeron a una pérdida de conocimientos institucionales en los organismos gubernamentales (es decir, DNO y aduanas). Un país mencionó que las restricciones gubernamentales impidieron que entidades privadas auditaran los registros y documentos del gobierno, lo que ocasionó demoras hasta que el gobierno aprobó el contrato para un consultor. </w:t>
      </w:r>
    </w:p>
    <w:p w14:paraId="0C559AB3" w14:textId="7560DE0C" w:rsidR="00B0797C" w:rsidRPr="00B0797C" w:rsidRDefault="00B0797C" w:rsidP="00A62975">
      <w:pPr>
        <w:pStyle w:val="Heading1"/>
        <w:tabs>
          <w:tab w:val="clear" w:pos="0"/>
          <w:tab w:val="num" w:pos="720"/>
        </w:tabs>
        <w:spacing w:before="240"/>
        <w:rPr>
          <w:color w:val="000000"/>
          <w:lang w:val="es-ES"/>
        </w:rPr>
      </w:pPr>
      <w:r w:rsidRPr="00B0797C">
        <w:rPr>
          <w:lang w:val="es-ES"/>
        </w:rPr>
        <w:t>Las encuestas sobre alternativas a las SAO también sufrieron demoras debido a plazos prolongados para la recopilación de datos, debido a la baja tasa de respuesta de los talleres de servicio y mantenimiento y sobre los usuarios finales de los equipos, y la resistencia por parte de los importadores que no estaban regulados por el sistema de cupos a comunicar información acerca de las cantidades de HCFC importadas.</w:t>
      </w:r>
    </w:p>
    <w:p w14:paraId="4B1C6B77" w14:textId="77777777" w:rsidR="00B0797C" w:rsidRPr="00B0797C" w:rsidRDefault="00B0797C" w:rsidP="00A62975">
      <w:pPr>
        <w:pStyle w:val="Heading1"/>
        <w:tabs>
          <w:tab w:val="clear" w:pos="0"/>
          <w:tab w:val="num" w:pos="720"/>
        </w:tabs>
        <w:spacing w:before="120"/>
        <w:rPr>
          <w:lang w:val="es-ES"/>
        </w:rPr>
      </w:pPr>
      <w:r w:rsidRPr="00B0797C">
        <w:rPr>
          <w:lang w:val="es-ES"/>
        </w:rPr>
        <w:t>Los procesos administrativos causaron con frecuencia demoras en otros proyectos individuales debido, entre otras cosas a la ultimación y firma del acuerdo de financiación, un cambio en la titularidad de las empresas beneficiarias, la duración del proceso de selección de equipos y proveedores, las autorizaciones de licencias y permisos y la falta de comunicación entre los interesados directos. En un caso, el cambio del personal de los organismos del gobierno y de la DNO obstaculizó las comunicaciones y ocasionó demoras en el proyecto. En otro caso, los problemas de comunicación se debieron a múltiples obstáculos relacionados con la legislación, así como con la capacidad institucional más amplia del país.</w:t>
      </w:r>
    </w:p>
    <w:p w14:paraId="1C53950A" w14:textId="77777777" w:rsidR="00B0797C" w:rsidRPr="00B0797C" w:rsidRDefault="00B0797C" w:rsidP="00A62975">
      <w:pPr>
        <w:pStyle w:val="Heading1"/>
        <w:tabs>
          <w:tab w:val="clear" w:pos="0"/>
          <w:tab w:val="num" w:pos="720"/>
        </w:tabs>
        <w:spacing w:before="240"/>
        <w:rPr>
          <w:lang w:val="es-ES"/>
        </w:rPr>
      </w:pPr>
      <w:r w:rsidRPr="00B0797C">
        <w:rPr>
          <w:lang w:val="es-ES"/>
        </w:rPr>
        <w:t xml:space="preserve">Las demoras en los proyectos de destrucción de SAO se debieron en parte a lo siguiente: estimaciones incorrectas de las cantidades por destruir, dado que parte del producto virgen se había vendido para servicio y mantenimiento; reglamentos inadecuados para controlar la exportación de los desechos, lo que impidió llevar una logística apropiada en las aduanas; y la falta de instalaciones de destrucción cercanas y el elevado costo de los envíos, en parte debido al cuidado especial que requiere el envío de contenedores defectuosos. </w:t>
      </w:r>
    </w:p>
    <w:p w14:paraId="4D896E2F" w14:textId="77777777" w:rsidR="00B0797C" w:rsidRPr="00B0797C" w:rsidRDefault="00B0797C" w:rsidP="00A62975">
      <w:pPr>
        <w:pStyle w:val="Heading1"/>
        <w:tabs>
          <w:tab w:val="clear" w:pos="0"/>
          <w:tab w:val="num" w:pos="720"/>
        </w:tabs>
        <w:spacing w:before="240"/>
        <w:rPr>
          <w:lang w:val="es-ES"/>
        </w:rPr>
      </w:pPr>
      <w:r w:rsidRPr="00B0797C">
        <w:rPr>
          <w:lang w:val="es-ES"/>
        </w:rPr>
        <w:t>Además, la optimización de pruebas de quema específicas para la destrucción de las SAO y la financiación de esas pruebas dieron lugar a plazos de ejecución más prolongados. Un proyecto de demostración específico para la destrucción y eliminación de SAO al final de su vida útil destacó la estimación excesivamente optimista del plazo de ejecución y la necesidad de prever un proceso prolongado en proyectos futuros.</w:t>
      </w:r>
    </w:p>
    <w:p w14:paraId="2C54DAD7" w14:textId="77777777" w:rsidR="00B0797C" w:rsidRPr="00B0797C" w:rsidRDefault="00B0797C" w:rsidP="00A62975">
      <w:pPr>
        <w:pStyle w:val="Heading1"/>
        <w:tabs>
          <w:tab w:val="clear" w:pos="0"/>
          <w:tab w:val="num" w:pos="720"/>
        </w:tabs>
        <w:spacing w:before="120"/>
        <w:rPr>
          <w:lang w:val="es-ES"/>
        </w:rPr>
      </w:pPr>
      <w:r w:rsidRPr="00B0797C">
        <w:rPr>
          <w:lang w:val="es-ES"/>
        </w:rPr>
        <w:t>Entre otros factores de las demoras, se informaron los siguientes: disponibilidad limitada de compresores en el proveedor, lo que impidió el inicio de la producción a escala comercial; procesos de diseño y pruebas complicados; y cuestiones técnicas relacionadas con el rendimiento de las alternativas (por ejemplo, HFO en sistemas de poliuretano).</w:t>
      </w:r>
    </w:p>
    <w:p w14:paraId="4E5C34CF" w14:textId="77777777" w:rsidR="00B0797C" w:rsidRPr="00B0797C" w:rsidRDefault="00B0797C" w:rsidP="00A62975">
      <w:pPr>
        <w:pStyle w:val="Heading1"/>
        <w:numPr>
          <w:ilvl w:val="0"/>
          <w:numId w:val="0"/>
        </w:numPr>
        <w:tabs>
          <w:tab w:val="left" w:pos="720"/>
        </w:tabs>
        <w:rPr>
          <w:b/>
          <w:lang w:val="es-ES"/>
        </w:rPr>
      </w:pPr>
      <w:r w:rsidRPr="00B0797C">
        <w:rPr>
          <w:b/>
          <w:lang w:val="es-ES"/>
        </w:rPr>
        <w:t>Lecciones aprendidas</w:t>
      </w:r>
      <w:r w:rsidRPr="00B0797C">
        <w:rPr>
          <w:vertAlign w:val="superscript"/>
          <w:lang w:val="es-ES"/>
        </w:rPr>
        <w:footnoteReference w:id="6"/>
      </w:r>
    </w:p>
    <w:p w14:paraId="4262C6B6" w14:textId="77777777" w:rsidR="00B0797C" w:rsidRPr="00B0797C" w:rsidRDefault="00B0797C" w:rsidP="00A62975">
      <w:pPr>
        <w:pStyle w:val="Heading1"/>
        <w:tabs>
          <w:tab w:val="clear" w:pos="0"/>
          <w:tab w:val="num" w:pos="720"/>
        </w:tabs>
        <w:spacing w:before="240"/>
        <w:rPr>
          <w:lang w:val="es-ES"/>
        </w:rPr>
      </w:pPr>
      <w:r w:rsidRPr="00B0797C">
        <w:rPr>
          <w:lang w:val="es-ES"/>
        </w:rPr>
        <w:t xml:space="preserve">Las lecciones aprendidas de los proyectos individuales abarcaron una amplia variedad de cuestiones, que se exponen por categorías en las siguientes. Las lecciones recurrentes surgieron, entre otras cosas, de la comunicación entre los interesados directos y su inclusión en los informes presentados; de los requisitos de capacitación y de la supervisión exhaustiva de los proyectos en todas las etapas. </w:t>
      </w:r>
    </w:p>
    <w:p w14:paraId="626E01F7" w14:textId="77777777" w:rsidR="00B0797C" w:rsidRPr="00B0797C" w:rsidRDefault="00B0797C" w:rsidP="00A62975">
      <w:pPr>
        <w:pStyle w:val="Heading1"/>
        <w:numPr>
          <w:ilvl w:val="0"/>
          <w:numId w:val="0"/>
        </w:numPr>
        <w:spacing w:before="240"/>
        <w:rPr>
          <w:u w:val="single"/>
          <w:lang w:val="es-ES"/>
        </w:rPr>
      </w:pPr>
      <w:r w:rsidRPr="00B0797C">
        <w:rPr>
          <w:u w:val="single"/>
          <w:lang w:val="es-ES"/>
        </w:rPr>
        <w:t>Inhaladores de dosis medidas sin CFC</w:t>
      </w:r>
    </w:p>
    <w:p w14:paraId="314E565E" w14:textId="77777777" w:rsidR="00B0797C" w:rsidRPr="00B0797C" w:rsidRDefault="00B0797C" w:rsidP="00A62975">
      <w:pPr>
        <w:pStyle w:val="Heading1"/>
        <w:tabs>
          <w:tab w:val="clear" w:pos="0"/>
          <w:tab w:val="num" w:pos="720"/>
        </w:tabs>
        <w:spacing w:before="240"/>
        <w:rPr>
          <w:u w:val="single"/>
          <w:lang w:val="es-ES"/>
        </w:rPr>
      </w:pPr>
      <w:r w:rsidRPr="00B0797C">
        <w:rPr>
          <w:lang w:val="es-ES"/>
        </w:rPr>
        <w:t>Las asociaciones de profesionales de la salud y médicos han desempeñado un papel importante para que la transición a los IDM sin CFC fuera fluida. Un país mencionó la importancia de que el ministerio de salud se hubiera implicado en los proyectos, mientras que otro subrayó la utilidad de la contribución de los fabricantes de IDM para generar conciencia entre los profesionales de la salud y otros interesados directos en el tema.</w:t>
      </w:r>
      <w:r w:rsidRPr="00B0797C">
        <w:rPr>
          <w:rFonts w:ascii="Lucida Grande" w:hAnsi="Lucida Grande"/>
          <w:color w:val="000000"/>
          <w:lang w:val="es-ES"/>
        </w:rPr>
        <w:t xml:space="preserve"> </w:t>
      </w:r>
    </w:p>
    <w:p w14:paraId="255434BC" w14:textId="77777777" w:rsidR="00B0797C" w:rsidRPr="00B0797C" w:rsidRDefault="00B0797C" w:rsidP="00A62975">
      <w:pPr>
        <w:spacing w:before="120" w:after="240"/>
        <w:rPr>
          <w:u w:val="single"/>
          <w:lang w:val="es-ES"/>
        </w:rPr>
      </w:pPr>
      <w:r w:rsidRPr="00B0797C">
        <w:rPr>
          <w:u w:val="single"/>
          <w:lang w:val="es-ES"/>
        </w:rPr>
        <w:lastRenderedPageBreak/>
        <w:t>Aplicación de la ley en las aduanas</w:t>
      </w:r>
    </w:p>
    <w:p w14:paraId="2A77C8F2" w14:textId="77777777" w:rsidR="00B0797C" w:rsidRPr="00B0797C" w:rsidRDefault="00B0797C" w:rsidP="00A62975">
      <w:pPr>
        <w:pStyle w:val="Heading1"/>
        <w:tabs>
          <w:tab w:val="clear" w:pos="0"/>
          <w:tab w:val="num" w:pos="720"/>
        </w:tabs>
        <w:spacing w:before="120"/>
        <w:rPr>
          <w:lang w:val="es-ES"/>
        </w:rPr>
      </w:pPr>
      <w:r w:rsidRPr="00B0797C">
        <w:rPr>
          <w:lang w:val="es-ES"/>
        </w:rPr>
        <w:t>Las lecciones surgidas de los proyectos de asistencia técnica para la aplicación de la ley incluyeron la necesidad de que los funcionarios de aduanas estén bien informados y capacitados, en combinación con un sistema de concesión de licencias de importación/exportación de las SAO, a fin de garantizar que los usos de las SAO se controlen de manera eficiente. Un país estableció satisfactoriamente un canal de comunicación nacional entre los funcionarios de aduanas y las DNO para mejorar la detección del comercio ilícito de SAO. Otra opción sería realizar con frecuencia reuniones de redes conjuntas entre los funcionarios de aduanas y las DNO para crear un marco de cooperación para el esfuerzo regional destinado a prevenir el comercio ilícito.</w:t>
      </w:r>
    </w:p>
    <w:p w14:paraId="5064ABAD" w14:textId="77777777" w:rsidR="00B0797C" w:rsidRPr="00B0797C" w:rsidRDefault="00B0797C" w:rsidP="00A62975">
      <w:pPr>
        <w:pStyle w:val="Heading1"/>
        <w:numPr>
          <w:ilvl w:val="0"/>
          <w:numId w:val="0"/>
        </w:numPr>
        <w:spacing w:before="120"/>
        <w:rPr>
          <w:u w:val="single"/>
          <w:lang w:val="es-ES"/>
        </w:rPr>
      </w:pPr>
      <w:r w:rsidRPr="00B0797C">
        <w:rPr>
          <w:u w:val="single"/>
          <w:lang w:val="es-ES"/>
        </w:rPr>
        <w:t>Proyectos de demostración</w:t>
      </w:r>
    </w:p>
    <w:p w14:paraId="411AFBCA" w14:textId="77777777" w:rsidR="00B0797C" w:rsidRPr="00B0797C" w:rsidRDefault="00B0797C" w:rsidP="00A62975">
      <w:pPr>
        <w:pStyle w:val="Heading1"/>
        <w:tabs>
          <w:tab w:val="clear" w:pos="0"/>
          <w:tab w:val="num" w:pos="720"/>
        </w:tabs>
        <w:spacing w:before="240"/>
        <w:rPr>
          <w:lang w:val="es-ES"/>
        </w:rPr>
      </w:pPr>
      <w:r w:rsidRPr="00B0797C">
        <w:rPr>
          <w:lang w:val="es-ES"/>
        </w:rPr>
        <w:t>Las lecciones informadas respecto de los proyectos de demostración se relacionaron, entre otras cosas, con lo siguiente: la ampliación y reproducibilidad de los proyectos; la flexibilidad en la financiación para los proyectos de destrucción a fin de abordar las circunstancias locales; las fugas de SAO debido a falta de supervisión; precios y aceptación en el mercado de las alternativas; medición del ahorro energético en las aplicaciones de CO</w:t>
      </w:r>
      <w:r w:rsidRPr="00B0797C">
        <w:rPr>
          <w:vertAlign w:val="subscript"/>
          <w:lang w:val="es-ES"/>
        </w:rPr>
        <w:t>2</w:t>
      </w:r>
      <w:r w:rsidRPr="00B0797C">
        <w:rPr>
          <w:lang w:val="es-ES"/>
        </w:rPr>
        <w:t xml:space="preserve"> </w:t>
      </w:r>
      <w:proofErr w:type="spellStart"/>
      <w:r w:rsidRPr="00B0797C">
        <w:rPr>
          <w:lang w:val="es-ES"/>
        </w:rPr>
        <w:t>transcrítico</w:t>
      </w:r>
      <w:proofErr w:type="spellEnd"/>
      <w:r w:rsidRPr="00B0797C">
        <w:rPr>
          <w:lang w:val="es-ES"/>
        </w:rPr>
        <w:t xml:space="preserve">; cuestiones de seguridad y reglamentos para las alternativas inflamables; comunicación y sensibilización para abordar los refrigerantes ilícitos; el agrupamiento de recursos para países vecinos más pequeños y otras medidas para abordar la falta de proveedores internacionales en sus mercados locales; y el uso exitoso de proveedores de sistemas en espumas de poliuretano y la </w:t>
      </w:r>
      <w:proofErr w:type="spellStart"/>
      <w:r w:rsidRPr="00B0797C">
        <w:rPr>
          <w:lang w:val="es-ES"/>
        </w:rPr>
        <w:t>retroadaptación</w:t>
      </w:r>
      <w:proofErr w:type="spellEnd"/>
      <w:r w:rsidRPr="00B0797C">
        <w:rPr>
          <w:lang w:val="es-ES"/>
        </w:rPr>
        <w:t xml:space="preserve"> a alternativas de bajo PCA en el sector pesquero. </w:t>
      </w:r>
    </w:p>
    <w:p w14:paraId="433A5C75" w14:textId="597D00CE" w:rsidR="00B0797C" w:rsidRPr="00B0797C" w:rsidRDefault="00B0797C" w:rsidP="00A62975">
      <w:pPr>
        <w:pStyle w:val="Heading1"/>
        <w:tabs>
          <w:tab w:val="clear" w:pos="0"/>
          <w:tab w:val="num" w:pos="720"/>
        </w:tabs>
        <w:spacing w:before="240"/>
        <w:rPr>
          <w:lang w:val="es-ES"/>
        </w:rPr>
      </w:pPr>
      <w:r w:rsidRPr="00B0797C">
        <w:rPr>
          <w:lang w:val="es-ES"/>
        </w:rPr>
        <w:t>Un país mencionó la atención prestada por los países vecinos más pequeños respecto del éxito de sus proyectos de destrucción de desechos para posibles exportaciones para su destrucción. Si bien el proyecto resultó exitoso, las mejoras podrían incluir fondos adicionales para el acopio de desechos y flexibilidad en la financiación en lugar de aplicar un umbral de costo a eficacia estricto, a fin de que fuera posible ajustar el diseño del proyecto a la realidad y las necesidades del país. También se informó que las deficiencias en la supervisión condujeron a la pérdida de existencias de SAO en ambas instalaciones beneficiarias y durante el cierre de otras empresas.</w:t>
      </w:r>
    </w:p>
    <w:p w14:paraId="30F9D9CF" w14:textId="77777777" w:rsidR="00B0797C" w:rsidRPr="00B0797C" w:rsidRDefault="00B0797C" w:rsidP="00A62975">
      <w:pPr>
        <w:pStyle w:val="Heading1"/>
        <w:tabs>
          <w:tab w:val="clear" w:pos="0"/>
          <w:tab w:val="num" w:pos="720"/>
        </w:tabs>
        <w:spacing w:before="240"/>
        <w:rPr>
          <w:lang w:val="es-ES"/>
        </w:rPr>
      </w:pPr>
      <w:r w:rsidRPr="00B0797C">
        <w:rPr>
          <w:lang w:val="es-ES"/>
        </w:rPr>
        <w:t>En el proyecto mundial sobre CO</w:t>
      </w:r>
      <w:r w:rsidRPr="00B0797C">
        <w:rPr>
          <w:vertAlign w:val="subscript"/>
          <w:lang w:val="es-ES"/>
        </w:rPr>
        <w:t>2</w:t>
      </w:r>
      <w:r w:rsidRPr="00B0797C">
        <w:rPr>
          <w:lang w:val="es-ES"/>
        </w:rPr>
        <w:t xml:space="preserve"> </w:t>
      </w:r>
      <w:proofErr w:type="spellStart"/>
      <w:r w:rsidRPr="00B0797C">
        <w:rPr>
          <w:lang w:val="es-ES"/>
        </w:rPr>
        <w:t>transcrítico</w:t>
      </w:r>
      <w:proofErr w:type="spellEnd"/>
      <w:r w:rsidRPr="00B0797C">
        <w:rPr>
          <w:lang w:val="es-ES"/>
        </w:rPr>
        <w:t>, se demostró entre otras cosas que: la diferencia de precios de los sistemas de CO</w:t>
      </w:r>
      <w:r w:rsidRPr="00B0797C">
        <w:rPr>
          <w:vertAlign w:val="subscript"/>
          <w:lang w:val="es-ES"/>
        </w:rPr>
        <w:t>2</w:t>
      </w:r>
      <w:r w:rsidRPr="00B0797C">
        <w:rPr>
          <w:lang w:val="es-ES"/>
        </w:rPr>
        <w:t xml:space="preserve"> </w:t>
      </w:r>
      <w:proofErr w:type="spellStart"/>
      <w:r w:rsidRPr="00B0797C">
        <w:rPr>
          <w:lang w:val="es-ES"/>
        </w:rPr>
        <w:t>transcrítico</w:t>
      </w:r>
      <w:proofErr w:type="spellEnd"/>
      <w:r w:rsidRPr="00B0797C">
        <w:rPr>
          <w:lang w:val="es-ES"/>
        </w:rPr>
        <w:t xml:space="preserve"> en comparación con los sistemas de HFC estaba disminuyendo en la mayor parte de América Latina</w:t>
      </w:r>
      <w:r w:rsidRPr="00B0797C">
        <w:rPr>
          <w:rStyle w:val="FootnoteReference"/>
          <w:lang w:val="es-ES"/>
        </w:rPr>
        <w:footnoteReference w:id="7"/>
      </w:r>
      <w:r w:rsidRPr="00B0797C">
        <w:rPr>
          <w:lang w:val="es-ES"/>
        </w:rPr>
        <w:t>; la disponibilidad de proveedores del sistema de CO</w:t>
      </w:r>
      <w:r w:rsidRPr="00B0797C">
        <w:rPr>
          <w:vertAlign w:val="subscript"/>
          <w:lang w:val="es-ES"/>
        </w:rPr>
        <w:t>2</w:t>
      </w:r>
      <w:r w:rsidRPr="00B0797C">
        <w:rPr>
          <w:lang w:val="es-ES"/>
        </w:rPr>
        <w:t xml:space="preserve"> </w:t>
      </w:r>
      <w:proofErr w:type="spellStart"/>
      <w:r w:rsidRPr="00B0797C">
        <w:rPr>
          <w:lang w:val="es-ES"/>
        </w:rPr>
        <w:t>transcrítico</w:t>
      </w:r>
      <w:proofErr w:type="spellEnd"/>
      <w:r w:rsidRPr="00B0797C">
        <w:rPr>
          <w:lang w:val="es-ES"/>
        </w:rPr>
        <w:t xml:space="preserve"> en el mercado local era baja; los ahorros en consumo de energía fueron más elevados que lo esperado, lo que alentó la adopción de la tecnología; en otra región, la falta de sensibilización e información había generado reticencia por parte de los interesados directos y había conducido al cierre del proyecto de demostración; y permitir la instalación de sistemas de CO</w:t>
      </w:r>
      <w:r w:rsidRPr="00B0797C">
        <w:rPr>
          <w:vertAlign w:val="subscript"/>
          <w:lang w:val="es-ES"/>
        </w:rPr>
        <w:t>2</w:t>
      </w:r>
      <w:r w:rsidRPr="00B0797C">
        <w:rPr>
          <w:lang w:val="es-ES"/>
        </w:rPr>
        <w:t xml:space="preserve"> en supermercados nuevos en lugar de limitar los proyectos de demostración a la conversión de sistemas antiguos crearía impulso y podría demostrar el rendimiento del nuevo sistema y su reproducibilidad en países de temperatura ambiente elevada.</w:t>
      </w:r>
    </w:p>
    <w:p w14:paraId="7C25A3DA" w14:textId="77777777" w:rsidR="00B0797C" w:rsidRPr="00B0797C" w:rsidRDefault="00B0797C" w:rsidP="00A62975">
      <w:pPr>
        <w:pStyle w:val="Heading1"/>
        <w:tabs>
          <w:tab w:val="clear" w:pos="0"/>
          <w:tab w:val="num" w:pos="720"/>
        </w:tabs>
        <w:spacing w:before="240"/>
        <w:rPr>
          <w:lang w:val="es-ES"/>
        </w:rPr>
      </w:pPr>
      <w:r w:rsidRPr="00B0797C">
        <w:rPr>
          <w:lang w:val="es-ES"/>
        </w:rPr>
        <w:t xml:space="preserve">Las lecciones surgidas de los proyectos de demostración para el uso de hidrocarburos (hidrocarburo o R-290) se relacionaron principalmente con cuestiones de seguridad, tales como las siguientes: diseños que facilitan la manipulación por los técnicos de alternativas inflamables; la necesidad de contar con una zona separada dentro de las instalaciones para garantizar condiciones de manipulación seguras; la necesidad de reforzar la capacitación en el sector de servicio y mantenimiento, combinada con la red requerida de centros de capacitación/instrucción para certificar a los técnicos; la necesidad de actualizar o adoptar normas internacionales con respecto a los requisitos de seguridad y ambientales necesarios; y la necesidad </w:t>
      </w:r>
      <w:r w:rsidRPr="00B0797C">
        <w:rPr>
          <w:lang w:val="es-ES"/>
        </w:rPr>
        <w:lastRenderedPageBreak/>
        <w:t xml:space="preserve">de contar con un plan de supervisión vinculante para la empresa fabricante y los usuarios finales a fin de garantizar la manipulación segura y la gestión adecuada de los riesgos. </w:t>
      </w:r>
    </w:p>
    <w:p w14:paraId="4B0BD13D" w14:textId="31CB9C9E" w:rsidR="00B0797C" w:rsidRPr="00B0797C" w:rsidRDefault="00B0797C" w:rsidP="00A62975">
      <w:pPr>
        <w:pStyle w:val="Heading1"/>
        <w:tabs>
          <w:tab w:val="clear" w:pos="0"/>
          <w:tab w:val="num" w:pos="720"/>
        </w:tabs>
        <w:spacing w:before="240"/>
        <w:rPr>
          <w:lang w:val="es-ES"/>
        </w:rPr>
      </w:pPr>
      <w:r w:rsidRPr="00B0797C">
        <w:rPr>
          <w:lang w:val="es-ES"/>
        </w:rPr>
        <w:t xml:space="preserve">En un proyecto, se demostró exitosamente el diseño de enfriadores comerciales de bajo PCA refrigerados por aire (esto es, de HFC-32 y R-290) para una variedad de capacidades de refrigeración y condiciones de funcionamiento, tales como </w:t>
      </w:r>
      <w:r w:rsidR="006C6E63" w:rsidRPr="00B0797C">
        <w:rPr>
          <w:lang w:val="es-ES"/>
        </w:rPr>
        <w:t>temperaturas ambientes</w:t>
      </w:r>
      <w:r w:rsidRPr="00B0797C">
        <w:rPr>
          <w:lang w:val="es-ES"/>
        </w:rPr>
        <w:t xml:space="preserve"> elevadas. Sin embargo, cabe señalar que en la mayoría de las aplicaciones comerciales el uso de refrigerantes </w:t>
      </w:r>
      <w:r w:rsidR="006C6E63">
        <w:rPr>
          <w:lang w:val="es-ES"/>
        </w:rPr>
        <w:t>altamente inflamables como el R</w:t>
      </w:r>
      <w:r w:rsidR="006C6E63">
        <w:rPr>
          <w:lang w:val="es-ES"/>
        </w:rPr>
        <w:noBreakHyphen/>
      </w:r>
      <w:r w:rsidRPr="00B0797C">
        <w:rPr>
          <w:lang w:val="es-ES"/>
        </w:rPr>
        <w:t>290 se ve gravemente limitado por las normas de seguridad actuales, a diferencia del caso de los refrigerantes ligeramente inflamables, como el HFC-32.</w:t>
      </w:r>
    </w:p>
    <w:p w14:paraId="1F66F27F" w14:textId="77777777" w:rsidR="00B0797C" w:rsidRPr="00B0797C" w:rsidRDefault="00B0797C" w:rsidP="00A62975">
      <w:pPr>
        <w:pStyle w:val="Heading1"/>
        <w:tabs>
          <w:tab w:val="clear" w:pos="0"/>
          <w:tab w:val="num" w:pos="720"/>
        </w:tabs>
        <w:spacing w:before="240"/>
        <w:rPr>
          <w:lang w:val="es-ES"/>
        </w:rPr>
      </w:pPr>
      <w:r w:rsidRPr="00B0797C">
        <w:rPr>
          <w:lang w:val="es-ES"/>
        </w:rPr>
        <w:t>Los proyectos mundiales sobre calidad del refrigerante, contención e introducción de alternativas de bajo PCA para África oriental y el Caribe demostró la existencia de un amplio ingreso de refrigerantes falsificados en la región. Esto se debió, entre otras cosas, a precios bajos y alta disponibilidad de los refrigerantes falsificados, falta de un mecanismo apropiado para detectar o evitar los refrigerantes de baja calidad, falta de legislación y bajo nivel de sensibilización por parte de todos los interesados directos. Entre las lecciones aprendidas se incluyen la necesidad de que exista una comunicación eficaz entre la DNO y los interesados directos; la necesidad de que los otros organismos gubernamentales, los importadores, los técnicos y los usuarios finales participen en las actividades de sensibilización del público; la necesidad de crear confianza e intercambiar información para identificar los refrigerantes falsificados, creando una red de funcionarios de aduanas y ambientales de nivel nacional y regional; y la necesidad de evitar que los técnicos presupongan que los cilindros contienen refrigerantes de buena calidad hasta que el sistema tenga fallos o problemas de refrigeración.</w:t>
      </w:r>
    </w:p>
    <w:p w14:paraId="4B71A3BD" w14:textId="02FE3044" w:rsidR="00B0797C" w:rsidRPr="00B0797C" w:rsidRDefault="00B0797C" w:rsidP="00A62975">
      <w:pPr>
        <w:pStyle w:val="Heading1"/>
        <w:rPr>
          <w:lang w:val="es-ES"/>
        </w:rPr>
      </w:pPr>
      <w:r w:rsidRPr="00B0797C">
        <w:rPr>
          <w:lang w:val="es-ES"/>
        </w:rPr>
        <w:t xml:space="preserve">El componente correspondiente al Caribe del proyecto mundial destacó la necesidad de alentar a los proveedores internacionales o fabricantes de equipos y herramientas de hidrocarburos a tener una fuerte presencia en la región, desarrollando por ejemplos los mecanismos y asociaciones adecuados y recopilando y analizando datos de mercado de refrigeración y aire acondicionado. Además, varias medidas resultarían beneficiosas para la región en general, tales como planificar compras regionales grupales de equipos y herramientas para hidrocarburos; crear una asociación regional de refrigeración y usar las redes sociales y otras plataformas para compartir información entre los técnicos; desarrollar mecanismos para alentar a los proveedores locales a distribuir equipos y herramientas para hidrocarburos; formular mecanismos de supervisión e incentivos para aumentar la capacitación de instructores y técnicos capacitados en ejercicios de sensibilización y creación de capacidad; atraer apoyo financiero adicional de órganos de financiación internacionales para la introducción de alternativas de bajo PCA; considerar el desarrollo de sistemas de </w:t>
      </w:r>
      <w:r w:rsidR="006C6E63" w:rsidRPr="00B0797C">
        <w:rPr>
          <w:lang w:val="es-ES"/>
        </w:rPr>
        <w:t>eco etiquetado</w:t>
      </w:r>
      <w:r w:rsidRPr="00B0797C">
        <w:rPr>
          <w:lang w:val="es-ES"/>
        </w:rPr>
        <w:t xml:space="preserve"> para aparatos de refrigeración para los consumidores que compran aparatos de refrigeración con eficiencia energética y bajo PCA; considerar aranceles para los aparatos que usan refrigerantes de alto PCA; formular requisitos técnicos obligatorios para el diseño, la construcción o la </w:t>
      </w:r>
      <w:proofErr w:type="spellStart"/>
      <w:r w:rsidRPr="00B0797C">
        <w:rPr>
          <w:lang w:val="es-ES"/>
        </w:rPr>
        <w:t>retroadaptación</w:t>
      </w:r>
      <w:proofErr w:type="spellEnd"/>
      <w:r w:rsidRPr="00B0797C">
        <w:rPr>
          <w:lang w:val="es-ES"/>
        </w:rPr>
        <w:t xml:space="preserve"> de edificios públicos (como oficinas, hoteles, hospitales, escuelas y bloques de apartamentos); reforzar la presencia de técnicos de refrigeración y aire acondicionado en las reuniones regionales; examinar los reglamentos sobre SAO para incluir todos los refrigerantes e información sobre los reglamentos actualizados, impuestos, mecanismos de seguridad y peligros de las SAO ilícitas; y crear mecanismos para divulgar eficientemente la información entre los interesados directos.</w:t>
      </w:r>
    </w:p>
    <w:p w14:paraId="61A36CF0" w14:textId="77777777" w:rsidR="00B0797C" w:rsidRPr="00B0797C" w:rsidRDefault="00B0797C" w:rsidP="00A62975">
      <w:pPr>
        <w:pStyle w:val="Heading1"/>
        <w:tabs>
          <w:tab w:val="clear" w:pos="0"/>
          <w:tab w:val="num" w:pos="720"/>
        </w:tabs>
        <w:spacing w:before="240"/>
        <w:rPr>
          <w:lang w:val="es-ES"/>
        </w:rPr>
      </w:pPr>
      <w:r w:rsidRPr="00B0797C">
        <w:rPr>
          <w:lang w:val="es-ES"/>
        </w:rPr>
        <w:t xml:space="preserve">Una de las conclusiones derivadas de la conversión de equipos a base de HCFC-141b a </w:t>
      </w:r>
      <w:proofErr w:type="spellStart"/>
      <w:r w:rsidRPr="00B0797C">
        <w:rPr>
          <w:lang w:val="es-ES"/>
        </w:rPr>
        <w:t>polioles</w:t>
      </w:r>
      <w:proofErr w:type="spellEnd"/>
      <w:r w:rsidRPr="00B0797C">
        <w:rPr>
          <w:lang w:val="es-ES"/>
        </w:rPr>
        <w:t xml:space="preserve"> premezclados a base de </w:t>
      </w:r>
      <w:proofErr w:type="spellStart"/>
      <w:r w:rsidRPr="00B0797C">
        <w:rPr>
          <w:lang w:val="es-ES"/>
        </w:rPr>
        <w:t>ciclopentano</w:t>
      </w:r>
      <w:proofErr w:type="spellEnd"/>
      <w:r w:rsidRPr="00B0797C">
        <w:rPr>
          <w:lang w:val="es-ES"/>
        </w:rPr>
        <w:t xml:space="preserve"> en la fabricación de espuma rígida de poliuretano es que las conversiones de los proveedores de sistemas pueden ser una herramienta altamente eficaz para facilitar la conversión en el sector de las empresas pequeñas y medianas.</w:t>
      </w:r>
    </w:p>
    <w:p w14:paraId="559726E0" w14:textId="77777777" w:rsidR="00B0797C" w:rsidRPr="00B0797C" w:rsidRDefault="00B0797C" w:rsidP="00A62975">
      <w:pPr>
        <w:pStyle w:val="Heading1"/>
        <w:tabs>
          <w:tab w:val="clear" w:pos="0"/>
          <w:tab w:val="num" w:pos="720"/>
        </w:tabs>
        <w:spacing w:before="240"/>
        <w:rPr>
          <w:lang w:val="es-ES"/>
        </w:rPr>
      </w:pPr>
      <w:r w:rsidRPr="00B0797C">
        <w:rPr>
          <w:lang w:val="es-ES"/>
        </w:rPr>
        <w:t>Del mismo modo, el proyecto de demostración sobre alternativas de refrigeración de bajo PCA que no utilizan HCFC en el sector pesquero confirmó que el rendimiento del sistema mejoró en gran medida por medio de la sustitución de HCFC</w:t>
      </w:r>
      <w:r w:rsidRPr="00B0797C">
        <w:rPr>
          <w:lang w:val="es-ES"/>
        </w:rPr>
        <w:noBreakHyphen/>
        <w:t>22 por R</w:t>
      </w:r>
      <w:r w:rsidRPr="00B0797C">
        <w:rPr>
          <w:lang w:val="es-ES"/>
        </w:rPr>
        <w:noBreakHyphen/>
        <w:t xml:space="preserve">448A. Además, la </w:t>
      </w:r>
      <w:proofErr w:type="spellStart"/>
      <w:r w:rsidRPr="00B0797C">
        <w:rPr>
          <w:lang w:val="es-ES"/>
        </w:rPr>
        <w:t>retroadaptación</w:t>
      </w:r>
      <w:proofErr w:type="spellEnd"/>
      <w:r w:rsidRPr="00B0797C">
        <w:rPr>
          <w:lang w:val="es-ES"/>
        </w:rPr>
        <w:t xml:space="preserve"> del sistema dentro de un plazo razonable y sin grandes disrupciones en el funcionamiento del buque, no requería un conjunto de aptitudes complejas. </w:t>
      </w:r>
    </w:p>
    <w:p w14:paraId="22BB4A99" w14:textId="77777777" w:rsidR="00B0797C" w:rsidRPr="00B0797C" w:rsidRDefault="00B0797C" w:rsidP="00A62975">
      <w:pPr>
        <w:pStyle w:val="Heading1"/>
        <w:tabs>
          <w:tab w:val="clear" w:pos="0"/>
          <w:tab w:val="num" w:pos="720"/>
        </w:tabs>
        <w:spacing w:before="240"/>
        <w:rPr>
          <w:lang w:val="es-ES"/>
        </w:rPr>
      </w:pPr>
      <w:r w:rsidRPr="00B0797C">
        <w:rPr>
          <w:lang w:val="es-ES"/>
        </w:rPr>
        <w:lastRenderedPageBreak/>
        <w:t>Los proyectos de demostración piloto sobre eliminación y destrucción de SAO destacaron la necesidad de incluir un sistema obligatorio de seguimiento de SAO en las políticas del país, en el que los importadores ingresaran datos detallando los movimientos de SAO, y de una política nacional que incluya la necesidad de reciclar las SAO y promueva la sensibilización de los interesados directos, reduciendo de ese modo las emisiones, al mismo tiempo que mejora la gestión de los recursos estableciendo una oferta uniforme y previsible de refrigerante de calidad.</w:t>
      </w:r>
    </w:p>
    <w:p w14:paraId="0629A6A7" w14:textId="77777777" w:rsidR="00B0797C" w:rsidRPr="00B0797C" w:rsidRDefault="00B0797C" w:rsidP="00A62975">
      <w:pPr>
        <w:pStyle w:val="Heading1"/>
        <w:tabs>
          <w:tab w:val="clear" w:pos="0"/>
          <w:tab w:val="num" w:pos="720"/>
        </w:tabs>
        <w:spacing w:before="240"/>
        <w:rPr>
          <w:lang w:val="es-ES"/>
        </w:rPr>
      </w:pPr>
      <w:r w:rsidRPr="00B0797C">
        <w:rPr>
          <w:lang w:val="es-ES"/>
        </w:rPr>
        <w:t xml:space="preserve">El uso de tecnología de pentano de bajo costo para la conversión de tecnologías que no utilizan SAO en la producción de espumas de poliuretano ha demostrado que el costo inicial de capital puede reducirse diseñando una máquina de </w:t>
      </w:r>
      <w:proofErr w:type="spellStart"/>
      <w:r w:rsidRPr="00B0797C">
        <w:rPr>
          <w:lang w:val="es-ES"/>
        </w:rPr>
        <w:t>espumación</w:t>
      </w:r>
      <w:proofErr w:type="spellEnd"/>
      <w:r w:rsidRPr="00B0797C">
        <w:rPr>
          <w:lang w:val="es-ES"/>
        </w:rPr>
        <w:t xml:space="preserve"> compacta, simple, normalizada y fácil de usar, con capacidad para funcionar con pentano inflamable mediante sistemas de seguridad y ventilación óptimos para varios productos, eliminando de ese modo la necesidad de almacenar y mezclar el pentano y de los equipos relacionados.</w:t>
      </w:r>
    </w:p>
    <w:p w14:paraId="06EB0AB2" w14:textId="77777777" w:rsidR="00B0797C" w:rsidRPr="00B0797C" w:rsidRDefault="00B0797C" w:rsidP="00A62975">
      <w:pPr>
        <w:pStyle w:val="Heading1"/>
        <w:numPr>
          <w:ilvl w:val="0"/>
          <w:numId w:val="0"/>
        </w:numPr>
        <w:spacing w:before="240"/>
        <w:rPr>
          <w:u w:val="single"/>
          <w:lang w:val="es-ES"/>
        </w:rPr>
      </w:pPr>
      <w:r w:rsidRPr="00B0797C">
        <w:rPr>
          <w:u w:val="single"/>
          <w:lang w:val="es-ES"/>
        </w:rPr>
        <w:t>Encuestas sobre alternativas a las SAO</w:t>
      </w:r>
    </w:p>
    <w:p w14:paraId="020600B8" w14:textId="77777777" w:rsidR="00B0797C" w:rsidRPr="00B0797C" w:rsidRDefault="00B0797C" w:rsidP="00A62975">
      <w:pPr>
        <w:pStyle w:val="Heading1"/>
        <w:tabs>
          <w:tab w:val="clear" w:pos="0"/>
          <w:tab w:val="num" w:pos="720"/>
        </w:tabs>
        <w:spacing w:before="240"/>
        <w:rPr>
          <w:lang w:val="es-ES"/>
        </w:rPr>
      </w:pPr>
      <w:r w:rsidRPr="00B0797C">
        <w:rPr>
          <w:lang w:val="es-ES"/>
        </w:rPr>
        <w:t>Varias dificultades obstaculizan la adopción de alternativas a las SAO, tales como: la falta de incentivos explícitos; el alto costo de las alternativas en comparación con la tecnología que se reemplaza; la falta de disponibilidad de alternativas específicas (por ejemplo, un país mencionó que la prevalencia de aparatos de aire acondicionado con HFC está frenando la penetración del R</w:t>
      </w:r>
      <w:r w:rsidRPr="00B0797C">
        <w:rPr>
          <w:lang w:val="es-ES"/>
        </w:rPr>
        <w:noBreakHyphen/>
        <w:t>290 en el mercado local); y la elaboración esencial de normas nacionales para orientar a los interesados directos en el uso de alternativas de bajo PCA con productos de mayor eficiencia energética.</w:t>
      </w:r>
    </w:p>
    <w:p w14:paraId="3B565335" w14:textId="77777777" w:rsidR="00B0797C" w:rsidRPr="00B0797C" w:rsidRDefault="00B0797C" w:rsidP="00A62975">
      <w:pPr>
        <w:pStyle w:val="Heading1"/>
        <w:numPr>
          <w:ilvl w:val="0"/>
          <w:numId w:val="0"/>
        </w:numPr>
        <w:spacing w:before="240"/>
        <w:rPr>
          <w:u w:val="single"/>
          <w:lang w:val="es-ES"/>
        </w:rPr>
      </w:pPr>
      <w:r w:rsidRPr="00B0797C">
        <w:rPr>
          <w:u w:val="single"/>
          <w:lang w:val="es-ES"/>
        </w:rPr>
        <w:t>Informes de verificación</w:t>
      </w:r>
    </w:p>
    <w:p w14:paraId="79C2F337" w14:textId="77777777" w:rsidR="00B0797C" w:rsidRPr="00B0797C" w:rsidRDefault="00B0797C" w:rsidP="00A62975">
      <w:pPr>
        <w:pStyle w:val="Heading1"/>
        <w:tabs>
          <w:tab w:val="clear" w:pos="0"/>
          <w:tab w:val="num" w:pos="720"/>
        </w:tabs>
        <w:spacing w:before="240"/>
        <w:rPr>
          <w:lang w:val="es-ES"/>
        </w:rPr>
      </w:pPr>
      <w:r w:rsidRPr="00B0797C">
        <w:rPr>
          <w:lang w:val="es-ES"/>
        </w:rPr>
        <w:t xml:space="preserve">Los informes de verificación contenían una serie de recomendaciones para los proyectos en curso y futuros, que se referían principalmente a la comunicación y el intercambio de datos, más concretamente a lo siguiente: favorecer un canal oficial de comunicación entre los interesados directos (es decir, las aduanas, las DNO, los organismos de ejecución y los importadores); procedimientos posteriores al despacho de aduanas; y la gestión de las mercancías confiscadas. </w:t>
      </w:r>
    </w:p>
    <w:p w14:paraId="46F98974" w14:textId="77777777" w:rsidR="00B0797C" w:rsidRPr="00B0797C" w:rsidRDefault="00B0797C" w:rsidP="00A62975">
      <w:pPr>
        <w:pStyle w:val="Heading1"/>
        <w:tabs>
          <w:tab w:val="clear" w:pos="0"/>
          <w:tab w:val="num" w:pos="720"/>
        </w:tabs>
        <w:spacing w:before="240"/>
        <w:rPr>
          <w:lang w:val="es-ES"/>
        </w:rPr>
      </w:pPr>
      <w:r w:rsidRPr="00B0797C">
        <w:rPr>
          <w:lang w:val="es-ES"/>
        </w:rPr>
        <w:t>Al igual que en todos los demás proyectos, la coordinación, la supervisión y la comunicación constante entre todos los interesados directos es fundamental para garantizar que el auditor tenga acceso a los documentos y datos de apoyo necesarios, para lograr, en consecuencia, una verificación satisfactoria. Para ello, se debería exigir a los importadores que presenten regularmente a la DNO un registro de todos los refrigerantes importados, mientras que las aduanas deberían compartir sus bases de datos de refrigerantes y equipos importados con la DNO.</w:t>
      </w:r>
      <w:r w:rsidRPr="00B0797C">
        <w:rPr>
          <w:color w:val="000000"/>
          <w:lang w:val="es-ES"/>
        </w:rPr>
        <w:t xml:space="preserve"> Además, debería exigirse un sistema en línea para tramitar las solicitudes de permisos de importación, a fin de permitir la verificación independiente de las importaciones de refrigerantes notificadas.</w:t>
      </w:r>
      <w:r w:rsidRPr="00B0797C">
        <w:rPr>
          <w:lang w:val="es-ES"/>
        </w:rPr>
        <w:t xml:space="preserve"> </w:t>
      </w:r>
    </w:p>
    <w:p w14:paraId="6E1B065F" w14:textId="77777777" w:rsidR="00B0797C" w:rsidRPr="00B0797C" w:rsidRDefault="00B0797C" w:rsidP="00A62975">
      <w:pPr>
        <w:pStyle w:val="Heading1"/>
        <w:tabs>
          <w:tab w:val="clear" w:pos="0"/>
          <w:tab w:val="num" w:pos="720"/>
        </w:tabs>
        <w:spacing w:before="240"/>
        <w:rPr>
          <w:lang w:val="es-ES"/>
        </w:rPr>
      </w:pPr>
      <w:r w:rsidRPr="00B0797C">
        <w:rPr>
          <w:lang w:val="es-ES"/>
        </w:rPr>
        <w:t>En un proyecto se recomendó que se elaborara un requisito obligatorio de presentación de informes después del despacho de aduana para fomentar la presentación de formularios de declaración de aduanas, lo que permitiría a la DNO: hacer un seguimiento de las estadísticas de importación reales comparándolas con las licencias expedidas a los importadores; cotejar la declaración de códigos del sistema armonizado; y conciliar los datos de importación con las estadísticas de aduanas para garantizar la coherencia de los datos. Esto reforzaría el sistema de supervisión, notificación, verificación y aplicación de la ley y ayudaría al país a prepararse para los controles de los HFC, que podrían resultar problemáticos en cuanto a la exactitud de los datos.</w:t>
      </w:r>
    </w:p>
    <w:p w14:paraId="1DD0658C" w14:textId="77777777" w:rsidR="00B0797C" w:rsidRPr="00B0797C" w:rsidRDefault="00B0797C" w:rsidP="00A62975">
      <w:pPr>
        <w:pStyle w:val="Heading1"/>
        <w:tabs>
          <w:tab w:val="clear" w:pos="0"/>
          <w:tab w:val="num" w:pos="720"/>
        </w:tabs>
        <w:spacing w:before="240"/>
        <w:rPr>
          <w:lang w:val="es-ES"/>
        </w:rPr>
      </w:pPr>
      <w:r w:rsidRPr="00B0797C">
        <w:rPr>
          <w:lang w:val="es-ES"/>
        </w:rPr>
        <w:t xml:space="preserve">Es necesario revisar la gestión de las mercancías confiscadas que contienen SAO, incluidos los HCFC, y la gestión de los envíos en tránsito en el ámbito aduanero. Además, los procedimientos aduaneros deben adaptarse a la realidad de cada país. Por ejemplo, un país sugirió que los envíos de mercancías se dirigieran a los puntos de control aduanero apropiados, que están equipados con identificadores, lo que </w:t>
      </w:r>
      <w:r w:rsidRPr="00B0797C">
        <w:rPr>
          <w:lang w:val="es-ES"/>
        </w:rPr>
        <w:lastRenderedPageBreak/>
        <w:t xml:space="preserve">permite un movimiento más rápido de las mercancías en la frontera. Sin embargo, los identificadores deben sustituirse cuando sea necesario, a fin de que las aduanas puedan adaptarse a las nuevas alternativas. </w:t>
      </w:r>
    </w:p>
    <w:p w14:paraId="5ED46939" w14:textId="77777777" w:rsidR="00B0797C" w:rsidRPr="00B0797C" w:rsidRDefault="00B0797C" w:rsidP="00A62975">
      <w:pPr>
        <w:pStyle w:val="Heading1"/>
        <w:keepNext/>
        <w:numPr>
          <w:ilvl w:val="0"/>
          <w:numId w:val="0"/>
        </w:numPr>
        <w:spacing w:before="240"/>
        <w:rPr>
          <w:b/>
          <w:lang w:val="es-ES"/>
        </w:rPr>
      </w:pPr>
      <w:r w:rsidRPr="00B0797C">
        <w:rPr>
          <w:b/>
          <w:lang w:val="es-ES"/>
        </w:rPr>
        <w:t>Informes de terminación de proyectos de acuerdos plurianuales e informes de terminación de proyectos pendientes</w:t>
      </w:r>
    </w:p>
    <w:p w14:paraId="15D5A6D9" w14:textId="77777777" w:rsidR="00B0797C" w:rsidRPr="00B0797C" w:rsidRDefault="00B0797C" w:rsidP="00A62975">
      <w:pPr>
        <w:pStyle w:val="Heading1"/>
        <w:numPr>
          <w:ilvl w:val="0"/>
          <w:numId w:val="21"/>
        </w:numPr>
        <w:tabs>
          <w:tab w:val="clear" w:pos="0"/>
          <w:tab w:val="num" w:pos="720"/>
        </w:tabs>
        <w:rPr>
          <w:color w:val="1F497D"/>
          <w:lang w:val="es-ES"/>
        </w:rPr>
      </w:pPr>
      <w:r w:rsidRPr="00B0797C">
        <w:rPr>
          <w:lang w:val="es-ES"/>
        </w:rPr>
        <w:t>La Secretaría toma nota con agradecimiento de las medidas adoptadas por algunos de los organismos bilaterales y de ejecución para abordar el retraso en la presentación de los informes de terminación de proyectos pendientes</w:t>
      </w:r>
      <w:r w:rsidRPr="00B0797C">
        <w:rPr>
          <w:rStyle w:val="FootnoteReference"/>
          <w:lang w:val="es-ES"/>
        </w:rPr>
        <w:footnoteReference w:id="8"/>
      </w:r>
      <w:r w:rsidRPr="00B0797C">
        <w:rPr>
          <w:lang w:val="es-ES"/>
        </w:rPr>
        <w:t>. La Secretaría destaca nuevamente la importancia de presentar los informes de terminación de proyectos para la etapa I de los PGEH, así como aquellos informes de terminación de proyectos que son obligatorios para la aprobación de la etapa II</w:t>
      </w:r>
      <w:r w:rsidRPr="00B0797C">
        <w:rPr>
          <w:rStyle w:val="FootnoteReference"/>
          <w:lang w:val="es-ES"/>
        </w:rPr>
        <w:footnoteReference w:id="9"/>
      </w:r>
      <w:r w:rsidRPr="00B0797C">
        <w:rPr>
          <w:lang w:val="es-ES"/>
        </w:rPr>
        <w:t>.</w:t>
      </w:r>
    </w:p>
    <w:p w14:paraId="406E7EF7" w14:textId="77777777" w:rsidR="00B0797C" w:rsidRPr="00B0797C" w:rsidRDefault="00B0797C" w:rsidP="00A62975">
      <w:pPr>
        <w:pStyle w:val="Heading1"/>
        <w:numPr>
          <w:ilvl w:val="0"/>
          <w:numId w:val="0"/>
        </w:numPr>
        <w:tabs>
          <w:tab w:val="num" w:pos="720"/>
        </w:tabs>
        <w:rPr>
          <w:b/>
          <w:lang w:val="es-ES"/>
        </w:rPr>
      </w:pPr>
      <w:r w:rsidRPr="00B0797C">
        <w:rPr>
          <w:b/>
          <w:lang w:val="es-ES"/>
        </w:rPr>
        <w:t>RECOMENDACIÓN</w:t>
      </w:r>
    </w:p>
    <w:p w14:paraId="6A09A30B" w14:textId="77777777" w:rsidR="00B0797C" w:rsidRPr="00B0797C" w:rsidRDefault="00B0797C" w:rsidP="00A62975">
      <w:pPr>
        <w:pStyle w:val="Heading1"/>
        <w:numPr>
          <w:ilvl w:val="0"/>
          <w:numId w:val="21"/>
        </w:numPr>
        <w:tabs>
          <w:tab w:val="clear" w:pos="0"/>
          <w:tab w:val="num" w:pos="720"/>
        </w:tabs>
        <w:rPr>
          <w:lang w:val="es-ES"/>
        </w:rPr>
      </w:pPr>
      <w:r w:rsidRPr="00B0797C">
        <w:rPr>
          <w:lang w:val="es-ES"/>
        </w:rPr>
        <w:t xml:space="preserve">El Comité Ejecutivo tal vez desee: </w:t>
      </w:r>
    </w:p>
    <w:p w14:paraId="0EC0CA9F" w14:textId="77777777" w:rsidR="00B0797C" w:rsidRPr="00B0797C" w:rsidRDefault="00B0797C" w:rsidP="00A62975">
      <w:pPr>
        <w:pStyle w:val="Heading2"/>
        <w:widowControl/>
        <w:numPr>
          <w:ilvl w:val="1"/>
          <w:numId w:val="21"/>
        </w:numPr>
        <w:tabs>
          <w:tab w:val="clear" w:pos="0"/>
          <w:tab w:val="num" w:pos="-540"/>
        </w:tabs>
        <w:rPr>
          <w:lang w:val="es-ES"/>
        </w:rPr>
      </w:pPr>
      <w:r w:rsidRPr="00B0797C">
        <w:rPr>
          <w:lang w:val="es-ES"/>
        </w:rPr>
        <w:t>Tomar nota del informe refundido de terminación de proyectos de 2020 que figura en el documento UNEP/</w:t>
      </w:r>
      <w:proofErr w:type="spellStart"/>
      <w:r w:rsidRPr="00B0797C">
        <w:rPr>
          <w:lang w:val="es-ES"/>
        </w:rPr>
        <w:t>OzL.Pro</w:t>
      </w:r>
      <w:proofErr w:type="spellEnd"/>
      <w:r w:rsidRPr="00B0797C">
        <w:rPr>
          <w:lang w:val="es-ES"/>
        </w:rPr>
        <w:t>/</w:t>
      </w:r>
      <w:proofErr w:type="spellStart"/>
      <w:r w:rsidRPr="00B0797C">
        <w:rPr>
          <w:lang w:val="es-ES"/>
        </w:rPr>
        <w:t>ExCom</w:t>
      </w:r>
      <w:proofErr w:type="spellEnd"/>
      <w:r w:rsidRPr="00B0797C">
        <w:rPr>
          <w:lang w:val="es-ES"/>
        </w:rPr>
        <w:t xml:space="preserve">/86/22; </w:t>
      </w:r>
    </w:p>
    <w:p w14:paraId="1529DF46" w14:textId="77777777" w:rsidR="00B0797C" w:rsidRPr="00B0797C" w:rsidRDefault="00B0797C" w:rsidP="00A62975">
      <w:pPr>
        <w:pStyle w:val="Heading2"/>
        <w:widowControl/>
        <w:numPr>
          <w:ilvl w:val="1"/>
          <w:numId w:val="21"/>
        </w:numPr>
        <w:tabs>
          <w:tab w:val="clear" w:pos="0"/>
          <w:tab w:val="num" w:pos="-540"/>
        </w:tabs>
        <w:rPr>
          <w:lang w:val="es-ES"/>
        </w:rPr>
      </w:pPr>
      <w:r w:rsidRPr="00B0797C">
        <w:rPr>
          <w:lang w:val="es-ES"/>
        </w:rPr>
        <w:t xml:space="preserve">Instar a los organismos bilaterales y de ejecución a que presenten a la 87ª reunión los informes de terminación de proyecto atrasados correspondientes a los proyectos de acuerdos plurianuales y a los proyectos individuales o que indiquen los motivos para no haberlos presentado; </w:t>
      </w:r>
    </w:p>
    <w:p w14:paraId="02674C09" w14:textId="77777777" w:rsidR="00B0797C" w:rsidRPr="00B0797C" w:rsidRDefault="00B0797C" w:rsidP="00A62975">
      <w:pPr>
        <w:pStyle w:val="Heading2"/>
        <w:widowControl/>
        <w:numPr>
          <w:ilvl w:val="1"/>
          <w:numId w:val="21"/>
        </w:numPr>
        <w:tabs>
          <w:tab w:val="clear" w:pos="0"/>
          <w:tab w:val="num" w:pos="-540"/>
        </w:tabs>
        <w:rPr>
          <w:lang w:val="es-ES"/>
        </w:rPr>
      </w:pPr>
      <w:r w:rsidRPr="00B0797C">
        <w:rPr>
          <w:lang w:val="es-ES"/>
        </w:rPr>
        <w:t>Instar a los organismos de ejecución principales y cooperantes a que coordinen estrechamente su trabajo para concluir su porción de los informes de terminación de proyectos a fin de que el organismo de ejecución principal pueda presentar esos informes puntualmente;</w:t>
      </w:r>
    </w:p>
    <w:p w14:paraId="4FDCB34F" w14:textId="77777777" w:rsidR="00B0797C" w:rsidRPr="00B0797C" w:rsidRDefault="00B0797C" w:rsidP="00A62975">
      <w:pPr>
        <w:pStyle w:val="Heading2"/>
        <w:widowControl/>
        <w:numPr>
          <w:ilvl w:val="1"/>
          <w:numId w:val="21"/>
        </w:numPr>
        <w:tabs>
          <w:tab w:val="clear" w:pos="0"/>
          <w:tab w:val="num" w:pos="-540"/>
        </w:tabs>
        <w:rPr>
          <w:lang w:val="es-ES"/>
        </w:rPr>
      </w:pPr>
      <w:r w:rsidRPr="00B0797C">
        <w:rPr>
          <w:lang w:val="es-ES"/>
        </w:rPr>
        <w:t>Instar a los organismos bilaterales y de ejecución a que den información clara, bien redactada y exhaustiva sobre las experiencias adquiridas al presentar sus informes de terminación de proyectos; e</w:t>
      </w:r>
    </w:p>
    <w:p w14:paraId="60D7C6D3" w14:textId="77777777" w:rsidR="00B0797C" w:rsidRPr="00B0797C" w:rsidRDefault="00B0797C" w:rsidP="00A62975">
      <w:pPr>
        <w:pStyle w:val="Heading2"/>
        <w:widowControl/>
        <w:numPr>
          <w:ilvl w:val="1"/>
          <w:numId w:val="21"/>
        </w:numPr>
        <w:tabs>
          <w:tab w:val="clear" w:pos="0"/>
          <w:tab w:val="num" w:pos="-540"/>
        </w:tabs>
        <w:rPr>
          <w:lang w:val="es-ES"/>
        </w:rPr>
      </w:pPr>
      <w:r w:rsidRPr="00B0797C">
        <w:rPr>
          <w:lang w:val="es-ES"/>
        </w:rPr>
        <w:t>Invitar a todos aquellos que participan en la elaboración y ejecución de proyectos plurianuales e individuales a que tengan en consideración las experiencias expuestas en otros informes de terminación de proyectos, si fueran pertinentes, al elaborar y ejecutar proyectos futuros.</w:t>
      </w:r>
    </w:p>
    <w:p w14:paraId="5174BA86" w14:textId="77777777" w:rsidR="0087455A" w:rsidRPr="00B0797C" w:rsidRDefault="0087455A" w:rsidP="00A62975">
      <w:pPr>
        <w:pStyle w:val="StyleHeader4Para4Left0Firstline0"/>
        <w:widowControl/>
        <w:numPr>
          <w:ilvl w:val="0"/>
          <w:numId w:val="0"/>
        </w:numPr>
        <w:rPr>
          <w:lang w:val="es-ES"/>
        </w:rPr>
      </w:pPr>
    </w:p>
    <w:p w14:paraId="06247E6D" w14:textId="77777777" w:rsidR="0087455A" w:rsidRPr="00B0797C" w:rsidRDefault="0024162E" w:rsidP="00A62975">
      <w:pPr>
        <w:pStyle w:val="StyleHeader4Para4Left0Firstline0"/>
        <w:widowControl/>
        <w:numPr>
          <w:ilvl w:val="0"/>
          <w:numId w:val="0"/>
        </w:numPr>
        <w:rPr>
          <w:lang w:val="es-ES"/>
        </w:rPr>
      </w:pPr>
      <w:r w:rsidRPr="00B0797C">
        <w:rPr>
          <w:lang w:val="es-ES"/>
        </w:rPr>
        <w:br w:type="page"/>
      </w:r>
    </w:p>
    <w:p w14:paraId="4112C39C" w14:textId="77777777" w:rsidR="0087455A" w:rsidRPr="00B0797C" w:rsidRDefault="0087455A" w:rsidP="00A62975">
      <w:pPr>
        <w:rPr>
          <w:lang w:val="es-ES"/>
        </w:rPr>
        <w:sectPr w:rsidR="0087455A" w:rsidRPr="00B0797C">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14:paraId="09D661E9" w14:textId="77777777" w:rsidR="0087455A" w:rsidRPr="00B0797C" w:rsidRDefault="0087455A" w:rsidP="00A62975">
      <w:pPr>
        <w:jc w:val="center"/>
        <w:rPr>
          <w:b/>
          <w:bCs/>
          <w:lang w:val="es-ES"/>
        </w:rPr>
      </w:pPr>
    </w:p>
    <w:sectPr w:rsidR="0087455A" w:rsidRPr="00B0797C">
      <w:headerReference w:type="first" r:id="rId16"/>
      <w:footerReference w:type="first" r:id="rId17"/>
      <w:pgSz w:w="12240" w:h="15840" w:code="1"/>
      <w:pgMar w:top="720" w:right="1440" w:bottom="864" w:left="1440" w:header="720" w:footer="475"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B1E36" w14:textId="77777777" w:rsidR="00A256BE" w:rsidRDefault="00A256BE">
      <w:r>
        <w:separator/>
      </w:r>
    </w:p>
  </w:endnote>
  <w:endnote w:type="continuationSeparator" w:id="0">
    <w:p w14:paraId="3E1D4470" w14:textId="77777777" w:rsidR="00A256BE" w:rsidRDefault="00A2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7C95" w14:textId="70F96C01" w:rsidR="003470DE" w:rsidRDefault="003470DE">
    <w:pPr>
      <w:jc w:val="center"/>
    </w:pPr>
    <w:r>
      <w:fldChar w:fldCharType="begin"/>
    </w:r>
    <w:r>
      <w:instrText xml:space="preserve"> PAGE </w:instrText>
    </w:r>
    <w:r>
      <w:fldChar w:fldCharType="separate"/>
    </w:r>
    <w:r w:rsidR="00E56E6C">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EAB4" w14:textId="19F2D8AB" w:rsidR="003470DE" w:rsidRDefault="003470DE">
    <w:pPr>
      <w:jc w:val="center"/>
    </w:pPr>
    <w:r>
      <w:fldChar w:fldCharType="begin"/>
    </w:r>
    <w:r>
      <w:instrText xml:space="preserve"> PAGE </w:instrText>
    </w:r>
    <w:r>
      <w:fldChar w:fldCharType="separate"/>
    </w:r>
    <w:r w:rsidR="00E56E6C">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A983" w14:textId="77777777" w:rsidR="003470DE" w:rsidRDefault="003470D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7F0FCE0E" w14:textId="1F4FC9BD" w:rsidR="003470DE" w:rsidRDefault="003470DE">
        <w:pPr>
          <w:pStyle w:val="Footer"/>
          <w:jc w:val="center"/>
        </w:pPr>
        <w:r>
          <w:fldChar w:fldCharType="begin"/>
        </w:r>
        <w:r>
          <w:instrText xml:space="preserve"> PAGE   \* MERGEFORMAT </w:instrText>
        </w:r>
        <w:r>
          <w:fldChar w:fldCharType="separate"/>
        </w:r>
        <w:r w:rsidR="00E56E6C">
          <w:rPr>
            <w:noProof/>
          </w:rPr>
          <w:t>1</w:t>
        </w:r>
        <w:r>
          <w:rPr>
            <w:noProof/>
          </w:rPr>
          <w:fldChar w:fldCharType="end"/>
        </w:r>
      </w:p>
    </w:sdtContent>
  </w:sdt>
  <w:p w14:paraId="1C60EB65" w14:textId="77777777" w:rsidR="003470DE" w:rsidRDefault="003470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D8CBD" w14:textId="77777777" w:rsidR="00A256BE" w:rsidRDefault="00A256BE">
      <w:r>
        <w:separator/>
      </w:r>
    </w:p>
  </w:footnote>
  <w:footnote w:type="continuationSeparator" w:id="0">
    <w:p w14:paraId="69F56BBC" w14:textId="77777777" w:rsidR="00A256BE" w:rsidRDefault="00A256BE">
      <w:r>
        <w:continuationSeparator/>
      </w:r>
    </w:p>
  </w:footnote>
  <w:footnote w:id="1">
    <w:p w14:paraId="1FE17083" w14:textId="7434CA68" w:rsidR="003470DE" w:rsidRDefault="003470DE" w:rsidP="00B0797C">
      <w:pPr>
        <w:pStyle w:val="FootnoteText"/>
      </w:pPr>
      <w:r>
        <w:rPr>
          <w:rStyle w:val="FootnoteReference"/>
        </w:rPr>
        <w:footnoteRef/>
      </w:r>
      <w:r>
        <w:t xml:space="preserve"> Debido al coronavirus (COVID-19).</w:t>
      </w:r>
    </w:p>
    <w:p w14:paraId="2845DAD7" w14:textId="77777777" w:rsidR="00E56E6C" w:rsidRPr="006E126D" w:rsidRDefault="00E56E6C" w:rsidP="00B0797C">
      <w:pPr>
        <w:pStyle w:val="FootnoteText"/>
      </w:pPr>
    </w:p>
  </w:footnote>
  <w:footnote w:id="2">
    <w:p w14:paraId="26A60D76" w14:textId="77777777" w:rsidR="003470DE" w:rsidRDefault="003470DE" w:rsidP="00B0797C">
      <w:pPr>
        <w:pStyle w:val="FootnoteText"/>
      </w:pPr>
      <w:r>
        <w:rPr>
          <w:rStyle w:val="FootnoteReference"/>
        </w:rPr>
        <w:footnoteRef/>
      </w:r>
      <w:r>
        <w:t xml:space="preserve"> Las lecciones aprendidas de los informes de terminación de proyectos de los acuerdos plurianuales pueden consultarse en la base de datos respectiva: </w:t>
      </w:r>
      <w:hyperlink r:id="rId1" w:history="1">
        <w:r>
          <w:rPr>
            <w:rStyle w:val="Hyperlink"/>
          </w:rPr>
          <w:t>http://www.multilateralfund.org/myapcr/search.aspx</w:t>
        </w:r>
      </w:hyperlink>
      <w:r>
        <w:t>.</w:t>
      </w:r>
    </w:p>
  </w:footnote>
  <w:footnote w:id="3">
    <w:p w14:paraId="4B5F205D" w14:textId="10D15E5D" w:rsidR="003470DE" w:rsidRPr="003470DE" w:rsidRDefault="003470DE" w:rsidP="00B0797C">
      <w:pPr>
        <w:rPr>
          <w:sz w:val="20"/>
          <w:szCs w:val="20"/>
          <w:lang w:val="es-419"/>
        </w:rPr>
      </w:pPr>
      <w:r>
        <w:rPr>
          <w:rStyle w:val="FootnoteReference"/>
          <w:sz w:val="20"/>
        </w:rPr>
        <w:footnoteRef/>
      </w:r>
      <w:r w:rsidRPr="003470DE">
        <w:rPr>
          <w:sz w:val="20"/>
          <w:lang w:val="es-419"/>
        </w:rPr>
        <w:t xml:space="preserve"> </w:t>
      </w:r>
      <w:r w:rsidRPr="003470DE">
        <w:rPr>
          <w:color w:val="000000"/>
          <w:sz w:val="20"/>
          <w:shd w:val="clear" w:color="auto" w:fill="FFFFFF"/>
          <w:lang w:val="es-419"/>
        </w:rPr>
        <w:t>Las normas mínimas de rendimiento energético requieren un factor de eficiencia energética estacional (SEER) de 4,3.</w:t>
      </w:r>
    </w:p>
  </w:footnote>
  <w:footnote w:id="4">
    <w:p w14:paraId="1B6967FA" w14:textId="77777777" w:rsidR="003470DE" w:rsidRPr="003A471C" w:rsidRDefault="003470DE" w:rsidP="00B0797C">
      <w:pPr>
        <w:pStyle w:val="FootnoteText"/>
      </w:pPr>
      <w:r>
        <w:rPr>
          <w:rStyle w:val="FootnoteReference"/>
        </w:rPr>
        <w:footnoteRef/>
      </w:r>
      <w:r>
        <w:t xml:space="preserve"> </w:t>
      </w:r>
      <w:r>
        <w:rPr>
          <w:snapToGrid w:val="0"/>
        </w:rPr>
        <w:t>Excluidos la preparación de proyectos, los programas de país, los proyectos plurianuales, las actividades relacionadas con las redes y los centros de intercambio de información y los proyectos de fortalecimiento institucional.</w:t>
      </w:r>
    </w:p>
  </w:footnote>
  <w:footnote w:id="5">
    <w:p w14:paraId="35C6B3A5" w14:textId="77777777" w:rsidR="003470DE" w:rsidRDefault="003470DE" w:rsidP="00B0797C">
      <w:pPr>
        <w:pStyle w:val="FootnoteText"/>
      </w:pPr>
      <w:r>
        <w:rPr>
          <w:rStyle w:val="FootnoteReference"/>
        </w:rPr>
        <w:footnoteRef/>
      </w:r>
      <w:r>
        <w:t xml:space="preserve"> Incluidos los informes de terminación de proyectos completados y remitidos por los países siguientes: Australia (25), Austria (1), Dinamarca (1), España (4), Estados Unidos de América (40), Finlandia (5), Israel (2), Polonia (1), República Checa (2), Sudáfrica (1), Suecia (5) y Suiza (3).</w:t>
      </w:r>
    </w:p>
  </w:footnote>
  <w:footnote w:id="6">
    <w:p w14:paraId="22E681E8" w14:textId="77777777" w:rsidR="003470DE" w:rsidRDefault="003470DE" w:rsidP="00B0797C">
      <w:pPr>
        <w:pStyle w:val="FootnoteText"/>
      </w:pPr>
      <w:r>
        <w:rPr>
          <w:rStyle w:val="FootnoteReference"/>
        </w:rPr>
        <w:footnoteRef/>
      </w:r>
      <w:r>
        <w:t xml:space="preserve"> Las lecciones aprendidas de los informes de terminación de proyectos individuales pueden consultarse en la base de datos respectiva: </w:t>
      </w:r>
      <w:hyperlink r:id="rId2" w:history="1">
        <w:r>
          <w:rPr>
            <w:rStyle w:val="Hyperlink"/>
          </w:rPr>
          <w:t>http://www.multilateralfund.org/pcrindividual/search.aspx</w:t>
        </w:r>
      </w:hyperlink>
      <w:r>
        <w:t>.</w:t>
      </w:r>
    </w:p>
  </w:footnote>
  <w:footnote w:id="7">
    <w:p w14:paraId="00126745" w14:textId="77777777" w:rsidR="003470DE" w:rsidRPr="00261887" w:rsidRDefault="003470DE" w:rsidP="00B0797C">
      <w:pPr>
        <w:pStyle w:val="FootnoteText"/>
      </w:pPr>
      <w:r>
        <w:rPr>
          <w:rStyle w:val="FootnoteReference"/>
        </w:rPr>
        <w:footnoteRef/>
      </w:r>
      <w:r>
        <w:t xml:space="preserve"> No obstante, el costo de instalación debido a los requisitos de los equipos de alta presión sigue siendo elevado en algunos países (por ejemplo, la Argentina).</w:t>
      </w:r>
    </w:p>
  </w:footnote>
  <w:footnote w:id="8">
    <w:p w14:paraId="5D106834" w14:textId="77777777" w:rsidR="003470DE" w:rsidRPr="002D07D1" w:rsidRDefault="003470DE" w:rsidP="00B0797C">
      <w:pPr>
        <w:pStyle w:val="FootnoteText"/>
      </w:pPr>
      <w:r>
        <w:rPr>
          <w:rStyle w:val="FootnoteReference"/>
        </w:rPr>
        <w:footnoteRef/>
      </w:r>
      <w:r>
        <w:t xml:space="preserve"> La Oficial Superior de Supervisión y Evaluación destacó nuevamente en la reunión de coordinación interinstitucional (Montreal, 25 a 27 de febrero de 2020) la importancia de presentar todos los informes de terminación de proyectos pendientes, señalando que muchos proyectos se había completado varios años y que debían presentarse informes sobre la marcha de las actividades y financieros de los proyectos hasta que se presentaran los informes de terminación de proyectos, lo que aumentó el volumen de trabajo de los organismos de ejecución y la Secretaría.</w:t>
      </w:r>
    </w:p>
  </w:footnote>
  <w:footnote w:id="9">
    <w:p w14:paraId="597A7E30" w14:textId="77777777" w:rsidR="003470DE" w:rsidRPr="002D07D1" w:rsidRDefault="003470DE" w:rsidP="00B0797C">
      <w:pPr>
        <w:pStyle w:val="FootnoteText"/>
      </w:pPr>
      <w:bookmarkStart w:id="10" w:name="_GoBack"/>
      <w:bookmarkEnd w:id="10"/>
      <w:r>
        <w:rPr>
          <w:rStyle w:val="FootnoteReference"/>
        </w:rPr>
        <w:footnoteRef/>
      </w:r>
      <w:r>
        <w:t xml:space="preserve"> Decisión 81/29.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B894" w14:textId="4DEF598A" w:rsidR="003470DE" w:rsidRDefault="003470DE">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/86/22</w:t>
    </w:r>
    <w:r>
      <w:fldChar w:fldCharType="end"/>
    </w:r>
  </w:p>
  <w:p w14:paraId="1BDED56B" w14:textId="77777777" w:rsidR="003470DE" w:rsidRDefault="003470DE"/>
  <w:p w14:paraId="4EAE2091" w14:textId="77777777" w:rsidR="003470DE" w:rsidRDefault="003470D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160D" w14:textId="00F43BD1" w:rsidR="003470DE" w:rsidRDefault="003470DE">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/86/22</w:t>
    </w:r>
    <w:r>
      <w:fldChar w:fldCharType="end"/>
    </w:r>
  </w:p>
  <w:p w14:paraId="50ADCF0F" w14:textId="77777777" w:rsidR="003470DE" w:rsidRDefault="003470DE"/>
  <w:p w14:paraId="36ED403A" w14:textId="77777777" w:rsidR="003470DE" w:rsidRDefault="003470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D933" w14:textId="19F2B56D" w:rsidR="003470DE" w:rsidRPr="00B0797C" w:rsidRDefault="003470DE">
    <w:pPr>
      <w:jc w:val="right"/>
      <w:rPr>
        <w:lang w:val="es-ES"/>
      </w:rPr>
    </w:pPr>
    <w:r w:rsidRPr="00B0797C">
      <w:rPr>
        <w:lang w:val="es-ES"/>
      </w:rPr>
      <w:fldChar w:fldCharType="begin"/>
    </w:r>
    <w:r w:rsidRPr="00B0797C">
      <w:rPr>
        <w:lang w:val="es-ES"/>
      </w:rPr>
      <w:instrText xml:space="preserve"> DOCPROPERTY "Document number"  \* MERGEFORMAT </w:instrText>
    </w:r>
    <w:r w:rsidRPr="00B0797C">
      <w:rPr>
        <w:lang w:val="es-ES"/>
      </w:rPr>
      <w:fldChar w:fldCharType="separate"/>
    </w:r>
    <w:r w:rsidRPr="00B0797C">
      <w:rPr>
        <w:lang w:val="es-ES"/>
      </w:rPr>
      <w:t>UNEP/</w:t>
    </w:r>
    <w:proofErr w:type="spellStart"/>
    <w:r w:rsidRPr="00B0797C">
      <w:rPr>
        <w:lang w:val="es-ES"/>
      </w:rPr>
      <w:t>OzL.Pro</w:t>
    </w:r>
    <w:proofErr w:type="spellEnd"/>
    <w:r w:rsidRPr="00B0797C">
      <w:rPr>
        <w:lang w:val="es-ES"/>
      </w:rPr>
      <w:t>/</w:t>
    </w:r>
    <w:proofErr w:type="spellStart"/>
    <w:r w:rsidRPr="00B0797C">
      <w:rPr>
        <w:lang w:val="es-ES"/>
      </w:rPr>
      <w:t>ExCom</w:t>
    </w:r>
    <w:proofErr w:type="spellEnd"/>
    <w:r w:rsidRPr="00B0797C">
      <w:rPr>
        <w:lang w:val="es-ES"/>
      </w:rPr>
      <w:t>/86/22</w:t>
    </w:r>
    <w:r w:rsidRPr="00B0797C">
      <w:rPr>
        <w:lang w:val="es-ES"/>
      </w:rPr>
      <w:fldChar w:fldCharType="end"/>
    </w:r>
  </w:p>
  <w:p w14:paraId="57C753F7" w14:textId="77777777" w:rsidR="003470DE" w:rsidRPr="00B0797C" w:rsidRDefault="003470DE">
    <w:pPr>
      <w:rPr>
        <w:lang w:val="es-ES"/>
      </w:rPr>
    </w:pPr>
  </w:p>
  <w:p w14:paraId="14ED0DCA" w14:textId="77777777" w:rsidR="003470DE" w:rsidRPr="00B0797C" w:rsidRDefault="003470DE">
    <w:pPr>
      <w:pStyle w:val="Heade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4C251F8"/>
    <w:multiLevelType w:val="multilevel"/>
    <w:tmpl w:val="77F6B65E"/>
    <w:lvl w:ilvl="0">
      <w:start w:val="1"/>
      <w:numFmt w:val="lowerLetter"/>
      <w:lvlText w:val="(%1)"/>
      <w:lvlJc w:val="left"/>
      <w:pPr>
        <w:tabs>
          <w:tab w:val="num" w:pos="720"/>
        </w:tabs>
        <w:ind w:left="720" w:firstLine="0"/>
      </w:pPr>
    </w:lvl>
    <w:lvl w:ilvl="1">
      <w:start w:val="1"/>
      <w:numFmt w:val="lowerLetter"/>
      <w:pStyle w:val="lisa"/>
      <w:lvlText w:val="(%2)"/>
      <w:lvlJc w:val="left"/>
      <w:pPr>
        <w:tabs>
          <w:tab w:val="num" w:pos="1710"/>
        </w:tabs>
        <w:ind w:left="2430" w:hanging="720"/>
      </w:pPr>
      <w:rPr>
        <w:b/>
        <w:i w:val="0"/>
      </w:rPr>
    </w:lvl>
    <w:lvl w:ilvl="2">
      <w:start w:val="1"/>
      <w:numFmt w:val="lowerRoman"/>
      <w:lvlText w:val="(%3)"/>
      <w:lvlJc w:val="left"/>
      <w:pPr>
        <w:tabs>
          <w:tab w:val="num" w:pos="1440"/>
        </w:tabs>
        <w:ind w:left="3600" w:hanging="720"/>
      </w:pPr>
    </w:lvl>
    <w:lvl w:ilvl="3">
      <w:start w:val="1"/>
      <w:numFmt w:val="lowerLetter"/>
      <w:lvlText w:val="%4)"/>
      <w:lvlJc w:val="left"/>
      <w:pPr>
        <w:tabs>
          <w:tab w:val="num" w:pos="1440"/>
        </w:tabs>
        <w:ind w:left="4306" w:hanging="706"/>
      </w:pPr>
    </w:lvl>
    <w:lvl w:ilvl="4">
      <w:start w:val="1"/>
      <w:numFmt w:val="decimal"/>
      <w:lvlText w:val="(%5)"/>
      <w:lvlJc w:val="left"/>
      <w:pPr>
        <w:tabs>
          <w:tab w:val="num" w:pos="1440"/>
        </w:tabs>
        <w:ind w:left="5011" w:hanging="705"/>
      </w:pPr>
    </w:lvl>
    <w:lvl w:ilvl="5">
      <w:start w:val="1"/>
      <w:numFmt w:val="lowerLetter"/>
      <w:lvlText w:val="(%6)"/>
      <w:lvlJc w:val="left"/>
      <w:pPr>
        <w:tabs>
          <w:tab w:val="num" w:pos="1440"/>
        </w:tabs>
        <w:ind w:left="5731" w:hanging="720"/>
      </w:pPr>
    </w:lvl>
    <w:lvl w:ilvl="6">
      <w:start w:val="1"/>
      <w:numFmt w:val="lowerRoman"/>
      <w:lvlText w:val="(%7)"/>
      <w:lvlJc w:val="left"/>
      <w:pPr>
        <w:tabs>
          <w:tab w:val="num" w:pos="1440"/>
        </w:tabs>
        <w:ind w:left="6437" w:hanging="706"/>
      </w:pPr>
    </w:lvl>
    <w:lvl w:ilvl="7">
      <w:start w:val="1"/>
      <w:numFmt w:val="lowerLetter"/>
      <w:lvlText w:val="(%8)"/>
      <w:lvlJc w:val="left"/>
      <w:pPr>
        <w:tabs>
          <w:tab w:val="num" w:pos="1440"/>
        </w:tabs>
        <w:ind w:left="7142" w:hanging="705"/>
      </w:pPr>
    </w:lvl>
    <w:lvl w:ilvl="8">
      <w:start w:val="1"/>
      <w:numFmt w:val="lowerRoman"/>
      <w:lvlText w:val="(%9)"/>
      <w:lvlJc w:val="left"/>
      <w:pPr>
        <w:tabs>
          <w:tab w:val="num" w:pos="1440"/>
        </w:tabs>
        <w:ind w:left="7848" w:hanging="706"/>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004B8F"/>
    <w:multiLevelType w:val="multilevel"/>
    <w:tmpl w:val="E5487642"/>
    <w:lvl w:ilvl="0">
      <w:start w:val="1"/>
      <w:numFmt w:val="upperRoman"/>
      <w:pStyle w:val="IIntroduction"/>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A"/>
    <w:rsid w:val="00106F6E"/>
    <w:rsid w:val="00114CAA"/>
    <w:rsid w:val="001C2D22"/>
    <w:rsid w:val="001F4047"/>
    <w:rsid w:val="00235D4C"/>
    <w:rsid w:val="0024162E"/>
    <w:rsid w:val="003470DE"/>
    <w:rsid w:val="003863A4"/>
    <w:rsid w:val="003B7115"/>
    <w:rsid w:val="0041694B"/>
    <w:rsid w:val="00442E40"/>
    <w:rsid w:val="00455352"/>
    <w:rsid w:val="00476E28"/>
    <w:rsid w:val="005745E6"/>
    <w:rsid w:val="005A6CB8"/>
    <w:rsid w:val="006915A5"/>
    <w:rsid w:val="006C6E63"/>
    <w:rsid w:val="00831BC5"/>
    <w:rsid w:val="0087455A"/>
    <w:rsid w:val="0092685B"/>
    <w:rsid w:val="00A256BE"/>
    <w:rsid w:val="00A62975"/>
    <w:rsid w:val="00AB56E5"/>
    <w:rsid w:val="00AC4195"/>
    <w:rsid w:val="00B0797C"/>
    <w:rsid w:val="00B83FFA"/>
    <w:rsid w:val="00C14E67"/>
    <w:rsid w:val="00C40E04"/>
    <w:rsid w:val="00DB795B"/>
    <w:rsid w:val="00E17F97"/>
    <w:rsid w:val="00E56E6C"/>
    <w:rsid w:val="00F10CD9"/>
    <w:rsid w:val="00F25F7C"/>
    <w:rsid w:val="00F375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F0120"/>
  <w15:docId w15:val="{B8FFF1D4-E581-4B51-86DC-48E8FAA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iPriority w:val="99"/>
    <w:unhideWhenUsed/>
    <w:rsid w:val="00B0797C"/>
    <w:rPr>
      <w:sz w:val="20"/>
      <w:szCs w:val="20"/>
      <w:lang w:val="es-ES"/>
    </w:rPr>
  </w:style>
  <w:style w:type="character" w:customStyle="1" w:styleId="FootnoteTextChar">
    <w:name w:val="Footnote Text Char"/>
    <w:basedOn w:val="DefaultParagraphFont"/>
    <w:link w:val="FootnoteText"/>
    <w:uiPriority w:val="99"/>
    <w:rsid w:val="00B0797C"/>
    <w:rPr>
      <w:lang w:val="es-ES"/>
    </w:rPr>
  </w:style>
  <w:style w:type="character" w:styleId="FootnoteReference">
    <w:name w:val="footnote reference"/>
    <w:aliases w:val="Footnote text,Footnote Text1,Footnote Text2"/>
    <w:basedOn w:val="DefaultParagraphFont"/>
    <w:uiPriority w:val="99"/>
    <w:unhideWhenUsed/>
    <w:rsid w:val="00B0797C"/>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B0797C"/>
    <w:rPr>
      <w:sz w:val="22"/>
      <w:szCs w:val="22"/>
      <w:lang w:val="en-GB"/>
    </w:rPr>
  </w:style>
  <w:style w:type="paragraph" w:customStyle="1" w:styleId="lisa">
    <w:name w:val="lisa"/>
    <w:basedOn w:val="Normal"/>
    <w:rsid w:val="00B0797C"/>
    <w:pPr>
      <w:widowControl w:val="0"/>
      <w:numPr>
        <w:ilvl w:val="1"/>
        <w:numId w:val="22"/>
      </w:numPr>
      <w:spacing w:after="240"/>
      <w:outlineLvl w:val="1"/>
    </w:pPr>
    <w:rPr>
      <w:b/>
      <w:szCs w:val="24"/>
      <w:lang w:val="es-ES"/>
    </w:rPr>
  </w:style>
  <w:style w:type="character" w:styleId="Hyperlink">
    <w:name w:val="Hyperlink"/>
    <w:basedOn w:val="DefaultParagraphFont"/>
    <w:uiPriority w:val="99"/>
    <w:semiHidden/>
    <w:unhideWhenUsed/>
    <w:rsid w:val="00B0797C"/>
    <w:rPr>
      <w:color w:val="0000FF"/>
      <w:u w:val="single"/>
    </w:rPr>
  </w:style>
  <w:style w:type="paragraph" w:customStyle="1" w:styleId="IIntroduction">
    <w:name w:val="I. Introduction"/>
    <w:basedOn w:val="Normal"/>
    <w:rsid w:val="00B0797C"/>
    <w:pPr>
      <w:numPr>
        <w:numId w:val="23"/>
      </w:numPr>
      <w:spacing w:before="240" w:after="240"/>
    </w:pPr>
    <w:rPr>
      <w:b/>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multilateralfund.org/pcrindividual/search.aspx" TargetMode="External"/><Relationship Id="rId1" Type="http://schemas.openxmlformats.org/officeDocument/2006/relationships/hyperlink" Target="http://www.multilateralfund.org/pcrmya/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e6e1f9e0-8f48-4721-871b-80b3d7694360">UNEP/OzL.Pro/ExCom/86/22</Document_x0020_Number>
    <Posted_x0020_after_x0020_IAP xmlns="4aeb65a0-cd8f-45aa-a04d-ad1384b86dfc">true</Posted_x0020_after_x0020_I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D7EF0B-7C39-40D6-B9C8-707AC3BEA032}"/>
</file>

<file path=customXml/itemProps2.xml><?xml version="1.0" encoding="utf-8"?>
<ds:datastoreItem xmlns:ds="http://schemas.openxmlformats.org/officeDocument/2006/customXml" ds:itemID="{9D453283-6E8A-482A-B292-F6FF563BD47C}"/>
</file>

<file path=customXml/itemProps3.xml><?xml version="1.0" encoding="utf-8"?>
<ds:datastoreItem xmlns:ds="http://schemas.openxmlformats.org/officeDocument/2006/customXml" ds:itemID="{661439F2-C082-400D-A6E3-546A5CF729AE}"/>
</file>

<file path=customXml/itemProps4.xml><?xml version="1.0" encoding="utf-8"?>
<ds:datastoreItem xmlns:ds="http://schemas.openxmlformats.org/officeDocument/2006/customXml" ds:itemID="{8B5893CF-B370-4117-96A6-61E549817447}"/>
</file>

<file path=docProps/app.xml><?xml version="1.0" encoding="utf-8"?>
<Properties xmlns="http://schemas.openxmlformats.org/officeDocument/2006/extended-properties" xmlns:vt="http://schemas.openxmlformats.org/officeDocument/2006/docPropsVTypes">
  <Template>Normal</Template>
  <TotalTime>2</TotalTime>
  <Pages>15</Pages>
  <Words>6772</Words>
  <Characters>38606</Characters>
  <Application>Microsoft Office Word</Application>
  <DocSecurity>0</DocSecurity>
  <Lines>321</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refundido de terminación de proyectos de 2020</vt:lpstr>
      <vt:lpstr>Orden del dia provisional</vt:lpstr>
    </vt:vector>
  </TitlesOfParts>
  <Company>UNMFS</Company>
  <LinksUpToDate>false</LinksUpToDate>
  <CharactersWithSpaces>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refundido de terminación de proyectos de 2020</dc:title>
  <dc:creator>Joel Pare-Julien</dc:creator>
  <cp:lastModifiedBy>HB</cp:lastModifiedBy>
  <cp:revision>3</cp:revision>
  <cp:lastPrinted>2001-05-26T16:40:00Z</cp:lastPrinted>
  <dcterms:created xsi:type="dcterms:W3CDTF">2020-11-09T19:29:00Z</dcterms:created>
  <dcterms:modified xsi:type="dcterms:W3CDTF">2020-11-15T02:15:00Z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UNEP/OzL.Pro/ExCom/86/22</vt:lpwstr>
  </property>
  <property fmtid="{D5CDD505-2E9C-101B-9397-08002B2CF9AE}" pid="3" name="Revision date">
    <vt:lpwstr>10/23/2020</vt:lpwstr>
  </property>
  <property fmtid="{D5CDD505-2E9C-101B-9397-08002B2CF9AE}" pid="4" name="ContentTypeId">
    <vt:lpwstr>0x0101009701D9FFF1782646B282AA80F917E68F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