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870"/>
        <w:gridCol w:w="4140"/>
      </w:tblGrid>
      <w:tr w:rsidR="005A3A16" w:rsidRPr="005A3A16" w14:paraId="5C8D8EF7" w14:textId="77777777" w:rsidTr="002A4419">
        <w:trPr>
          <w:trHeight w:val="720"/>
        </w:trPr>
        <w:tc>
          <w:tcPr>
            <w:tcW w:w="5940" w:type="dxa"/>
            <w:gridSpan w:val="2"/>
            <w:tcBorders>
              <w:bottom w:val="single" w:sz="18" w:space="0" w:color="auto"/>
            </w:tcBorders>
          </w:tcPr>
          <w:p w14:paraId="0C0998F9" w14:textId="746623FF" w:rsidR="00C15867" w:rsidRPr="005A3A16" w:rsidRDefault="002A4419" w:rsidP="002A441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NACIONES</w:t>
            </w:r>
            <w:r w:rsidR="00C15867" w:rsidRPr="005A3A16">
              <w:rPr>
                <w:rFonts w:ascii="Univers" w:hAnsi="Univers"/>
                <w:b/>
                <w:sz w:val="28"/>
                <w:szCs w:val="28"/>
              </w:rPr>
              <w:br/>
            </w:r>
            <w:r>
              <w:rPr>
                <w:rFonts w:ascii="Univers" w:hAnsi="Univers"/>
                <w:b/>
                <w:sz w:val="28"/>
                <w:szCs w:val="28"/>
              </w:rPr>
              <w:t>UNIDAS</w:t>
            </w:r>
          </w:p>
        </w:tc>
        <w:tc>
          <w:tcPr>
            <w:tcW w:w="4140" w:type="dxa"/>
            <w:tcBorders>
              <w:bottom w:val="single" w:sz="18" w:space="0" w:color="auto"/>
            </w:tcBorders>
          </w:tcPr>
          <w:p w14:paraId="673E4FF0" w14:textId="77777777" w:rsidR="00C15867" w:rsidRPr="005A3A16" w:rsidRDefault="00C15867" w:rsidP="00234CC3">
            <w:pPr>
              <w:jc w:val="right"/>
              <w:rPr>
                <w:sz w:val="52"/>
                <w:szCs w:val="52"/>
              </w:rPr>
            </w:pPr>
            <w:r w:rsidRPr="005A3A16">
              <w:rPr>
                <w:rFonts w:ascii="Univers Bold" w:hAnsi="Univers Bold"/>
                <w:b/>
                <w:sz w:val="72"/>
              </w:rPr>
              <w:t>EP</w:t>
            </w:r>
          </w:p>
        </w:tc>
      </w:tr>
      <w:tr w:rsidR="005A3A16" w:rsidRPr="005A3A16" w14:paraId="5A968A51" w14:textId="77777777" w:rsidTr="002A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DB27F55" w14:textId="77777777" w:rsidR="00C15867" w:rsidRPr="005A3A16" w:rsidRDefault="00E52838" w:rsidP="00234CC3">
            <w:pPr>
              <w:spacing w:before="120"/>
            </w:pPr>
            <w:r w:rsidRPr="005A3A16">
              <w:rPr>
                <w:noProof/>
                <w:lang w:val="en-US"/>
              </w:rPr>
              <mc:AlternateContent>
                <mc:Choice Requires="wpg">
                  <w:drawing>
                    <wp:anchor distT="0" distB="0" distL="114300" distR="114300" simplePos="0" relativeHeight="251660288" behindDoc="0" locked="0" layoutInCell="1" allowOverlap="1" wp14:anchorId="462556E2" wp14:editId="218306BA">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270A80A7"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">
                        <v:imagedata r:id="rId10"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">
                        <v:imagedata r:id="rId11" o:title=""/>
                      </v:shape>
                    </v:group>
                  </w:pict>
                </mc:Fallback>
              </mc:AlternateContent>
            </w:r>
          </w:p>
        </w:tc>
        <w:tc>
          <w:tcPr>
            <w:tcW w:w="3870" w:type="dxa"/>
            <w:tcBorders>
              <w:top w:val="nil"/>
              <w:left w:val="nil"/>
              <w:bottom w:val="single" w:sz="36" w:space="0" w:color="auto"/>
              <w:right w:val="nil"/>
            </w:tcBorders>
          </w:tcPr>
          <w:p w14:paraId="5D85EADA" w14:textId="77777777" w:rsidR="00854C21" w:rsidRDefault="00854C21" w:rsidP="002A441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p>
          <w:p w14:paraId="03CBC569" w14:textId="55B00A3F" w:rsidR="00C15867" w:rsidRPr="002A4419" w:rsidRDefault="002A4419" w:rsidP="002A441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2A4419">
              <w:rPr>
                <w:rFonts w:ascii="Univers" w:hAnsi="Univers"/>
                <w:b/>
                <w:sz w:val="32"/>
                <w:lang w:val="es-ES"/>
              </w:rPr>
              <w:t xml:space="preserve">Programa de las </w:t>
            </w:r>
            <w:r w:rsidR="00C15867" w:rsidRPr="002A4419">
              <w:rPr>
                <w:rFonts w:ascii="Univers" w:hAnsi="Univers"/>
                <w:b/>
                <w:sz w:val="32"/>
                <w:lang w:val="es-ES"/>
              </w:rPr>
              <w:t>Na</w:t>
            </w:r>
            <w:r w:rsidRPr="002A4419">
              <w:rPr>
                <w:rFonts w:ascii="Univers" w:hAnsi="Univers"/>
                <w:b/>
                <w:sz w:val="32"/>
                <w:lang w:val="es-ES"/>
              </w:rPr>
              <w:t>c</w:t>
            </w:r>
            <w:r w:rsidR="00C15867" w:rsidRPr="002A4419">
              <w:rPr>
                <w:rFonts w:ascii="Univers" w:hAnsi="Univers"/>
                <w:b/>
                <w:sz w:val="32"/>
                <w:lang w:val="es-ES"/>
              </w:rPr>
              <w:t>ion</w:t>
            </w:r>
            <w:r w:rsidRPr="002A4419">
              <w:rPr>
                <w:rFonts w:ascii="Univers" w:hAnsi="Univers"/>
                <w:b/>
                <w:sz w:val="32"/>
                <w:lang w:val="es-ES"/>
              </w:rPr>
              <w:t>e</w:t>
            </w:r>
            <w:r w:rsidR="00C15867" w:rsidRPr="002A4419">
              <w:rPr>
                <w:rFonts w:ascii="Univers" w:hAnsi="Univers"/>
                <w:b/>
                <w:sz w:val="32"/>
                <w:lang w:val="es-ES"/>
              </w:rPr>
              <w:t>s</w:t>
            </w:r>
            <w:r>
              <w:rPr>
                <w:rFonts w:ascii="Univers" w:hAnsi="Univers"/>
                <w:b/>
                <w:sz w:val="32"/>
                <w:lang w:val="es-ES"/>
              </w:rPr>
              <w:t xml:space="preserve"> Unidas</w:t>
            </w:r>
          </w:p>
          <w:p w14:paraId="47687BD3" w14:textId="3261D647" w:rsidR="00C15867" w:rsidRPr="002A4419" w:rsidRDefault="002A4419" w:rsidP="002A441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lang w:val="es-ES"/>
              </w:rPr>
            </w:pPr>
            <w:r>
              <w:rPr>
                <w:rFonts w:ascii="Univers" w:hAnsi="Univers"/>
                <w:b/>
                <w:sz w:val="32"/>
                <w:lang w:val="es-ES"/>
              </w:rPr>
              <w:t>para el Medio Ambiente</w:t>
            </w:r>
          </w:p>
        </w:tc>
        <w:tc>
          <w:tcPr>
            <w:tcW w:w="4140" w:type="dxa"/>
            <w:tcBorders>
              <w:top w:val="nil"/>
              <w:left w:val="nil"/>
              <w:bottom w:val="single" w:sz="36" w:space="0" w:color="auto"/>
              <w:right w:val="nil"/>
            </w:tcBorders>
          </w:tcPr>
          <w:p w14:paraId="1FA665A6" w14:textId="77777777" w:rsidR="00854C21" w:rsidRDefault="00854C21" w:rsidP="00234CC3">
            <w:pPr>
              <w:rPr>
                <w:lang w:val="es-AR"/>
              </w:rPr>
            </w:pPr>
          </w:p>
          <w:p w14:paraId="0E63337C" w14:textId="758F9079" w:rsidR="00C15867" w:rsidRPr="00846A22" w:rsidRDefault="00C15867" w:rsidP="00234CC3">
            <w:pPr>
              <w:rPr>
                <w:lang w:val="es-AR"/>
              </w:rPr>
            </w:pPr>
            <w:bookmarkStart w:id="0" w:name="_GoBack"/>
            <w:bookmarkEnd w:id="0"/>
            <w:proofErr w:type="spellStart"/>
            <w:r w:rsidRPr="00846A22">
              <w:rPr>
                <w:lang w:val="es-AR"/>
              </w:rPr>
              <w:t>Distr</w:t>
            </w:r>
            <w:proofErr w:type="spellEnd"/>
            <w:r w:rsidRPr="00846A22">
              <w:rPr>
                <w:lang w:val="es-AR"/>
              </w:rPr>
              <w:t>.</w:t>
            </w:r>
          </w:p>
          <w:p w14:paraId="0EBAC9C2" w14:textId="77777777" w:rsidR="00923540" w:rsidRPr="00846A22" w:rsidRDefault="00923540" w:rsidP="00923540">
            <w:pPr>
              <w:rPr>
                <w:lang w:val="es-AR"/>
              </w:rPr>
            </w:pPr>
            <w:r w:rsidRPr="00846A22">
              <w:rPr>
                <w:lang w:val="es-AR"/>
              </w:rPr>
              <w:t>GENERAL</w:t>
            </w:r>
          </w:p>
          <w:p w14:paraId="2EDAC350" w14:textId="77777777" w:rsidR="00C15867" w:rsidRPr="00846A22" w:rsidRDefault="00C15867" w:rsidP="00234CC3">
            <w:pPr>
              <w:rPr>
                <w:lang w:val="es-AR"/>
              </w:rPr>
            </w:pPr>
          </w:p>
          <w:p w14:paraId="6771D99A" w14:textId="77777777" w:rsidR="00C15867" w:rsidRPr="00846A22" w:rsidRDefault="003E6E29" w:rsidP="00234CC3">
            <w:pPr>
              <w:rPr>
                <w:lang w:val="es-AR"/>
              </w:rPr>
            </w:pPr>
            <w:r>
              <w:fldChar w:fldCharType="begin"/>
            </w:r>
            <w:r w:rsidRPr="00846A22">
              <w:rPr>
                <w:lang w:val="es-AR"/>
              </w:rPr>
              <w:instrText xml:space="preserve"> DOCPROPERTY "Document number"  \* MERGEFORMAT </w:instrText>
            </w:r>
            <w:r>
              <w:fldChar w:fldCharType="separate"/>
            </w:r>
            <w:r w:rsidR="001E18D2" w:rsidRPr="00846A22">
              <w:rPr>
                <w:lang w:val="es-AR"/>
              </w:rPr>
              <w:t>UNEP/</w:t>
            </w:r>
            <w:proofErr w:type="spellStart"/>
            <w:r w:rsidR="001E18D2" w:rsidRPr="00846A22">
              <w:rPr>
                <w:lang w:val="es-AR"/>
              </w:rPr>
              <w:t>OzL.Pro</w:t>
            </w:r>
            <w:proofErr w:type="spellEnd"/>
            <w:r w:rsidR="001E18D2" w:rsidRPr="00846A22">
              <w:rPr>
                <w:lang w:val="es-AR"/>
              </w:rPr>
              <w:t>/</w:t>
            </w:r>
            <w:proofErr w:type="spellStart"/>
            <w:r w:rsidR="001E18D2" w:rsidRPr="00846A22">
              <w:rPr>
                <w:lang w:val="es-AR"/>
              </w:rPr>
              <w:t>ExCom</w:t>
            </w:r>
            <w:proofErr w:type="spellEnd"/>
            <w:r w:rsidR="001E18D2" w:rsidRPr="00846A22">
              <w:rPr>
                <w:lang w:val="es-AR"/>
              </w:rPr>
              <w:t>/86/27</w:t>
            </w:r>
            <w:r>
              <w:fldChar w:fldCharType="end"/>
            </w:r>
          </w:p>
          <w:p w14:paraId="15B5DDB0" w14:textId="358F86B2" w:rsidR="00C15867" w:rsidRPr="00846A22" w:rsidRDefault="005A3A16" w:rsidP="00234CC3">
            <w:pPr>
              <w:rPr>
                <w:lang w:val="es-AR"/>
              </w:rPr>
            </w:pPr>
            <w:r w:rsidRPr="00846A22">
              <w:rPr>
                <w:lang w:val="es-AR"/>
              </w:rPr>
              <w:t xml:space="preserve">16 </w:t>
            </w:r>
            <w:r w:rsidR="002A4419" w:rsidRPr="00846A22">
              <w:rPr>
                <w:lang w:val="es-AR"/>
              </w:rPr>
              <w:t>de febrero de</w:t>
            </w:r>
            <w:r w:rsidRPr="00846A22">
              <w:rPr>
                <w:lang w:val="es-AR"/>
              </w:rPr>
              <w:t xml:space="preserve"> 2021</w:t>
            </w:r>
          </w:p>
          <w:p w14:paraId="7D065C43" w14:textId="77777777" w:rsidR="00C15867" w:rsidRPr="00846A22" w:rsidRDefault="00C15867" w:rsidP="00234CC3">
            <w:pPr>
              <w:rPr>
                <w:caps/>
                <w:lang w:val="es-AR"/>
              </w:rPr>
            </w:pPr>
          </w:p>
          <w:p w14:paraId="780E606F" w14:textId="65655517" w:rsidR="00C15867" w:rsidRPr="005A3A16" w:rsidRDefault="002A4419" w:rsidP="002A4419">
            <w:r>
              <w:t>ESPAÑOL</w:t>
            </w:r>
            <w:r>
              <w:br/>
            </w:r>
            <w:r w:rsidR="00C15867" w:rsidRPr="005A3A16">
              <w:t xml:space="preserve">ORIGINAL: </w:t>
            </w:r>
            <w:r>
              <w:t>INGLÉS</w:t>
            </w:r>
          </w:p>
        </w:tc>
      </w:tr>
    </w:tbl>
    <w:p w14:paraId="5C453957" w14:textId="5D1953FE" w:rsidR="00704CE9" w:rsidRPr="002A4419" w:rsidRDefault="002A4419" w:rsidP="00704CE9">
      <w:pPr>
        <w:jc w:val="left"/>
        <w:rPr>
          <w:lang w:val="es-ES"/>
        </w:rPr>
      </w:pPr>
      <w:r w:rsidRPr="002A4419">
        <w:rPr>
          <w:lang w:val="es-ES"/>
        </w:rPr>
        <w:t xml:space="preserve">COMITÉ EJECUTIVO DEL </w:t>
      </w:r>
      <w:r w:rsidR="00C15867" w:rsidRPr="002A4419">
        <w:rPr>
          <w:lang w:val="es-ES"/>
        </w:rPr>
        <w:br/>
        <w:t xml:space="preserve">  </w:t>
      </w:r>
      <w:r w:rsidRPr="002A4419">
        <w:rPr>
          <w:lang w:val="es-ES"/>
        </w:rPr>
        <w:t>FONDO</w:t>
      </w:r>
      <w:r w:rsidR="00C15867" w:rsidRPr="002A4419">
        <w:rPr>
          <w:lang w:val="es-ES"/>
        </w:rPr>
        <w:t xml:space="preserve"> MULTILATERAL </w:t>
      </w:r>
      <w:r w:rsidRPr="002A4419">
        <w:rPr>
          <w:lang w:val="es-ES"/>
        </w:rPr>
        <w:t xml:space="preserve">PARA LA </w:t>
      </w:r>
      <w:r w:rsidR="00C15867" w:rsidRPr="002A4419">
        <w:rPr>
          <w:lang w:val="es-ES"/>
        </w:rPr>
        <w:br/>
        <w:t xml:space="preserve">  </w:t>
      </w:r>
      <w:r w:rsidRPr="002A4419">
        <w:rPr>
          <w:lang w:val="es-ES"/>
        </w:rPr>
        <w:t xml:space="preserve">APLICACIÓN DEL </w:t>
      </w:r>
      <w:r>
        <w:rPr>
          <w:lang w:val="es-ES"/>
        </w:rPr>
        <w:t>PROTOCOLO DE</w:t>
      </w:r>
      <w:r w:rsidR="00C15867" w:rsidRPr="002A4419">
        <w:rPr>
          <w:lang w:val="es-ES"/>
        </w:rPr>
        <w:t xml:space="preserve"> MONTREAL</w:t>
      </w:r>
      <w:r w:rsidRPr="002A4419">
        <w:rPr>
          <w:lang w:val="es-ES"/>
        </w:rPr>
        <w:t xml:space="preserve"> </w:t>
      </w:r>
      <w:r w:rsidR="00C15867" w:rsidRPr="002A4419">
        <w:rPr>
          <w:lang w:val="es-ES"/>
        </w:rPr>
        <w:br/>
      </w:r>
      <w:r w:rsidR="00AF4584">
        <w:rPr>
          <w:lang w:val="es-ES"/>
        </w:rPr>
        <w:t>Octogésima sexta Reunión</w:t>
      </w:r>
    </w:p>
    <w:p w14:paraId="66B5985E" w14:textId="3537FDC4" w:rsidR="00704CE9" w:rsidRPr="002A4419" w:rsidRDefault="00704CE9" w:rsidP="00704CE9">
      <w:pPr>
        <w:jc w:val="left"/>
        <w:rPr>
          <w:lang w:val="es-ES"/>
        </w:rPr>
      </w:pPr>
      <w:r w:rsidRPr="002A4419">
        <w:rPr>
          <w:lang w:val="es-ES"/>
        </w:rPr>
        <w:t xml:space="preserve">Montreal, 2-6 </w:t>
      </w:r>
      <w:r w:rsidR="002A4419" w:rsidRPr="002A4419">
        <w:rPr>
          <w:lang w:val="es-ES"/>
        </w:rPr>
        <w:t>de noviembre de</w:t>
      </w:r>
      <w:r w:rsidRPr="002A4419">
        <w:rPr>
          <w:lang w:val="es-ES"/>
        </w:rPr>
        <w:t xml:space="preserve"> 2020</w:t>
      </w:r>
    </w:p>
    <w:p w14:paraId="5FA33F37" w14:textId="66B7BA75" w:rsidR="005220ED" w:rsidRPr="002A4419" w:rsidRDefault="005220ED" w:rsidP="005220ED">
      <w:pPr>
        <w:jc w:val="left"/>
        <w:rPr>
          <w:lang w:val="es-ES"/>
        </w:rPr>
      </w:pPr>
      <w:r w:rsidRPr="002A4419">
        <w:rPr>
          <w:lang w:val="es-ES"/>
        </w:rPr>
        <w:t>Pos</w:t>
      </w:r>
      <w:r w:rsidR="002A4419" w:rsidRPr="002A4419">
        <w:rPr>
          <w:lang w:val="es-ES"/>
        </w:rPr>
        <w:t>puesta</w:t>
      </w:r>
      <w:r w:rsidR="00AF4584">
        <w:rPr>
          <w:lang w:val="es-ES"/>
        </w:rPr>
        <w:t>:</w:t>
      </w:r>
      <w:r w:rsidRPr="002A4419">
        <w:rPr>
          <w:lang w:val="es-ES"/>
        </w:rPr>
        <w:t xml:space="preserve"> 8-12 </w:t>
      </w:r>
      <w:r w:rsidR="002A4419">
        <w:rPr>
          <w:lang w:val="es-ES"/>
        </w:rPr>
        <w:t>de marzo de</w:t>
      </w:r>
      <w:r w:rsidRPr="002A4419">
        <w:rPr>
          <w:lang w:val="es-ES"/>
        </w:rPr>
        <w:t xml:space="preserve"> 2021</w:t>
      </w:r>
      <w:r w:rsidR="006E126D" w:rsidRPr="005A3A16">
        <w:rPr>
          <w:rStyle w:val="FootnoteReference"/>
          <w:lang w:val="en-CA"/>
        </w:rPr>
        <w:footnoteReference w:id="1"/>
      </w:r>
    </w:p>
    <w:p w14:paraId="14BCFE7E" w14:textId="77777777" w:rsidR="005220ED" w:rsidRPr="002A4419" w:rsidRDefault="005220ED" w:rsidP="005220ED">
      <w:pPr>
        <w:jc w:val="left"/>
        <w:rPr>
          <w:lang w:val="es-ES"/>
        </w:rPr>
      </w:pPr>
    </w:p>
    <w:p w14:paraId="317BF5A0" w14:textId="77777777" w:rsidR="00857077" w:rsidRPr="002A4419" w:rsidRDefault="00857077" w:rsidP="00704CE9">
      <w:pPr>
        <w:jc w:val="left"/>
        <w:rPr>
          <w:lang w:val="es-ES"/>
        </w:rPr>
      </w:pPr>
    </w:p>
    <w:p w14:paraId="713E837A" w14:textId="77777777" w:rsidR="00AC65D6" w:rsidRDefault="00AC65D6" w:rsidP="00AB4968">
      <w:pPr>
        <w:pStyle w:val="Title2"/>
        <w:rPr>
          <w:caps w:val="0"/>
          <w:lang w:val="es-ES"/>
        </w:rPr>
      </w:pPr>
    </w:p>
    <w:p w14:paraId="0646E213" w14:textId="77777777" w:rsidR="00AC65D6" w:rsidRDefault="00AC65D6" w:rsidP="00AB4968">
      <w:pPr>
        <w:pStyle w:val="Title2"/>
        <w:rPr>
          <w:caps w:val="0"/>
          <w:lang w:val="es-ES"/>
        </w:rPr>
      </w:pPr>
    </w:p>
    <w:p w14:paraId="16838BA4" w14:textId="3E5CF650" w:rsidR="00AB4968" w:rsidRPr="002A4419" w:rsidRDefault="00E335BB" w:rsidP="00AB4968">
      <w:pPr>
        <w:pStyle w:val="Title2"/>
        <w:rPr>
          <w:caps w:val="0"/>
          <w:lang w:val="es-ES"/>
        </w:rPr>
      </w:pPr>
      <w:r w:rsidRPr="002A4419">
        <w:rPr>
          <w:caps w:val="0"/>
          <w:lang w:val="es-ES"/>
        </w:rPr>
        <w:t>PLAN ADMINISTRATIVO DEL PNUD PARA 2021–2023</w:t>
      </w:r>
    </w:p>
    <w:p w14:paraId="4F90CB4C" w14:textId="77777777" w:rsidR="00AB4968" w:rsidRDefault="00AB4968" w:rsidP="00AB4968">
      <w:pPr>
        <w:jc w:val="center"/>
        <w:rPr>
          <w:b/>
          <w:lang w:val="es-ES"/>
        </w:rPr>
      </w:pPr>
    </w:p>
    <w:p w14:paraId="685BA507" w14:textId="77777777" w:rsidR="00AC65D6" w:rsidRDefault="00AC65D6" w:rsidP="00AB4968">
      <w:pPr>
        <w:jc w:val="center"/>
        <w:rPr>
          <w:b/>
          <w:lang w:val="es-ES"/>
        </w:rPr>
      </w:pPr>
    </w:p>
    <w:p w14:paraId="1ED6EB3E" w14:textId="77777777" w:rsidR="00AC65D6" w:rsidRPr="002A4419" w:rsidRDefault="00AC65D6" w:rsidP="00AB4968">
      <w:pPr>
        <w:jc w:val="center"/>
        <w:rPr>
          <w:b/>
          <w:lang w:val="es-ES"/>
        </w:rPr>
      </w:pPr>
    </w:p>
    <w:p w14:paraId="00D40FB6" w14:textId="2D179963" w:rsidR="00AB4968" w:rsidRPr="002A4419" w:rsidRDefault="002A4419" w:rsidP="008253EA">
      <w:pPr>
        <w:pStyle w:val="Heading1"/>
        <w:rPr>
          <w:lang w:val="es-ES"/>
        </w:rPr>
      </w:pPr>
      <w:r w:rsidRPr="002A4419">
        <w:rPr>
          <w:lang w:val="es-ES"/>
        </w:rPr>
        <w:t>Este documento presenta el plan administrativo del PNUD para 20</w:t>
      </w:r>
      <w:r>
        <w:rPr>
          <w:lang w:val="es-ES"/>
        </w:rPr>
        <w:t>21-2023</w:t>
      </w:r>
      <w:r w:rsidRPr="005A3A16">
        <w:rPr>
          <w:rStyle w:val="FootnoteReference"/>
        </w:rPr>
        <w:footnoteReference w:id="2"/>
      </w:r>
      <w:r w:rsidRPr="002A4419">
        <w:rPr>
          <w:lang w:val="es-ES"/>
        </w:rPr>
        <w:t xml:space="preserve"> e incluye: las actividades previstas para la eliminación gradual de sustancias controladas con arreglo al Protocolo de Montreal (sustancias controladas) durante el período 20</w:t>
      </w:r>
      <w:r>
        <w:rPr>
          <w:lang w:val="es-ES"/>
        </w:rPr>
        <w:t>21</w:t>
      </w:r>
      <w:r w:rsidRPr="002A4419">
        <w:rPr>
          <w:lang w:val="es-ES"/>
        </w:rPr>
        <w:t>-202</w:t>
      </w:r>
      <w:r>
        <w:rPr>
          <w:lang w:val="es-ES"/>
        </w:rPr>
        <w:t>3</w:t>
      </w:r>
      <w:r w:rsidRPr="002A4419">
        <w:rPr>
          <w:lang w:val="es-ES"/>
        </w:rPr>
        <w:t>; los indicadores de desempeño del plan administrativo; y una recomendación para consideración del Comité Ejecutivo. El texto del plan administrativo del PNUD para 20</w:t>
      </w:r>
      <w:r>
        <w:rPr>
          <w:lang w:val="es-ES"/>
        </w:rPr>
        <w:t>21-2023</w:t>
      </w:r>
      <w:r w:rsidRPr="002A4419">
        <w:rPr>
          <w:lang w:val="es-ES"/>
        </w:rPr>
        <w:t xml:space="preserve"> se adjunta al presente documento</w:t>
      </w:r>
      <w:r w:rsidR="00AB4968" w:rsidRPr="002A4419">
        <w:rPr>
          <w:lang w:val="es-ES"/>
        </w:rPr>
        <w:t>.</w:t>
      </w:r>
    </w:p>
    <w:p w14:paraId="626B5836" w14:textId="7B8EFFEC" w:rsidR="00E763AC" w:rsidRPr="00AC65D6" w:rsidRDefault="00AC65D6" w:rsidP="00E763AC">
      <w:pPr>
        <w:rPr>
          <w:b/>
          <w:lang w:val="es-ES"/>
        </w:rPr>
      </w:pPr>
      <w:r w:rsidRPr="00AC65D6">
        <w:rPr>
          <w:b/>
          <w:lang w:val="es-ES"/>
        </w:rPr>
        <w:t xml:space="preserve">Actividades planificadas durante el período </w:t>
      </w:r>
      <w:r w:rsidR="00E763AC" w:rsidRPr="00AC65D6">
        <w:rPr>
          <w:b/>
          <w:lang w:val="es-ES"/>
        </w:rPr>
        <w:t xml:space="preserve">2021–2023 </w:t>
      </w:r>
    </w:p>
    <w:p w14:paraId="4B23F811" w14:textId="77777777" w:rsidR="00AB4968" w:rsidRPr="00AC65D6" w:rsidRDefault="00AB4968" w:rsidP="00AB4968">
      <w:pPr>
        <w:rPr>
          <w:lang w:val="es-ES"/>
        </w:rPr>
      </w:pPr>
    </w:p>
    <w:p w14:paraId="3DF0916C" w14:textId="5069063F" w:rsidR="00AC65D6" w:rsidRDefault="00AC65D6" w:rsidP="00017F19">
      <w:pPr>
        <w:pStyle w:val="Heading1"/>
        <w:rPr>
          <w:lang w:val="es-ES"/>
        </w:rPr>
      </w:pPr>
      <w:r w:rsidRPr="00AC65D6">
        <w:rPr>
          <w:lang w:val="es-ES"/>
        </w:rPr>
        <w:t>En el cuadro</w:t>
      </w:r>
      <w:r w:rsidR="00AB4968" w:rsidRPr="00AC65D6">
        <w:rPr>
          <w:lang w:val="es-ES"/>
        </w:rPr>
        <w:t xml:space="preserve"> 1 </w:t>
      </w:r>
      <w:r w:rsidRPr="00AC65D6">
        <w:rPr>
          <w:lang w:val="es-ES"/>
        </w:rPr>
        <w:t>se indica, po</w:t>
      </w:r>
      <w:r>
        <w:rPr>
          <w:lang w:val="es-ES"/>
        </w:rPr>
        <w:t>r año, el valor de las activida</w:t>
      </w:r>
      <w:r w:rsidRPr="00AC65D6">
        <w:rPr>
          <w:lang w:val="es-ES"/>
        </w:rPr>
        <w:t xml:space="preserve">des </w:t>
      </w:r>
      <w:r>
        <w:rPr>
          <w:lang w:val="es-ES"/>
        </w:rPr>
        <w:t>incluidas en el plan administrativo del PNUD</w:t>
      </w:r>
      <w:r w:rsidR="00AB4968" w:rsidRPr="00AC65D6">
        <w:rPr>
          <w:lang w:val="es-ES"/>
        </w:rPr>
        <w:t>.</w:t>
      </w:r>
    </w:p>
    <w:p w14:paraId="6C889FD8" w14:textId="68E774CE" w:rsidR="00AB4968" w:rsidRPr="00AC65D6" w:rsidRDefault="00AC65D6" w:rsidP="00AC65D6">
      <w:pPr>
        <w:jc w:val="left"/>
        <w:rPr>
          <w:lang w:val="es-ES"/>
        </w:rPr>
      </w:pPr>
      <w:r>
        <w:rPr>
          <w:lang w:val="es-ES"/>
        </w:rPr>
        <w:br w:type="page"/>
      </w:r>
    </w:p>
    <w:p w14:paraId="5107AFA1" w14:textId="4D7ADE38" w:rsidR="00AB4968" w:rsidRPr="00E335BB" w:rsidRDefault="00AC65D6" w:rsidP="00AB4968">
      <w:pPr>
        <w:pStyle w:val="subhead"/>
        <w:keepNext/>
        <w:jc w:val="both"/>
        <w:rPr>
          <w:b/>
          <w:sz w:val="22"/>
          <w:szCs w:val="22"/>
          <w:lang w:val="es-ES"/>
        </w:rPr>
      </w:pPr>
      <w:r w:rsidRPr="000B7C91">
        <w:rPr>
          <w:b/>
          <w:sz w:val="22"/>
          <w:szCs w:val="22"/>
          <w:lang w:val="es-AR"/>
        </w:rPr>
        <w:lastRenderedPageBreak/>
        <w:t>Cuadro</w:t>
      </w:r>
      <w:r w:rsidR="00AB4968" w:rsidRPr="000B7C91">
        <w:rPr>
          <w:b/>
          <w:sz w:val="22"/>
          <w:szCs w:val="22"/>
          <w:lang w:val="es-AR"/>
        </w:rPr>
        <w:t xml:space="preserve"> 1. </w:t>
      </w:r>
      <w:r w:rsidR="00957F3A" w:rsidRPr="00E335BB">
        <w:rPr>
          <w:b/>
          <w:sz w:val="22"/>
          <w:szCs w:val="22"/>
          <w:lang w:val="es-ES"/>
        </w:rPr>
        <w:t>Asignación de recursos en el plan administrativo del PNUD para</w:t>
      </w:r>
      <w:r w:rsidR="00AB4968" w:rsidRPr="00E335BB">
        <w:rPr>
          <w:b/>
          <w:sz w:val="22"/>
          <w:szCs w:val="22"/>
          <w:lang w:val="es-ES"/>
        </w:rPr>
        <w:t xml:space="preserve"> 2021–2023</w:t>
      </w:r>
      <w:r w:rsidR="00957F3A" w:rsidRPr="00E335BB">
        <w:rPr>
          <w:b/>
          <w:sz w:val="22"/>
          <w:szCs w:val="22"/>
          <w:lang w:val="es-ES"/>
        </w:rPr>
        <w:t>, tal como se presentó</w:t>
      </w:r>
      <w:r w:rsidR="00AB4968" w:rsidRPr="00E335BB">
        <w:rPr>
          <w:b/>
          <w:sz w:val="22"/>
          <w:szCs w:val="22"/>
          <w:lang w:val="es-ES"/>
        </w:rPr>
        <w:t xml:space="preserve"> (</w:t>
      </w:r>
      <w:r w:rsidR="00957F3A" w:rsidRPr="00E335BB">
        <w:rPr>
          <w:b/>
          <w:sz w:val="22"/>
          <w:szCs w:val="22"/>
          <w:lang w:val="es-ES"/>
        </w:rPr>
        <w:t>000 $</w:t>
      </w:r>
      <w:proofErr w:type="gramStart"/>
      <w:r w:rsidR="00957F3A" w:rsidRPr="00E335BB">
        <w:rPr>
          <w:b/>
          <w:sz w:val="22"/>
          <w:szCs w:val="22"/>
          <w:lang w:val="es-ES"/>
        </w:rPr>
        <w:t>EUA</w:t>
      </w:r>
      <w:r w:rsidR="00AB4968" w:rsidRPr="00E335BB">
        <w:rPr>
          <w:b/>
          <w:sz w:val="22"/>
          <w:szCs w:val="22"/>
          <w:lang w:val="es-ES"/>
        </w:rPr>
        <w:t>)*</w:t>
      </w:r>
      <w:proofErr w:type="gramEnd"/>
    </w:p>
    <w:tbl>
      <w:tblPr>
        <w:tblW w:w="9349" w:type="dxa"/>
        <w:tblInd w:w="-5" w:type="dxa"/>
        <w:tblLayout w:type="fixed"/>
        <w:tblLook w:val="04A0" w:firstRow="1" w:lastRow="0" w:firstColumn="1" w:lastColumn="0" w:noHBand="0" w:noVBand="1"/>
      </w:tblPr>
      <w:tblGrid>
        <w:gridCol w:w="3240"/>
        <w:gridCol w:w="1221"/>
        <w:gridCol w:w="1222"/>
        <w:gridCol w:w="1221"/>
        <w:gridCol w:w="1222"/>
        <w:gridCol w:w="1223"/>
      </w:tblGrid>
      <w:tr w:rsidR="005A3A16" w:rsidRPr="005A3A16" w14:paraId="4FEA1BC2" w14:textId="77777777" w:rsidTr="00B928AB">
        <w:trPr>
          <w:trHeight w:val="277"/>
          <w:tblHeader/>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993B3" w14:textId="29FBE264" w:rsidR="005B49B1" w:rsidRPr="005A3A16" w:rsidRDefault="005B49B1" w:rsidP="00957F3A">
            <w:pPr>
              <w:jc w:val="left"/>
              <w:rPr>
                <w:b/>
                <w:bCs/>
                <w:sz w:val="20"/>
                <w:szCs w:val="20"/>
                <w:lang w:val="en-CA" w:eastAsia="en-CA"/>
              </w:rPr>
            </w:pPr>
            <w:r w:rsidRPr="005A3A16">
              <w:rPr>
                <w:b/>
                <w:bCs/>
                <w:sz w:val="20"/>
                <w:szCs w:val="20"/>
                <w:lang w:val="en-CA" w:eastAsia="en-CA"/>
              </w:rPr>
              <w:t>Descrip</w:t>
            </w:r>
            <w:r w:rsidR="00957F3A">
              <w:rPr>
                <w:b/>
                <w:bCs/>
                <w:sz w:val="20"/>
                <w:szCs w:val="20"/>
                <w:lang w:val="en-CA" w:eastAsia="en-CA"/>
              </w:rPr>
              <w:t>ción</w:t>
            </w:r>
            <w:r w:rsidRPr="005A3A16">
              <w:rPr>
                <w:b/>
                <w:bCs/>
                <w:sz w:val="20"/>
                <w:szCs w:val="20"/>
                <w:lang w:val="en-CA" w:eastAsia="en-CA"/>
              </w:rPr>
              <w:t> </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14:paraId="51D3F632" w14:textId="77777777" w:rsidR="005B49B1" w:rsidRPr="005A3A16" w:rsidRDefault="005B49B1" w:rsidP="005B49B1">
            <w:pPr>
              <w:jc w:val="center"/>
              <w:rPr>
                <w:b/>
                <w:bCs/>
                <w:sz w:val="20"/>
                <w:szCs w:val="20"/>
                <w:lang w:val="en-CA" w:eastAsia="en-CA"/>
              </w:rPr>
            </w:pPr>
            <w:r w:rsidRPr="005A3A16">
              <w:rPr>
                <w:b/>
                <w:bCs/>
                <w:sz w:val="20"/>
                <w:szCs w:val="20"/>
                <w:lang w:val="en-CA" w:eastAsia="en-CA"/>
              </w:rPr>
              <w:t>2021</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4B98B088" w14:textId="77777777" w:rsidR="005B49B1" w:rsidRPr="005A3A16" w:rsidRDefault="005B49B1" w:rsidP="005B49B1">
            <w:pPr>
              <w:jc w:val="center"/>
              <w:rPr>
                <w:b/>
                <w:bCs/>
                <w:sz w:val="20"/>
                <w:szCs w:val="20"/>
                <w:lang w:val="en-CA" w:eastAsia="en-CA"/>
              </w:rPr>
            </w:pPr>
            <w:r w:rsidRPr="005A3A16">
              <w:rPr>
                <w:b/>
                <w:bCs/>
                <w:sz w:val="20"/>
                <w:szCs w:val="20"/>
                <w:lang w:val="en-CA" w:eastAsia="en-CA"/>
              </w:rPr>
              <w:t>2022</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14:paraId="3BB93F7A" w14:textId="77777777" w:rsidR="005B49B1" w:rsidRPr="005A3A16" w:rsidRDefault="005B49B1" w:rsidP="005B49B1">
            <w:pPr>
              <w:jc w:val="center"/>
              <w:rPr>
                <w:b/>
                <w:bCs/>
                <w:sz w:val="20"/>
                <w:szCs w:val="20"/>
                <w:lang w:val="en-CA" w:eastAsia="en-CA"/>
              </w:rPr>
            </w:pPr>
            <w:r w:rsidRPr="005A3A16">
              <w:rPr>
                <w:b/>
                <w:bCs/>
                <w:sz w:val="20"/>
                <w:szCs w:val="20"/>
                <w:lang w:val="en-CA" w:eastAsia="en-CA"/>
              </w:rPr>
              <w:t>2023</w:t>
            </w:r>
          </w:p>
        </w:tc>
        <w:tc>
          <w:tcPr>
            <w:tcW w:w="122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CC4FEA4" w14:textId="77777777" w:rsidR="00B2119B" w:rsidRPr="005A3A16" w:rsidRDefault="005B49B1" w:rsidP="005B49B1">
            <w:pPr>
              <w:jc w:val="center"/>
              <w:rPr>
                <w:b/>
                <w:bCs/>
                <w:sz w:val="20"/>
                <w:szCs w:val="20"/>
                <w:lang w:val="en-CA" w:eastAsia="en-CA"/>
              </w:rPr>
            </w:pPr>
            <w:r w:rsidRPr="005A3A16">
              <w:rPr>
                <w:b/>
                <w:bCs/>
                <w:sz w:val="20"/>
                <w:szCs w:val="20"/>
                <w:lang w:val="en-CA" w:eastAsia="en-CA"/>
              </w:rPr>
              <w:t xml:space="preserve">Total </w:t>
            </w:r>
          </w:p>
          <w:p w14:paraId="3C69B2D1" w14:textId="77777777" w:rsidR="005B49B1" w:rsidRPr="005A3A16" w:rsidRDefault="005B49B1" w:rsidP="005B49B1">
            <w:pPr>
              <w:jc w:val="center"/>
              <w:rPr>
                <w:b/>
                <w:bCs/>
                <w:sz w:val="20"/>
                <w:szCs w:val="20"/>
                <w:lang w:val="en-CA" w:eastAsia="en-CA"/>
              </w:rPr>
            </w:pPr>
            <w:r w:rsidRPr="005A3A16">
              <w:rPr>
                <w:b/>
                <w:bCs/>
                <w:sz w:val="20"/>
                <w:szCs w:val="20"/>
                <w:lang w:val="en-CA" w:eastAsia="en-CA"/>
              </w:rPr>
              <w:t>(2021–2023)</w:t>
            </w:r>
          </w:p>
        </w:tc>
        <w:tc>
          <w:tcPr>
            <w:tcW w:w="122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DFDE294" w14:textId="2E90EC24" w:rsidR="005B49B1" w:rsidRPr="005A3A16" w:rsidRDefault="005B49B1" w:rsidP="00957F3A">
            <w:pPr>
              <w:jc w:val="center"/>
              <w:rPr>
                <w:b/>
                <w:bCs/>
                <w:sz w:val="20"/>
                <w:szCs w:val="20"/>
                <w:lang w:val="en-CA" w:eastAsia="en-CA"/>
              </w:rPr>
            </w:pPr>
            <w:r w:rsidRPr="005A3A16">
              <w:rPr>
                <w:b/>
                <w:bCs/>
                <w:sz w:val="20"/>
                <w:szCs w:val="20"/>
                <w:lang w:val="en-CA" w:eastAsia="en-CA"/>
              </w:rPr>
              <w:t xml:space="preserve">Total </w:t>
            </w:r>
            <w:r w:rsidR="00957F3A">
              <w:rPr>
                <w:b/>
                <w:bCs/>
                <w:sz w:val="20"/>
                <w:szCs w:val="20"/>
                <w:lang w:val="en-CA" w:eastAsia="en-CA"/>
              </w:rPr>
              <w:t>después de</w:t>
            </w:r>
            <w:r w:rsidRPr="005A3A16">
              <w:rPr>
                <w:b/>
                <w:bCs/>
                <w:sz w:val="20"/>
                <w:szCs w:val="20"/>
                <w:lang w:val="en-CA" w:eastAsia="en-CA"/>
              </w:rPr>
              <w:t xml:space="preserve"> 2023</w:t>
            </w:r>
          </w:p>
        </w:tc>
      </w:tr>
      <w:tr w:rsidR="005A3A16" w:rsidRPr="00846A22" w14:paraId="6FA91B19" w14:textId="77777777" w:rsidTr="00B928AB">
        <w:trPr>
          <w:trHeight w:val="92"/>
        </w:trPr>
        <w:tc>
          <w:tcPr>
            <w:tcW w:w="9349"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6337D311" w14:textId="4463A513" w:rsidR="005B49B1" w:rsidRPr="00957F3A" w:rsidRDefault="00957F3A" w:rsidP="00957F3A">
            <w:pPr>
              <w:jc w:val="left"/>
              <w:rPr>
                <w:b/>
                <w:bCs/>
                <w:sz w:val="20"/>
                <w:szCs w:val="20"/>
                <w:lang w:val="es-ES" w:eastAsia="en-CA"/>
              </w:rPr>
            </w:pPr>
            <w:r w:rsidRPr="00957F3A">
              <w:rPr>
                <w:b/>
                <w:bCs/>
                <w:sz w:val="20"/>
                <w:szCs w:val="20"/>
                <w:lang w:val="es-ES" w:eastAsia="en-CA"/>
              </w:rPr>
              <w:t xml:space="preserve">Actividades relativas a los </w:t>
            </w:r>
            <w:r w:rsidR="005B49B1" w:rsidRPr="00957F3A">
              <w:rPr>
                <w:b/>
                <w:bCs/>
                <w:sz w:val="20"/>
                <w:szCs w:val="20"/>
                <w:lang w:val="es-ES" w:eastAsia="en-CA"/>
              </w:rPr>
              <w:t>HCFC</w:t>
            </w:r>
          </w:p>
        </w:tc>
      </w:tr>
      <w:tr w:rsidR="005A3A16" w:rsidRPr="005A3A16" w14:paraId="726867FA" w14:textId="77777777" w:rsidTr="00B928AB">
        <w:trPr>
          <w:trHeight w:val="268"/>
        </w:trPr>
        <w:tc>
          <w:tcPr>
            <w:tcW w:w="3240" w:type="dxa"/>
            <w:tcBorders>
              <w:top w:val="nil"/>
              <w:left w:val="single" w:sz="4" w:space="0" w:color="auto"/>
              <w:bottom w:val="single" w:sz="4" w:space="0" w:color="auto"/>
              <w:right w:val="single" w:sz="4" w:space="0" w:color="auto"/>
            </w:tcBorders>
            <w:shd w:val="clear" w:color="auto" w:fill="auto"/>
            <w:noWrap/>
            <w:hideMark/>
          </w:tcPr>
          <w:p w14:paraId="45818BD0" w14:textId="1CB472F6" w:rsidR="005B49B1" w:rsidRPr="003F58CF" w:rsidRDefault="003F58CF" w:rsidP="003F58CF">
            <w:pPr>
              <w:jc w:val="left"/>
              <w:rPr>
                <w:sz w:val="20"/>
                <w:szCs w:val="20"/>
                <w:lang w:val="es-ES" w:eastAsia="en-CA"/>
              </w:rPr>
            </w:pPr>
            <w:r w:rsidRPr="003F58CF">
              <w:rPr>
                <w:sz w:val="20"/>
                <w:szCs w:val="20"/>
                <w:lang w:val="es-ES" w:eastAsia="en-CA"/>
              </w:rPr>
              <w:t xml:space="preserve">Planes de gestión de eliminación de los </w:t>
            </w:r>
            <w:r w:rsidR="005B49B1" w:rsidRPr="003F58CF">
              <w:rPr>
                <w:sz w:val="20"/>
                <w:szCs w:val="20"/>
                <w:lang w:val="es-ES" w:eastAsia="en-CA"/>
              </w:rPr>
              <w:t>HCFC (</w:t>
            </w:r>
            <w:r>
              <w:rPr>
                <w:sz w:val="20"/>
                <w:szCs w:val="20"/>
                <w:lang w:val="es-ES" w:eastAsia="en-CA"/>
              </w:rPr>
              <w:t>PGEH</w:t>
            </w:r>
            <w:r w:rsidR="005B49B1" w:rsidRPr="003F58CF">
              <w:rPr>
                <w:sz w:val="20"/>
                <w:szCs w:val="20"/>
                <w:lang w:val="es-ES" w:eastAsia="en-CA"/>
              </w:rPr>
              <w:t>)</w:t>
            </w:r>
            <w:r>
              <w:rPr>
                <w:sz w:val="20"/>
                <w:szCs w:val="20"/>
                <w:lang w:val="es-ES" w:eastAsia="en-CA"/>
              </w:rPr>
              <w:t xml:space="preserve"> aprobados</w:t>
            </w:r>
          </w:p>
        </w:tc>
        <w:tc>
          <w:tcPr>
            <w:tcW w:w="1221" w:type="dxa"/>
            <w:tcBorders>
              <w:top w:val="nil"/>
              <w:left w:val="nil"/>
              <w:bottom w:val="single" w:sz="4" w:space="0" w:color="auto"/>
              <w:right w:val="single" w:sz="4" w:space="0" w:color="auto"/>
            </w:tcBorders>
            <w:shd w:val="clear" w:color="auto" w:fill="auto"/>
            <w:noWrap/>
            <w:hideMark/>
          </w:tcPr>
          <w:p w14:paraId="15DD7C9D" w14:textId="77C15948" w:rsidR="005B49B1" w:rsidRPr="005A3A16" w:rsidRDefault="005B49B1" w:rsidP="005B49B1">
            <w:pPr>
              <w:jc w:val="right"/>
              <w:rPr>
                <w:sz w:val="20"/>
                <w:szCs w:val="20"/>
                <w:lang w:val="en-CA" w:eastAsia="en-CA"/>
              </w:rPr>
            </w:pPr>
            <w:r w:rsidRPr="005A3A16">
              <w:rPr>
                <w:sz w:val="20"/>
                <w:szCs w:val="20"/>
                <w:lang w:val="en-CA" w:eastAsia="en-CA"/>
              </w:rPr>
              <w:t>23</w:t>
            </w:r>
            <w:r w:rsidR="00AF4584">
              <w:rPr>
                <w:sz w:val="20"/>
                <w:szCs w:val="20"/>
                <w:lang w:val="en-CA" w:eastAsia="en-CA"/>
              </w:rPr>
              <w:t xml:space="preserve"> </w:t>
            </w:r>
            <w:r w:rsidRPr="005A3A16">
              <w:rPr>
                <w:sz w:val="20"/>
                <w:szCs w:val="20"/>
                <w:lang w:val="en-CA" w:eastAsia="en-CA"/>
              </w:rPr>
              <w:t>773</w:t>
            </w:r>
          </w:p>
        </w:tc>
        <w:tc>
          <w:tcPr>
            <w:tcW w:w="1222" w:type="dxa"/>
            <w:tcBorders>
              <w:top w:val="nil"/>
              <w:left w:val="nil"/>
              <w:bottom w:val="single" w:sz="4" w:space="0" w:color="auto"/>
              <w:right w:val="single" w:sz="4" w:space="0" w:color="auto"/>
            </w:tcBorders>
            <w:shd w:val="clear" w:color="auto" w:fill="auto"/>
            <w:noWrap/>
            <w:hideMark/>
          </w:tcPr>
          <w:p w14:paraId="6D02428A" w14:textId="2644C959" w:rsidR="005B49B1" w:rsidRPr="005A3A16" w:rsidRDefault="005B49B1" w:rsidP="005B49B1">
            <w:pPr>
              <w:jc w:val="right"/>
              <w:rPr>
                <w:sz w:val="20"/>
                <w:szCs w:val="20"/>
                <w:lang w:val="en-CA" w:eastAsia="en-CA"/>
              </w:rPr>
            </w:pPr>
            <w:r w:rsidRPr="005A3A16">
              <w:rPr>
                <w:sz w:val="20"/>
                <w:szCs w:val="20"/>
                <w:lang w:val="en-CA" w:eastAsia="en-CA"/>
              </w:rPr>
              <w:t>9</w:t>
            </w:r>
            <w:r w:rsidR="00AF4584">
              <w:rPr>
                <w:sz w:val="20"/>
                <w:szCs w:val="20"/>
                <w:lang w:val="en-CA" w:eastAsia="en-CA"/>
              </w:rPr>
              <w:t xml:space="preserve"> </w:t>
            </w:r>
            <w:r w:rsidRPr="005A3A16">
              <w:rPr>
                <w:sz w:val="20"/>
                <w:szCs w:val="20"/>
                <w:lang w:val="en-CA" w:eastAsia="en-CA"/>
              </w:rPr>
              <w:t>066</w:t>
            </w:r>
          </w:p>
        </w:tc>
        <w:tc>
          <w:tcPr>
            <w:tcW w:w="1221" w:type="dxa"/>
            <w:tcBorders>
              <w:top w:val="nil"/>
              <w:left w:val="nil"/>
              <w:bottom w:val="single" w:sz="4" w:space="0" w:color="auto"/>
              <w:right w:val="single" w:sz="4" w:space="0" w:color="auto"/>
            </w:tcBorders>
            <w:shd w:val="clear" w:color="auto" w:fill="auto"/>
            <w:noWrap/>
            <w:hideMark/>
          </w:tcPr>
          <w:p w14:paraId="0ABF881F" w14:textId="1E4976C2" w:rsidR="005B49B1" w:rsidRPr="005A3A16" w:rsidRDefault="005B49B1" w:rsidP="005B49B1">
            <w:pPr>
              <w:jc w:val="right"/>
              <w:rPr>
                <w:sz w:val="20"/>
                <w:szCs w:val="20"/>
                <w:lang w:val="en-CA" w:eastAsia="en-CA"/>
              </w:rPr>
            </w:pPr>
            <w:r w:rsidRPr="005A3A16">
              <w:rPr>
                <w:sz w:val="20"/>
                <w:szCs w:val="20"/>
                <w:lang w:val="en-CA" w:eastAsia="en-CA"/>
              </w:rPr>
              <w:t>17</w:t>
            </w:r>
            <w:r w:rsidR="00AF4584">
              <w:rPr>
                <w:sz w:val="20"/>
                <w:szCs w:val="20"/>
                <w:lang w:val="en-CA" w:eastAsia="en-CA"/>
              </w:rPr>
              <w:t xml:space="preserve"> </w:t>
            </w:r>
            <w:r w:rsidRPr="005A3A16">
              <w:rPr>
                <w:sz w:val="20"/>
                <w:szCs w:val="20"/>
                <w:lang w:val="en-CA" w:eastAsia="en-CA"/>
              </w:rPr>
              <w:t>420</w:t>
            </w:r>
          </w:p>
        </w:tc>
        <w:tc>
          <w:tcPr>
            <w:tcW w:w="1222" w:type="dxa"/>
            <w:tcBorders>
              <w:top w:val="nil"/>
              <w:left w:val="nil"/>
              <w:bottom w:val="single" w:sz="4" w:space="0" w:color="auto"/>
              <w:right w:val="single" w:sz="4" w:space="0" w:color="auto"/>
            </w:tcBorders>
            <w:shd w:val="clear" w:color="auto" w:fill="auto"/>
            <w:noWrap/>
            <w:hideMark/>
          </w:tcPr>
          <w:p w14:paraId="70D5B499" w14:textId="3DF6D051" w:rsidR="005B49B1" w:rsidRPr="005A3A16" w:rsidRDefault="005B49B1" w:rsidP="005B49B1">
            <w:pPr>
              <w:jc w:val="right"/>
              <w:rPr>
                <w:sz w:val="20"/>
                <w:szCs w:val="20"/>
                <w:lang w:val="en-CA" w:eastAsia="en-CA"/>
              </w:rPr>
            </w:pPr>
            <w:r w:rsidRPr="005A3A16">
              <w:rPr>
                <w:sz w:val="20"/>
                <w:szCs w:val="20"/>
                <w:lang w:val="en-CA" w:eastAsia="en-CA"/>
              </w:rPr>
              <w:t>50</w:t>
            </w:r>
            <w:r w:rsidR="00AF4584">
              <w:rPr>
                <w:sz w:val="20"/>
                <w:szCs w:val="20"/>
                <w:lang w:val="en-CA" w:eastAsia="en-CA"/>
              </w:rPr>
              <w:t xml:space="preserve"> </w:t>
            </w:r>
            <w:r w:rsidRPr="005A3A16">
              <w:rPr>
                <w:sz w:val="20"/>
                <w:szCs w:val="20"/>
                <w:lang w:val="en-CA" w:eastAsia="en-CA"/>
              </w:rPr>
              <w:t>259</w:t>
            </w:r>
          </w:p>
        </w:tc>
        <w:tc>
          <w:tcPr>
            <w:tcW w:w="1222" w:type="dxa"/>
            <w:tcBorders>
              <w:top w:val="nil"/>
              <w:left w:val="nil"/>
              <w:bottom w:val="single" w:sz="4" w:space="0" w:color="auto"/>
              <w:right w:val="single" w:sz="4" w:space="0" w:color="auto"/>
            </w:tcBorders>
            <w:shd w:val="clear" w:color="auto" w:fill="auto"/>
            <w:noWrap/>
            <w:hideMark/>
          </w:tcPr>
          <w:p w14:paraId="517E3948" w14:textId="36B35FA5" w:rsidR="005B49B1" w:rsidRPr="005A3A16" w:rsidRDefault="005B49B1" w:rsidP="005B49B1">
            <w:pPr>
              <w:jc w:val="right"/>
              <w:rPr>
                <w:sz w:val="20"/>
                <w:szCs w:val="20"/>
                <w:lang w:val="en-CA" w:eastAsia="en-CA"/>
              </w:rPr>
            </w:pPr>
            <w:r w:rsidRPr="005A3A16">
              <w:rPr>
                <w:sz w:val="20"/>
                <w:szCs w:val="20"/>
                <w:lang w:val="en-CA" w:eastAsia="en-CA"/>
              </w:rPr>
              <w:t>22</w:t>
            </w:r>
            <w:r w:rsidR="00AF4584">
              <w:rPr>
                <w:sz w:val="20"/>
                <w:szCs w:val="20"/>
                <w:lang w:val="en-CA" w:eastAsia="en-CA"/>
              </w:rPr>
              <w:t xml:space="preserve"> </w:t>
            </w:r>
            <w:r w:rsidRPr="005A3A16">
              <w:rPr>
                <w:sz w:val="20"/>
                <w:szCs w:val="20"/>
                <w:lang w:val="en-CA" w:eastAsia="en-CA"/>
              </w:rPr>
              <w:t>371</w:t>
            </w:r>
          </w:p>
        </w:tc>
      </w:tr>
      <w:tr w:rsidR="005A3A16" w:rsidRPr="005A3A16" w14:paraId="69C833A5" w14:textId="77777777" w:rsidTr="00B928AB">
        <w:trPr>
          <w:trHeight w:val="232"/>
        </w:trPr>
        <w:tc>
          <w:tcPr>
            <w:tcW w:w="3240" w:type="dxa"/>
            <w:tcBorders>
              <w:top w:val="nil"/>
              <w:left w:val="single" w:sz="4" w:space="0" w:color="auto"/>
              <w:bottom w:val="single" w:sz="4" w:space="0" w:color="auto"/>
              <w:right w:val="single" w:sz="4" w:space="0" w:color="auto"/>
            </w:tcBorders>
            <w:shd w:val="clear" w:color="auto" w:fill="auto"/>
            <w:noWrap/>
            <w:hideMark/>
          </w:tcPr>
          <w:p w14:paraId="2A69E672" w14:textId="16B73D78" w:rsidR="005B49B1" w:rsidRPr="00D11899" w:rsidRDefault="00D11899" w:rsidP="005B49B1">
            <w:pPr>
              <w:jc w:val="left"/>
              <w:rPr>
                <w:sz w:val="20"/>
                <w:szCs w:val="20"/>
                <w:lang w:val="es-ES" w:eastAsia="en-CA"/>
              </w:rPr>
            </w:pPr>
            <w:r w:rsidRPr="00D11899">
              <w:rPr>
                <w:sz w:val="20"/>
                <w:szCs w:val="20"/>
                <w:lang w:val="es-ES"/>
              </w:rPr>
              <w:t>Etapa II - Preparación de proyectos de producción de HCFC</w:t>
            </w:r>
          </w:p>
        </w:tc>
        <w:tc>
          <w:tcPr>
            <w:tcW w:w="1221" w:type="dxa"/>
            <w:tcBorders>
              <w:top w:val="nil"/>
              <w:left w:val="nil"/>
              <w:bottom w:val="single" w:sz="4" w:space="0" w:color="auto"/>
              <w:right w:val="single" w:sz="4" w:space="0" w:color="auto"/>
            </w:tcBorders>
            <w:shd w:val="clear" w:color="auto" w:fill="auto"/>
            <w:noWrap/>
            <w:hideMark/>
          </w:tcPr>
          <w:p w14:paraId="3BBA6A5F" w14:textId="77777777" w:rsidR="005B49B1" w:rsidRPr="005A3A16" w:rsidRDefault="005B49B1" w:rsidP="005B49B1">
            <w:pPr>
              <w:jc w:val="right"/>
              <w:rPr>
                <w:sz w:val="20"/>
                <w:szCs w:val="20"/>
                <w:lang w:val="en-CA" w:eastAsia="en-CA"/>
              </w:rPr>
            </w:pPr>
            <w:r w:rsidRPr="005A3A16">
              <w:rPr>
                <w:sz w:val="20"/>
                <w:szCs w:val="20"/>
                <w:lang w:val="en-CA" w:eastAsia="en-CA"/>
              </w:rPr>
              <w:t>10</w:t>
            </w:r>
          </w:p>
        </w:tc>
        <w:tc>
          <w:tcPr>
            <w:tcW w:w="1222" w:type="dxa"/>
            <w:tcBorders>
              <w:top w:val="nil"/>
              <w:left w:val="nil"/>
              <w:bottom w:val="single" w:sz="4" w:space="0" w:color="auto"/>
              <w:right w:val="single" w:sz="4" w:space="0" w:color="auto"/>
            </w:tcBorders>
            <w:shd w:val="clear" w:color="auto" w:fill="auto"/>
            <w:noWrap/>
            <w:hideMark/>
          </w:tcPr>
          <w:p w14:paraId="798F98DF" w14:textId="77777777" w:rsidR="005B49B1" w:rsidRPr="005A3A16" w:rsidRDefault="005B49B1" w:rsidP="005B49B1">
            <w:pPr>
              <w:jc w:val="right"/>
              <w:rPr>
                <w:sz w:val="20"/>
                <w:szCs w:val="20"/>
                <w:lang w:val="en-CA" w:eastAsia="en-CA"/>
              </w:rPr>
            </w:pPr>
            <w:r w:rsidRPr="005A3A16">
              <w:rPr>
                <w:sz w:val="20"/>
                <w:szCs w:val="20"/>
                <w:lang w:val="en-CA" w:eastAsia="en-CA"/>
              </w:rPr>
              <w:t>0</w:t>
            </w:r>
          </w:p>
        </w:tc>
        <w:tc>
          <w:tcPr>
            <w:tcW w:w="1221" w:type="dxa"/>
            <w:tcBorders>
              <w:top w:val="nil"/>
              <w:left w:val="nil"/>
              <w:bottom w:val="single" w:sz="4" w:space="0" w:color="auto"/>
              <w:right w:val="single" w:sz="4" w:space="0" w:color="auto"/>
            </w:tcBorders>
            <w:shd w:val="clear" w:color="auto" w:fill="auto"/>
            <w:noWrap/>
            <w:hideMark/>
          </w:tcPr>
          <w:p w14:paraId="14E8A577" w14:textId="77777777" w:rsidR="005B49B1" w:rsidRPr="005A3A16" w:rsidRDefault="005B49B1" w:rsidP="005B49B1">
            <w:pPr>
              <w:jc w:val="right"/>
              <w:rPr>
                <w:sz w:val="20"/>
                <w:szCs w:val="20"/>
                <w:lang w:val="en-CA" w:eastAsia="en-CA"/>
              </w:rPr>
            </w:pPr>
            <w:r w:rsidRPr="005A3A16">
              <w:rPr>
                <w:sz w:val="20"/>
                <w:szCs w:val="20"/>
                <w:lang w:val="en-CA" w:eastAsia="en-CA"/>
              </w:rPr>
              <w:t>0</w:t>
            </w:r>
          </w:p>
        </w:tc>
        <w:tc>
          <w:tcPr>
            <w:tcW w:w="1222" w:type="dxa"/>
            <w:tcBorders>
              <w:top w:val="nil"/>
              <w:left w:val="nil"/>
              <w:bottom w:val="single" w:sz="4" w:space="0" w:color="auto"/>
              <w:right w:val="single" w:sz="4" w:space="0" w:color="auto"/>
            </w:tcBorders>
            <w:shd w:val="clear" w:color="auto" w:fill="auto"/>
            <w:noWrap/>
            <w:hideMark/>
          </w:tcPr>
          <w:p w14:paraId="3C2082D9" w14:textId="77777777" w:rsidR="005B49B1" w:rsidRPr="005A3A16" w:rsidRDefault="005B49B1" w:rsidP="005B49B1">
            <w:pPr>
              <w:jc w:val="right"/>
              <w:rPr>
                <w:sz w:val="20"/>
                <w:szCs w:val="20"/>
                <w:lang w:val="en-CA" w:eastAsia="en-CA"/>
              </w:rPr>
            </w:pPr>
            <w:r w:rsidRPr="005A3A16">
              <w:rPr>
                <w:sz w:val="20"/>
                <w:szCs w:val="20"/>
                <w:lang w:val="en-CA" w:eastAsia="en-CA"/>
              </w:rPr>
              <w:t>10</w:t>
            </w:r>
          </w:p>
        </w:tc>
        <w:tc>
          <w:tcPr>
            <w:tcW w:w="1222" w:type="dxa"/>
            <w:tcBorders>
              <w:top w:val="nil"/>
              <w:left w:val="nil"/>
              <w:bottom w:val="single" w:sz="4" w:space="0" w:color="auto"/>
              <w:right w:val="single" w:sz="4" w:space="0" w:color="auto"/>
            </w:tcBorders>
            <w:shd w:val="clear" w:color="auto" w:fill="auto"/>
            <w:noWrap/>
            <w:hideMark/>
          </w:tcPr>
          <w:p w14:paraId="464896A6" w14:textId="77777777" w:rsidR="005B49B1" w:rsidRPr="005A3A16" w:rsidRDefault="005B49B1" w:rsidP="005B49B1">
            <w:pPr>
              <w:jc w:val="right"/>
              <w:rPr>
                <w:sz w:val="20"/>
                <w:szCs w:val="20"/>
                <w:lang w:val="en-CA" w:eastAsia="en-CA"/>
              </w:rPr>
            </w:pPr>
            <w:r w:rsidRPr="005A3A16">
              <w:rPr>
                <w:sz w:val="20"/>
                <w:szCs w:val="20"/>
                <w:lang w:val="en-CA" w:eastAsia="en-CA"/>
              </w:rPr>
              <w:t>0</w:t>
            </w:r>
          </w:p>
        </w:tc>
      </w:tr>
      <w:tr w:rsidR="005A3A16" w:rsidRPr="005A3A16" w14:paraId="3883AC21" w14:textId="77777777" w:rsidTr="00B928AB">
        <w:trPr>
          <w:trHeight w:val="58"/>
        </w:trPr>
        <w:tc>
          <w:tcPr>
            <w:tcW w:w="3240" w:type="dxa"/>
            <w:tcBorders>
              <w:top w:val="nil"/>
              <w:left w:val="single" w:sz="4" w:space="0" w:color="auto"/>
              <w:bottom w:val="single" w:sz="4" w:space="0" w:color="auto"/>
              <w:right w:val="single" w:sz="4" w:space="0" w:color="auto"/>
            </w:tcBorders>
            <w:shd w:val="clear" w:color="auto" w:fill="auto"/>
            <w:noWrap/>
            <w:hideMark/>
          </w:tcPr>
          <w:p w14:paraId="40723CE0" w14:textId="389F8C44" w:rsidR="005B49B1" w:rsidRPr="003F58CF" w:rsidRDefault="00D11899" w:rsidP="00D11899">
            <w:pPr>
              <w:jc w:val="left"/>
              <w:rPr>
                <w:sz w:val="20"/>
                <w:szCs w:val="20"/>
                <w:lang w:val="es-ES" w:eastAsia="en-CA"/>
              </w:rPr>
            </w:pPr>
            <w:r>
              <w:rPr>
                <w:sz w:val="20"/>
                <w:szCs w:val="20"/>
                <w:lang w:val="es-ES" w:eastAsia="en-CA"/>
              </w:rPr>
              <w:t xml:space="preserve">Etapa II del </w:t>
            </w:r>
            <w:r w:rsidR="003F58CF">
              <w:rPr>
                <w:sz w:val="20"/>
                <w:szCs w:val="20"/>
                <w:lang w:val="es-ES" w:eastAsia="en-CA"/>
              </w:rPr>
              <w:t>PGEH</w:t>
            </w:r>
            <w:r w:rsidR="005B49B1" w:rsidRPr="003F58CF">
              <w:rPr>
                <w:sz w:val="20"/>
                <w:szCs w:val="20"/>
                <w:lang w:val="es-ES" w:eastAsia="en-CA"/>
              </w:rPr>
              <w:t xml:space="preserve"> </w:t>
            </w:r>
          </w:p>
        </w:tc>
        <w:tc>
          <w:tcPr>
            <w:tcW w:w="1221" w:type="dxa"/>
            <w:tcBorders>
              <w:top w:val="nil"/>
              <w:left w:val="nil"/>
              <w:bottom w:val="single" w:sz="4" w:space="0" w:color="auto"/>
              <w:right w:val="single" w:sz="4" w:space="0" w:color="auto"/>
            </w:tcBorders>
            <w:shd w:val="clear" w:color="auto" w:fill="auto"/>
            <w:noWrap/>
            <w:hideMark/>
          </w:tcPr>
          <w:p w14:paraId="7996217B" w14:textId="49ECC73D" w:rsidR="005B49B1" w:rsidRPr="005A3A16" w:rsidRDefault="005B49B1" w:rsidP="005B49B1">
            <w:pPr>
              <w:jc w:val="right"/>
              <w:rPr>
                <w:sz w:val="20"/>
                <w:szCs w:val="20"/>
                <w:lang w:val="en-CA" w:eastAsia="en-CA"/>
              </w:rPr>
            </w:pPr>
            <w:r w:rsidRPr="005A3A16">
              <w:rPr>
                <w:sz w:val="20"/>
                <w:szCs w:val="20"/>
                <w:lang w:val="en-CA" w:eastAsia="en-CA"/>
              </w:rPr>
              <w:t>1</w:t>
            </w:r>
            <w:r w:rsidR="00AF4584">
              <w:rPr>
                <w:sz w:val="20"/>
                <w:szCs w:val="20"/>
                <w:lang w:val="en-CA" w:eastAsia="en-CA"/>
              </w:rPr>
              <w:t xml:space="preserve"> </w:t>
            </w:r>
            <w:r w:rsidRPr="005A3A16">
              <w:rPr>
                <w:sz w:val="20"/>
                <w:szCs w:val="20"/>
                <w:lang w:val="en-CA" w:eastAsia="en-CA"/>
              </w:rPr>
              <w:t>161</w:t>
            </w:r>
          </w:p>
        </w:tc>
        <w:tc>
          <w:tcPr>
            <w:tcW w:w="1222" w:type="dxa"/>
            <w:tcBorders>
              <w:top w:val="nil"/>
              <w:left w:val="nil"/>
              <w:bottom w:val="single" w:sz="4" w:space="0" w:color="auto"/>
              <w:right w:val="single" w:sz="4" w:space="0" w:color="auto"/>
            </w:tcBorders>
            <w:shd w:val="clear" w:color="auto" w:fill="auto"/>
            <w:noWrap/>
            <w:hideMark/>
          </w:tcPr>
          <w:p w14:paraId="0F8F7029" w14:textId="77777777" w:rsidR="005B49B1" w:rsidRPr="005A3A16" w:rsidRDefault="005B49B1" w:rsidP="005B49B1">
            <w:pPr>
              <w:jc w:val="right"/>
              <w:rPr>
                <w:sz w:val="20"/>
                <w:szCs w:val="20"/>
                <w:lang w:val="en-CA" w:eastAsia="en-CA"/>
              </w:rPr>
            </w:pPr>
            <w:r w:rsidRPr="005A3A16">
              <w:rPr>
                <w:sz w:val="20"/>
                <w:szCs w:val="20"/>
                <w:lang w:val="en-CA" w:eastAsia="en-CA"/>
              </w:rPr>
              <w:t>204</w:t>
            </w:r>
          </w:p>
        </w:tc>
        <w:tc>
          <w:tcPr>
            <w:tcW w:w="1221" w:type="dxa"/>
            <w:tcBorders>
              <w:top w:val="nil"/>
              <w:left w:val="nil"/>
              <w:bottom w:val="single" w:sz="4" w:space="0" w:color="auto"/>
              <w:right w:val="single" w:sz="4" w:space="0" w:color="auto"/>
            </w:tcBorders>
            <w:shd w:val="clear" w:color="auto" w:fill="auto"/>
            <w:noWrap/>
            <w:hideMark/>
          </w:tcPr>
          <w:p w14:paraId="0CCE8DC5" w14:textId="77777777" w:rsidR="005B49B1" w:rsidRPr="005A3A16" w:rsidRDefault="005B49B1" w:rsidP="005B49B1">
            <w:pPr>
              <w:jc w:val="right"/>
              <w:rPr>
                <w:sz w:val="20"/>
                <w:szCs w:val="20"/>
                <w:lang w:val="en-CA" w:eastAsia="en-CA"/>
              </w:rPr>
            </w:pPr>
            <w:r w:rsidRPr="005A3A16">
              <w:rPr>
                <w:sz w:val="20"/>
                <w:szCs w:val="20"/>
                <w:lang w:val="en-CA" w:eastAsia="en-CA"/>
              </w:rPr>
              <w:t>871</w:t>
            </w:r>
          </w:p>
        </w:tc>
        <w:tc>
          <w:tcPr>
            <w:tcW w:w="1222" w:type="dxa"/>
            <w:tcBorders>
              <w:top w:val="nil"/>
              <w:left w:val="nil"/>
              <w:bottom w:val="single" w:sz="4" w:space="0" w:color="auto"/>
              <w:right w:val="single" w:sz="4" w:space="0" w:color="auto"/>
            </w:tcBorders>
            <w:shd w:val="clear" w:color="auto" w:fill="auto"/>
            <w:noWrap/>
            <w:hideMark/>
          </w:tcPr>
          <w:p w14:paraId="6B216CDF" w14:textId="06A00D0D" w:rsidR="005B49B1" w:rsidRPr="005A3A16" w:rsidRDefault="005B49B1" w:rsidP="005B49B1">
            <w:pPr>
              <w:jc w:val="right"/>
              <w:rPr>
                <w:sz w:val="20"/>
                <w:szCs w:val="20"/>
                <w:lang w:val="en-CA" w:eastAsia="en-CA"/>
              </w:rPr>
            </w:pPr>
            <w:r w:rsidRPr="005A3A16">
              <w:rPr>
                <w:sz w:val="20"/>
                <w:szCs w:val="20"/>
                <w:lang w:val="en-CA" w:eastAsia="en-CA"/>
              </w:rPr>
              <w:t>2</w:t>
            </w:r>
            <w:r w:rsidR="00AF4584">
              <w:rPr>
                <w:sz w:val="20"/>
                <w:szCs w:val="20"/>
                <w:lang w:val="en-CA" w:eastAsia="en-CA"/>
              </w:rPr>
              <w:t xml:space="preserve"> </w:t>
            </w:r>
            <w:r w:rsidRPr="005A3A16">
              <w:rPr>
                <w:sz w:val="20"/>
                <w:szCs w:val="20"/>
                <w:lang w:val="en-CA" w:eastAsia="en-CA"/>
              </w:rPr>
              <w:t>237</w:t>
            </w:r>
          </w:p>
        </w:tc>
        <w:tc>
          <w:tcPr>
            <w:tcW w:w="1222" w:type="dxa"/>
            <w:tcBorders>
              <w:top w:val="nil"/>
              <w:left w:val="nil"/>
              <w:bottom w:val="single" w:sz="4" w:space="0" w:color="auto"/>
              <w:right w:val="single" w:sz="4" w:space="0" w:color="auto"/>
            </w:tcBorders>
            <w:shd w:val="clear" w:color="auto" w:fill="auto"/>
            <w:noWrap/>
            <w:hideMark/>
          </w:tcPr>
          <w:p w14:paraId="7C5A8A97" w14:textId="77777777" w:rsidR="005B49B1" w:rsidRPr="005A3A16" w:rsidRDefault="005B49B1" w:rsidP="005B49B1">
            <w:pPr>
              <w:jc w:val="right"/>
              <w:rPr>
                <w:sz w:val="20"/>
                <w:szCs w:val="20"/>
                <w:lang w:val="en-CA" w:eastAsia="en-CA"/>
              </w:rPr>
            </w:pPr>
            <w:r w:rsidRPr="005A3A16">
              <w:rPr>
                <w:sz w:val="20"/>
                <w:szCs w:val="20"/>
                <w:lang w:val="en-CA" w:eastAsia="en-CA"/>
              </w:rPr>
              <w:t>188</w:t>
            </w:r>
          </w:p>
        </w:tc>
      </w:tr>
      <w:tr w:rsidR="005A3A16" w:rsidRPr="005A3A16" w14:paraId="5A152C86" w14:textId="77777777" w:rsidTr="00B928AB">
        <w:trPr>
          <w:trHeight w:val="85"/>
        </w:trPr>
        <w:tc>
          <w:tcPr>
            <w:tcW w:w="3240" w:type="dxa"/>
            <w:tcBorders>
              <w:top w:val="nil"/>
              <w:left w:val="single" w:sz="4" w:space="0" w:color="auto"/>
              <w:bottom w:val="single" w:sz="4" w:space="0" w:color="auto"/>
              <w:right w:val="single" w:sz="4" w:space="0" w:color="auto"/>
            </w:tcBorders>
            <w:shd w:val="clear" w:color="auto" w:fill="auto"/>
            <w:noWrap/>
            <w:hideMark/>
          </w:tcPr>
          <w:p w14:paraId="2E6F4FC5" w14:textId="6AC2ED14" w:rsidR="005B49B1" w:rsidRPr="00D11899" w:rsidRDefault="00D11899" w:rsidP="005B49B1">
            <w:pPr>
              <w:jc w:val="left"/>
              <w:rPr>
                <w:sz w:val="20"/>
                <w:szCs w:val="20"/>
                <w:lang w:val="es-ES" w:eastAsia="en-CA"/>
              </w:rPr>
            </w:pPr>
            <w:r w:rsidRPr="00D11899">
              <w:rPr>
                <w:sz w:val="20"/>
                <w:szCs w:val="20"/>
                <w:lang w:val="es-ES"/>
              </w:rPr>
              <w:t>Etapa I</w:t>
            </w:r>
            <w:r>
              <w:rPr>
                <w:sz w:val="20"/>
                <w:szCs w:val="20"/>
                <w:lang w:val="es-ES"/>
              </w:rPr>
              <w:t>I</w:t>
            </w:r>
            <w:r w:rsidRPr="00D11899">
              <w:rPr>
                <w:sz w:val="20"/>
                <w:szCs w:val="20"/>
                <w:lang w:val="es-ES"/>
              </w:rPr>
              <w:t>I - Preparación de proyectos de producción de HCFC</w:t>
            </w:r>
          </w:p>
        </w:tc>
        <w:tc>
          <w:tcPr>
            <w:tcW w:w="1221" w:type="dxa"/>
            <w:tcBorders>
              <w:top w:val="nil"/>
              <w:left w:val="nil"/>
              <w:bottom w:val="single" w:sz="4" w:space="0" w:color="auto"/>
              <w:right w:val="single" w:sz="4" w:space="0" w:color="auto"/>
            </w:tcBorders>
            <w:shd w:val="clear" w:color="auto" w:fill="auto"/>
            <w:noWrap/>
            <w:hideMark/>
          </w:tcPr>
          <w:p w14:paraId="7F5413FA" w14:textId="77777777" w:rsidR="005B49B1" w:rsidRPr="005A3A16" w:rsidRDefault="005B49B1" w:rsidP="005B49B1">
            <w:pPr>
              <w:jc w:val="right"/>
              <w:rPr>
                <w:sz w:val="20"/>
                <w:szCs w:val="20"/>
                <w:lang w:val="en-CA" w:eastAsia="en-CA"/>
              </w:rPr>
            </w:pPr>
            <w:r w:rsidRPr="005A3A16">
              <w:rPr>
                <w:sz w:val="20"/>
                <w:szCs w:val="20"/>
                <w:lang w:val="en-CA" w:eastAsia="en-CA"/>
              </w:rPr>
              <w:t>563</w:t>
            </w:r>
          </w:p>
        </w:tc>
        <w:tc>
          <w:tcPr>
            <w:tcW w:w="1222" w:type="dxa"/>
            <w:tcBorders>
              <w:top w:val="nil"/>
              <w:left w:val="nil"/>
              <w:bottom w:val="single" w:sz="4" w:space="0" w:color="auto"/>
              <w:right w:val="single" w:sz="4" w:space="0" w:color="auto"/>
            </w:tcBorders>
            <w:shd w:val="clear" w:color="auto" w:fill="auto"/>
            <w:noWrap/>
            <w:hideMark/>
          </w:tcPr>
          <w:p w14:paraId="578F4EBC" w14:textId="77777777" w:rsidR="005B49B1" w:rsidRPr="005A3A16" w:rsidRDefault="005B49B1" w:rsidP="005B49B1">
            <w:pPr>
              <w:jc w:val="right"/>
              <w:rPr>
                <w:sz w:val="20"/>
                <w:szCs w:val="20"/>
                <w:lang w:val="en-CA" w:eastAsia="en-CA"/>
              </w:rPr>
            </w:pPr>
            <w:r w:rsidRPr="005A3A16">
              <w:rPr>
                <w:sz w:val="20"/>
                <w:szCs w:val="20"/>
                <w:lang w:val="en-CA" w:eastAsia="en-CA"/>
              </w:rPr>
              <w:t>399</w:t>
            </w:r>
          </w:p>
        </w:tc>
        <w:tc>
          <w:tcPr>
            <w:tcW w:w="1221" w:type="dxa"/>
            <w:tcBorders>
              <w:top w:val="nil"/>
              <w:left w:val="nil"/>
              <w:bottom w:val="single" w:sz="4" w:space="0" w:color="auto"/>
              <w:right w:val="single" w:sz="4" w:space="0" w:color="auto"/>
            </w:tcBorders>
            <w:shd w:val="clear" w:color="auto" w:fill="auto"/>
            <w:noWrap/>
            <w:hideMark/>
          </w:tcPr>
          <w:p w14:paraId="2FCC784F" w14:textId="77777777" w:rsidR="005B49B1" w:rsidRPr="005A3A16" w:rsidRDefault="005B49B1" w:rsidP="005B49B1">
            <w:pPr>
              <w:jc w:val="right"/>
              <w:rPr>
                <w:sz w:val="20"/>
                <w:szCs w:val="20"/>
                <w:lang w:val="en-CA" w:eastAsia="en-CA"/>
              </w:rPr>
            </w:pPr>
            <w:r w:rsidRPr="005A3A16">
              <w:rPr>
                <w:sz w:val="20"/>
                <w:szCs w:val="20"/>
                <w:lang w:val="en-CA" w:eastAsia="en-CA"/>
              </w:rPr>
              <w:t>192</w:t>
            </w:r>
          </w:p>
        </w:tc>
        <w:tc>
          <w:tcPr>
            <w:tcW w:w="1222" w:type="dxa"/>
            <w:tcBorders>
              <w:top w:val="nil"/>
              <w:left w:val="nil"/>
              <w:bottom w:val="single" w:sz="4" w:space="0" w:color="auto"/>
              <w:right w:val="single" w:sz="4" w:space="0" w:color="auto"/>
            </w:tcBorders>
            <w:shd w:val="clear" w:color="auto" w:fill="auto"/>
            <w:noWrap/>
            <w:hideMark/>
          </w:tcPr>
          <w:p w14:paraId="52304BC2" w14:textId="29D87586" w:rsidR="005B49B1" w:rsidRPr="005A3A16" w:rsidRDefault="005B49B1" w:rsidP="005B49B1">
            <w:pPr>
              <w:jc w:val="right"/>
              <w:rPr>
                <w:sz w:val="20"/>
                <w:szCs w:val="20"/>
                <w:lang w:val="en-CA" w:eastAsia="en-CA"/>
              </w:rPr>
            </w:pPr>
            <w:r w:rsidRPr="005A3A16">
              <w:rPr>
                <w:sz w:val="20"/>
                <w:szCs w:val="20"/>
                <w:lang w:val="en-CA" w:eastAsia="en-CA"/>
              </w:rPr>
              <w:t>1</w:t>
            </w:r>
            <w:r w:rsidR="00AF4584">
              <w:rPr>
                <w:sz w:val="20"/>
                <w:szCs w:val="20"/>
                <w:lang w:val="en-CA" w:eastAsia="en-CA"/>
              </w:rPr>
              <w:t xml:space="preserve"> </w:t>
            </w:r>
            <w:r w:rsidRPr="005A3A16">
              <w:rPr>
                <w:sz w:val="20"/>
                <w:szCs w:val="20"/>
                <w:lang w:val="en-CA" w:eastAsia="en-CA"/>
              </w:rPr>
              <w:t>155</w:t>
            </w:r>
          </w:p>
        </w:tc>
        <w:tc>
          <w:tcPr>
            <w:tcW w:w="1222" w:type="dxa"/>
            <w:tcBorders>
              <w:top w:val="nil"/>
              <w:left w:val="nil"/>
              <w:bottom w:val="single" w:sz="4" w:space="0" w:color="auto"/>
              <w:right w:val="single" w:sz="4" w:space="0" w:color="auto"/>
            </w:tcBorders>
            <w:shd w:val="clear" w:color="auto" w:fill="auto"/>
            <w:noWrap/>
            <w:hideMark/>
          </w:tcPr>
          <w:p w14:paraId="21D7423F" w14:textId="77777777" w:rsidR="005B49B1" w:rsidRPr="005A3A16" w:rsidRDefault="005B49B1" w:rsidP="005B49B1">
            <w:pPr>
              <w:jc w:val="right"/>
              <w:rPr>
                <w:sz w:val="20"/>
                <w:szCs w:val="20"/>
                <w:lang w:val="en-CA" w:eastAsia="en-CA"/>
              </w:rPr>
            </w:pPr>
            <w:r w:rsidRPr="005A3A16">
              <w:rPr>
                <w:sz w:val="20"/>
                <w:szCs w:val="20"/>
                <w:lang w:val="en-CA" w:eastAsia="en-CA"/>
              </w:rPr>
              <w:t> </w:t>
            </w:r>
          </w:p>
        </w:tc>
      </w:tr>
      <w:tr w:rsidR="005A3A16" w:rsidRPr="005A3A16" w14:paraId="4D5EB73D" w14:textId="77777777" w:rsidTr="00B928AB">
        <w:trPr>
          <w:trHeight w:val="130"/>
        </w:trPr>
        <w:tc>
          <w:tcPr>
            <w:tcW w:w="3240" w:type="dxa"/>
            <w:tcBorders>
              <w:top w:val="nil"/>
              <w:left w:val="single" w:sz="4" w:space="0" w:color="auto"/>
              <w:bottom w:val="single" w:sz="4" w:space="0" w:color="auto"/>
              <w:right w:val="single" w:sz="4" w:space="0" w:color="auto"/>
            </w:tcBorders>
            <w:shd w:val="clear" w:color="auto" w:fill="auto"/>
            <w:noWrap/>
            <w:hideMark/>
          </w:tcPr>
          <w:p w14:paraId="7959EF03" w14:textId="0DFF9DD0" w:rsidR="005B49B1" w:rsidRPr="00D11899" w:rsidRDefault="00D11899" w:rsidP="00D11899">
            <w:pPr>
              <w:jc w:val="left"/>
              <w:rPr>
                <w:sz w:val="20"/>
                <w:szCs w:val="20"/>
                <w:lang w:val="es-ES" w:eastAsia="en-CA"/>
              </w:rPr>
            </w:pPr>
            <w:r w:rsidRPr="00D11899">
              <w:rPr>
                <w:sz w:val="20"/>
                <w:szCs w:val="20"/>
                <w:lang w:val="es-ES" w:eastAsia="en-CA"/>
              </w:rPr>
              <w:t xml:space="preserve">Etapa III del </w:t>
            </w:r>
            <w:r w:rsidR="003F58CF" w:rsidRPr="00D11899">
              <w:rPr>
                <w:sz w:val="20"/>
                <w:szCs w:val="20"/>
                <w:lang w:val="es-ES" w:eastAsia="en-CA"/>
              </w:rPr>
              <w:t>PGEH</w:t>
            </w:r>
          </w:p>
        </w:tc>
        <w:tc>
          <w:tcPr>
            <w:tcW w:w="1221" w:type="dxa"/>
            <w:tcBorders>
              <w:top w:val="nil"/>
              <w:left w:val="nil"/>
              <w:bottom w:val="single" w:sz="4" w:space="0" w:color="auto"/>
              <w:right w:val="single" w:sz="4" w:space="0" w:color="auto"/>
            </w:tcBorders>
            <w:shd w:val="clear" w:color="auto" w:fill="auto"/>
            <w:noWrap/>
            <w:hideMark/>
          </w:tcPr>
          <w:p w14:paraId="0A333A3B" w14:textId="77777777" w:rsidR="005B49B1" w:rsidRPr="005A3A16" w:rsidRDefault="005B49B1" w:rsidP="005B49B1">
            <w:pPr>
              <w:jc w:val="right"/>
              <w:rPr>
                <w:sz w:val="20"/>
                <w:szCs w:val="20"/>
                <w:lang w:val="en-CA" w:eastAsia="en-CA"/>
              </w:rPr>
            </w:pPr>
            <w:r w:rsidRPr="005A3A16">
              <w:rPr>
                <w:sz w:val="20"/>
                <w:szCs w:val="20"/>
                <w:lang w:val="en-CA" w:eastAsia="en-CA"/>
              </w:rPr>
              <w:t>75</w:t>
            </w:r>
          </w:p>
        </w:tc>
        <w:tc>
          <w:tcPr>
            <w:tcW w:w="1222" w:type="dxa"/>
            <w:tcBorders>
              <w:top w:val="nil"/>
              <w:left w:val="nil"/>
              <w:bottom w:val="single" w:sz="4" w:space="0" w:color="auto"/>
              <w:right w:val="single" w:sz="4" w:space="0" w:color="auto"/>
            </w:tcBorders>
            <w:shd w:val="clear" w:color="auto" w:fill="auto"/>
            <w:noWrap/>
            <w:hideMark/>
          </w:tcPr>
          <w:p w14:paraId="6A4DB1E3" w14:textId="4AF45331" w:rsidR="005B49B1" w:rsidRPr="005A3A16" w:rsidRDefault="005B49B1" w:rsidP="005B49B1">
            <w:pPr>
              <w:jc w:val="right"/>
              <w:rPr>
                <w:sz w:val="20"/>
                <w:szCs w:val="20"/>
                <w:lang w:val="en-CA" w:eastAsia="en-CA"/>
              </w:rPr>
            </w:pPr>
            <w:r w:rsidRPr="005A3A16">
              <w:rPr>
                <w:sz w:val="20"/>
                <w:szCs w:val="20"/>
                <w:lang w:val="en-CA" w:eastAsia="en-CA"/>
              </w:rPr>
              <w:t>7</w:t>
            </w:r>
            <w:r w:rsidR="00AF4584">
              <w:rPr>
                <w:sz w:val="20"/>
                <w:szCs w:val="20"/>
                <w:lang w:val="en-CA" w:eastAsia="en-CA"/>
              </w:rPr>
              <w:t xml:space="preserve"> </w:t>
            </w:r>
            <w:r w:rsidRPr="005A3A16">
              <w:rPr>
                <w:sz w:val="20"/>
                <w:szCs w:val="20"/>
                <w:lang w:val="en-CA" w:eastAsia="en-CA"/>
              </w:rPr>
              <w:t>013</w:t>
            </w:r>
          </w:p>
        </w:tc>
        <w:tc>
          <w:tcPr>
            <w:tcW w:w="1221" w:type="dxa"/>
            <w:tcBorders>
              <w:top w:val="nil"/>
              <w:left w:val="nil"/>
              <w:bottom w:val="single" w:sz="4" w:space="0" w:color="auto"/>
              <w:right w:val="single" w:sz="4" w:space="0" w:color="auto"/>
            </w:tcBorders>
            <w:shd w:val="clear" w:color="auto" w:fill="auto"/>
            <w:noWrap/>
            <w:hideMark/>
          </w:tcPr>
          <w:p w14:paraId="41AE441B" w14:textId="175C2E95" w:rsidR="005B49B1" w:rsidRPr="005A3A16" w:rsidRDefault="005B49B1" w:rsidP="005B49B1">
            <w:pPr>
              <w:jc w:val="right"/>
              <w:rPr>
                <w:sz w:val="20"/>
                <w:szCs w:val="20"/>
                <w:lang w:val="en-CA" w:eastAsia="en-CA"/>
              </w:rPr>
            </w:pPr>
            <w:r w:rsidRPr="005A3A16">
              <w:rPr>
                <w:sz w:val="20"/>
                <w:szCs w:val="20"/>
                <w:lang w:val="en-CA" w:eastAsia="en-CA"/>
              </w:rPr>
              <w:t>33</w:t>
            </w:r>
            <w:r w:rsidR="00AF4584">
              <w:rPr>
                <w:sz w:val="20"/>
                <w:szCs w:val="20"/>
                <w:lang w:val="en-CA" w:eastAsia="en-CA"/>
              </w:rPr>
              <w:t xml:space="preserve"> </w:t>
            </w:r>
            <w:r w:rsidRPr="005A3A16">
              <w:rPr>
                <w:sz w:val="20"/>
                <w:szCs w:val="20"/>
                <w:lang w:val="en-CA" w:eastAsia="en-CA"/>
              </w:rPr>
              <w:t>418</w:t>
            </w:r>
          </w:p>
        </w:tc>
        <w:tc>
          <w:tcPr>
            <w:tcW w:w="1222" w:type="dxa"/>
            <w:tcBorders>
              <w:top w:val="nil"/>
              <w:left w:val="nil"/>
              <w:bottom w:val="single" w:sz="4" w:space="0" w:color="auto"/>
              <w:right w:val="single" w:sz="4" w:space="0" w:color="auto"/>
            </w:tcBorders>
            <w:shd w:val="clear" w:color="auto" w:fill="auto"/>
            <w:noWrap/>
            <w:hideMark/>
          </w:tcPr>
          <w:p w14:paraId="55779633" w14:textId="63711BA1" w:rsidR="005B49B1" w:rsidRPr="005A3A16" w:rsidRDefault="005B49B1" w:rsidP="005B49B1">
            <w:pPr>
              <w:jc w:val="right"/>
              <w:rPr>
                <w:sz w:val="20"/>
                <w:szCs w:val="20"/>
                <w:lang w:val="en-CA" w:eastAsia="en-CA"/>
              </w:rPr>
            </w:pPr>
            <w:r w:rsidRPr="005A3A16">
              <w:rPr>
                <w:sz w:val="20"/>
                <w:szCs w:val="20"/>
                <w:lang w:val="en-CA" w:eastAsia="en-CA"/>
              </w:rPr>
              <w:t>40</w:t>
            </w:r>
            <w:r w:rsidR="00AF4584">
              <w:rPr>
                <w:sz w:val="20"/>
                <w:szCs w:val="20"/>
                <w:lang w:val="en-CA" w:eastAsia="en-CA"/>
              </w:rPr>
              <w:t xml:space="preserve"> </w:t>
            </w:r>
            <w:r w:rsidRPr="005A3A16">
              <w:rPr>
                <w:sz w:val="20"/>
                <w:szCs w:val="20"/>
                <w:lang w:val="en-CA" w:eastAsia="en-CA"/>
              </w:rPr>
              <w:t>506</w:t>
            </w:r>
          </w:p>
        </w:tc>
        <w:tc>
          <w:tcPr>
            <w:tcW w:w="1222" w:type="dxa"/>
            <w:tcBorders>
              <w:top w:val="nil"/>
              <w:left w:val="nil"/>
              <w:bottom w:val="single" w:sz="4" w:space="0" w:color="auto"/>
              <w:right w:val="single" w:sz="4" w:space="0" w:color="auto"/>
            </w:tcBorders>
            <w:shd w:val="clear" w:color="auto" w:fill="auto"/>
            <w:noWrap/>
            <w:hideMark/>
          </w:tcPr>
          <w:p w14:paraId="67CA0CEC" w14:textId="33BF6F5F" w:rsidR="005B49B1" w:rsidRPr="005A3A16" w:rsidRDefault="005B49B1" w:rsidP="005B49B1">
            <w:pPr>
              <w:jc w:val="right"/>
              <w:rPr>
                <w:sz w:val="20"/>
                <w:szCs w:val="20"/>
                <w:lang w:val="en-CA" w:eastAsia="en-CA"/>
              </w:rPr>
            </w:pPr>
            <w:r w:rsidRPr="005A3A16">
              <w:rPr>
                <w:sz w:val="20"/>
                <w:szCs w:val="20"/>
                <w:lang w:val="en-CA" w:eastAsia="en-CA"/>
              </w:rPr>
              <w:t>67</w:t>
            </w:r>
            <w:r w:rsidR="00AF4584">
              <w:rPr>
                <w:sz w:val="20"/>
                <w:szCs w:val="20"/>
                <w:lang w:val="en-CA" w:eastAsia="en-CA"/>
              </w:rPr>
              <w:t xml:space="preserve"> </w:t>
            </w:r>
            <w:r w:rsidRPr="005A3A16">
              <w:rPr>
                <w:sz w:val="20"/>
                <w:szCs w:val="20"/>
                <w:lang w:val="en-CA" w:eastAsia="en-CA"/>
              </w:rPr>
              <w:t>883</w:t>
            </w:r>
          </w:p>
        </w:tc>
      </w:tr>
      <w:tr w:rsidR="005A3A16" w:rsidRPr="005A3A16" w14:paraId="47E22CDD" w14:textId="77777777" w:rsidTr="00B928AB">
        <w:trPr>
          <w:trHeight w:val="58"/>
        </w:trPr>
        <w:tc>
          <w:tcPr>
            <w:tcW w:w="3240" w:type="dxa"/>
            <w:tcBorders>
              <w:top w:val="nil"/>
              <w:left w:val="single" w:sz="4" w:space="0" w:color="auto"/>
              <w:bottom w:val="single" w:sz="4" w:space="0" w:color="auto"/>
              <w:right w:val="single" w:sz="4" w:space="0" w:color="auto"/>
            </w:tcBorders>
            <w:shd w:val="clear" w:color="auto" w:fill="auto"/>
            <w:noWrap/>
            <w:hideMark/>
          </w:tcPr>
          <w:p w14:paraId="45A88284" w14:textId="21C3E84B" w:rsidR="005B49B1" w:rsidRPr="00957F3A" w:rsidRDefault="00A76E99" w:rsidP="00957F3A">
            <w:pPr>
              <w:jc w:val="left"/>
              <w:rPr>
                <w:b/>
                <w:bCs/>
                <w:sz w:val="20"/>
                <w:szCs w:val="20"/>
                <w:lang w:val="es-ES" w:eastAsia="en-CA"/>
              </w:rPr>
            </w:pPr>
            <w:r w:rsidRPr="00957F3A">
              <w:rPr>
                <w:b/>
                <w:bCs/>
                <w:sz w:val="20"/>
                <w:szCs w:val="20"/>
                <w:lang w:val="es-ES" w:eastAsia="en-CA"/>
              </w:rPr>
              <w:t xml:space="preserve"> </w:t>
            </w:r>
            <w:r w:rsidR="00957F3A" w:rsidRPr="00957F3A">
              <w:rPr>
                <w:b/>
                <w:bCs/>
                <w:sz w:val="20"/>
                <w:szCs w:val="20"/>
                <w:lang w:val="es-ES" w:eastAsia="en-CA"/>
              </w:rPr>
              <w:t xml:space="preserve">Subtotal para actividades relativas a los </w:t>
            </w:r>
            <w:r w:rsidR="005B49B1" w:rsidRPr="00957F3A">
              <w:rPr>
                <w:b/>
                <w:bCs/>
                <w:sz w:val="20"/>
                <w:szCs w:val="20"/>
                <w:lang w:val="es-ES" w:eastAsia="en-CA"/>
              </w:rPr>
              <w:t xml:space="preserve">HCFC </w:t>
            </w:r>
          </w:p>
        </w:tc>
        <w:tc>
          <w:tcPr>
            <w:tcW w:w="1221" w:type="dxa"/>
            <w:tcBorders>
              <w:top w:val="nil"/>
              <w:left w:val="nil"/>
              <w:bottom w:val="single" w:sz="4" w:space="0" w:color="auto"/>
              <w:right w:val="single" w:sz="4" w:space="0" w:color="auto"/>
            </w:tcBorders>
            <w:shd w:val="clear" w:color="auto" w:fill="auto"/>
            <w:noWrap/>
            <w:hideMark/>
          </w:tcPr>
          <w:p w14:paraId="6CA3D63F" w14:textId="3E658B2A" w:rsidR="005B49B1" w:rsidRPr="005A3A16" w:rsidRDefault="005B49B1" w:rsidP="005B49B1">
            <w:pPr>
              <w:jc w:val="right"/>
              <w:rPr>
                <w:b/>
                <w:bCs/>
                <w:sz w:val="20"/>
                <w:szCs w:val="20"/>
                <w:lang w:val="en-CA" w:eastAsia="en-CA"/>
              </w:rPr>
            </w:pPr>
            <w:r w:rsidRPr="005A3A16">
              <w:rPr>
                <w:b/>
                <w:bCs/>
                <w:sz w:val="20"/>
                <w:szCs w:val="20"/>
                <w:lang w:val="en-CA" w:eastAsia="en-CA"/>
              </w:rPr>
              <w:t>25</w:t>
            </w:r>
            <w:r w:rsidR="00AF4584">
              <w:rPr>
                <w:b/>
                <w:bCs/>
                <w:sz w:val="20"/>
                <w:szCs w:val="20"/>
                <w:lang w:val="en-CA" w:eastAsia="en-CA"/>
              </w:rPr>
              <w:t xml:space="preserve"> </w:t>
            </w:r>
            <w:r w:rsidRPr="005A3A16">
              <w:rPr>
                <w:b/>
                <w:bCs/>
                <w:sz w:val="20"/>
                <w:szCs w:val="20"/>
                <w:lang w:val="en-CA" w:eastAsia="en-CA"/>
              </w:rPr>
              <w:t>582</w:t>
            </w:r>
          </w:p>
        </w:tc>
        <w:tc>
          <w:tcPr>
            <w:tcW w:w="1222" w:type="dxa"/>
            <w:tcBorders>
              <w:top w:val="nil"/>
              <w:left w:val="nil"/>
              <w:bottom w:val="single" w:sz="4" w:space="0" w:color="auto"/>
              <w:right w:val="single" w:sz="4" w:space="0" w:color="auto"/>
            </w:tcBorders>
            <w:shd w:val="clear" w:color="auto" w:fill="auto"/>
            <w:noWrap/>
            <w:hideMark/>
          </w:tcPr>
          <w:p w14:paraId="645F15FC" w14:textId="7171F50C" w:rsidR="005B49B1" w:rsidRPr="005A3A16" w:rsidRDefault="005B49B1" w:rsidP="005B49B1">
            <w:pPr>
              <w:jc w:val="right"/>
              <w:rPr>
                <w:b/>
                <w:bCs/>
                <w:sz w:val="20"/>
                <w:szCs w:val="20"/>
                <w:lang w:val="en-CA" w:eastAsia="en-CA"/>
              </w:rPr>
            </w:pPr>
            <w:r w:rsidRPr="005A3A16">
              <w:rPr>
                <w:b/>
                <w:bCs/>
                <w:sz w:val="20"/>
                <w:szCs w:val="20"/>
                <w:lang w:val="en-CA" w:eastAsia="en-CA"/>
              </w:rPr>
              <w:t>16</w:t>
            </w:r>
            <w:r w:rsidR="00AF4584">
              <w:rPr>
                <w:b/>
                <w:bCs/>
                <w:sz w:val="20"/>
                <w:szCs w:val="20"/>
                <w:lang w:val="en-CA" w:eastAsia="en-CA"/>
              </w:rPr>
              <w:t xml:space="preserve"> </w:t>
            </w:r>
            <w:r w:rsidRPr="005A3A16">
              <w:rPr>
                <w:b/>
                <w:bCs/>
                <w:sz w:val="20"/>
                <w:szCs w:val="20"/>
                <w:lang w:val="en-CA" w:eastAsia="en-CA"/>
              </w:rPr>
              <w:t>682</w:t>
            </w:r>
          </w:p>
        </w:tc>
        <w:tc>
          <w:tcPr>
            <w:tcW w:w="1221" w:type="dxa"/>
            <w:tcBorders>
              <w:top w:val="nil"/>
              <w:left w:val="nil"/>
              <w:bottom w:val="single" w:sz="4" w:space="0" w:color="auto"/>
              <w:right w:val="single" w:sz="4" w:space="0" w:color="auto"/>
            </w:tcBorders>
            <w:shd w:val="clear" w:color="auto" w:fill="auto"/>
            <w:noWrap/>
            <w:hideMark/>
          </w:tcPr>
          <w:p w14:paraId="2EDB625A" w14:textId="1E677E9E" w:rsidR="005B49B1" w:rsidRPr="005A3A16" w:rsidRDefault="005B49B1" w:rsidP="005B49B1">
            <w:pPr>
              <w:jc w:val="right"/>
              <w:rPr>
                <w:b/>
                <w:bCs/>
                <w:sz w:val="20"/>
                <w:szCs w:val="20"/>
                <w:lang w:val="en-CA" w:eastAsia="en-CA"/>
              </w:rPr>
            </w:pPr>
            <w:r w:rsidRPr="005A3A16">
              <w:rPr>
                <w:b/>
                <w:bCs/>
                <w:sz w:val="20"/>
                <w:szCs w:val="20"/>
                <w:lang w:val="en-CA" w:eastAsia="en-CA"/>
              </w:rPr>
              <w:t>51</w:t>
            </w:r>
            <w:r w:rsidR="00AF4584">
              <w:rPr>
                <w:b/>
                <w:bCs/>
                <w:sz w:val="20"/>
                <w:szCs w:val="20"/>
                <w:lang w:val="en-CA" w:eastAsia="en-CA"/>
              </w:rPr>
              <w:t xml:space="preserve"> </w:t>
            </w:r>
            <w:r w:rsidRPr="005A3A16">
              <w:rPr>
                <w:b/>
                <w:bCs/>
                <w:sz w:val="20"/>
                <w:szCs w:val="20"/>
                <w:lang w:val="en-CA" w:eastAsia="en-CA"/>
              </w:rPr>
              <w:t>902</w:t>
            </w:r>
          </w:p>
        </w:tc>
        <w:tc>
          <w:tcPr>
            <w:tcW w:w="1222" w:type="dxa"/>
            <w:tcBorders>
              <w:top w:val="nil"/>
              <w:left w:val="nil"/>
              <w:bottom w:val="single" w:sz="4" w:space="0" w:color="auto"/>
              <w:right w:val="single" w:sz="4" w:space="0" w:color="auto"/>
            </w:tcBorders>
            <w:shd w:val="clear" w:color="auto" w:fill="auto"/>
            <w:noWrap/>
            <w:hideMark/>
          </w:tcPr>
          <w:p w14:paraId="3158EF90" w14:textId="291DB7D4" w:rsidR="005B49B1" w:rsidRPr="005A3A16" w:rsidRDefault="005B49B1" w:rsidP="005B49B1">
            <w:pPr>
              <w:jc w:val="right"/>
              <w:rPr>
                <w:b/>
                <w:bCs/>
                <w:sz w:val="20"/>
                <w:szCs w:val="20"/>
                <w:lang w:val="en-CA" w:eastAsia="en-CA"/>
              </w:rPr>
            </w:pPr>
            <w:r w:rsidRPr="005A3A16">
              <w:rPr>
                <w:b/>
                <w:bCs/>
                <w:sz w:val="20"/>
                <w:szCs w:val="20"/>
                <w:lang w:val="en-CA" w:eastAsia="en-CA"/>
              </w:rPr>
              <w:t>94</w:t>
            </w:r>
            <w:r w:rsidR="00AF4584">
              <w:rPr>
                <w:b/>
                <w:bCs/>
                <w:sz w:val="20"/>
                <w:szCs w:val="20"/>
                <w:lang w:val="en-CA" w:eastAsia="en-CA"/>
              </w:rPr>
              <w:t xml:space="preserve"> </w:t>
            </w:r>
            <w:r w:rsidRPr="005A3A16">
              <w:rPr>
                <w:b/>
                <w:bCs/>
                <w:sz w:val="20"/>
                <w:szCs w:val="20"/>
                <w:lang w:val="en-CA" w:eastAsia="en-CA"/>
              </w:rPr>
              <w:t>166</w:t>
            </w:r>
          </w:p>
        </w:tc>
        <w:tc>
          <w:tcPr>
            <w:tcW w:w="1222" w:type="dxa"/>
            <w:tcBorders>
              <w:top w:val="nil"/>
              <w:left w:val="nil"/>
              <w:bottom w:val="single" w:sz="4" w:space="0" w:color="auto"/>
              <w:right w:val="single" w:sz="4" w:space="0" w:color="auto"/>
            </w:tcBorders>
            <w:shd w:val="clear" w:color="auto" w:fill="auto"/>
            <w:noWrap/>
            <w:hideMark/>
          </w:tcPr>
          <w:p w14:paraId="3BEB2B20" w14:textId="5B831583" w:rsidR="005B49B1" w:rsidRPr="005A3A16" w:rsidRDefault="005B49B1" w:rsidP="005B49B1">
            <w:pPr>
              <w:jc w:val="right"/>
              <w:rPr>
                <w:b/>
                <w:bCs/>
                <w:sz w:val="20"/>
                <w:szCs w:val="20"/>
                <w:lang w:val="en-CA" w:eastAsia="en-CA"/>
              </w:rPr>
            </w:pPr>
            <w:r w:rsidRPr="005A3A16">
              <w:rPr>
                <w:b/>
                <w:bCs/>
                <w:sz w:val="20"/>
                <w:szCs w:val="20"/>
                <w:lang w:val="en-CA" w:eastAsia="en-CA"/>
              </w:rPr>
              <w:t>90</w:t>
            </w:r>
            <w:r w:rsidR="00AF4584">
              <w:rPr>
                <w:b/>
                <w:bCs/>
                <w:sz w:val="20"/>
                <w:szCs w:val="20"/>
                <w:lang w:val="en-CA" w:eastAsia="en-CA"/>
              </w:rPr>
              <w:t xml:space="preserve"> </w:t>
            </w:r>
            <w:r w:rsidRPr="005A3A16">
              <w:rPr>
                <w:b/>
                <w:bCs/>
                <w:sz w:val="20"/>
                <w:szCs w:val="20"/>
                <w:lang w:val="en-CA" w:eastAsia="en-CA"/>
              </w:rPr>
              <w:t>442</w:t>
            </w:r>
          </w:p>
        </w:tc>
      </w:tr>
      <w:tr w:rsidR="005A3A16" w:rsidRPr="00846A22" w14:paraId="0A2CDDC1" w14:textId="77777777" w:rsidTr="00B928AB">
        <w:trPr>
          <w:trHeight w:val="265"/>
        </w:trPr>
        <w:tc>
          <w:tcPr>
            <w:tcW w:w="9349"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4ADFE3A4" w14:textId="4042E3F8" w:rsidR="005B49B1" w:rsidRPr="00957F3A" w:rsidRDefault="00957F3A" w:rsidP="00957F3A">
            <w:pPr>
              <w:jc w:val="left"/>
              <w:rPr>
                <w:b/>
                <w:bCs/>
                <w:sz w:val="20"/>
                <w:szCs w:val="20"/>
                <w:lang w:val="es-ES" w:eastAsia="en-CA"/>
              </w:rPr>
            </w:pPr>
            <w:r w:rsidRPr="00957F3A">
              <w:rPr>
                <w:b/>
                <w:bCs/>
                <w:sz w:val="20"/>
                <w:szCs w:val="20"/>
                <w:lang w:val="es-ES" w:eastAsia="en-CA"/>
              </w:rPr>
              <w:t xml:space="preserve">Actividades relativas a los </w:t>
            </w:r>
            <w:r w:rsidR="005B49B1" w:rsidRPr="00957F3A">
              <w:rPr>
                <w:b/>
                <w:bCs/>
                <w:sz w:val="20"/>
                <w:szCs w:val="20"/>
                <w:lang w:val="es-ES" w:eastAsia="en-CA"/>
              </w:rPr>
              <w:t>HFC</w:t>
            </w:r>
          </w:p>
        </w:tc>
      </w:tr>
      <w:tr w:rsidR="005A3A16" w:rsidRPr="005A3A16" w14:paraId="4A2BB0E6" w14:textId="77777777" w:rsidTr="00B928AB">
        <w:trPr>
          <w:trHeight w:val="58"/>
        </w:trPr>
        <w:tc>
          <w:tcPr>
            <w:tcW w:w="3240" w:type="dxa"/>
            <w:tcBorders>
              <w:top w:val="nil"/>
              <w:left w:val="single" w:sz="4" w:space="0" w:color="auto"/>
              <w:bottom w:val="single" w:sz="4" w:space="0" w:color="auto"/>
              <w:right w:val="single" w:sz="4" w:space="0" w:color="auto"/>
            </w:tcBorders>
            <w:shd w:val="clear" w:color="auto" w:fill="auto"/>
            <w:noWrap/>
            <w:hideMark/>
          </w:tcPr>
          <w:p w14:paraId="7643DA0D" w14:textId="5A65154C" w:rsidR="005B49B1" w:rsidRPr="00D11899" w:rsidRDefault="00D11899" w:rsidP="00D11899">
            <w:pPr>
              <w:jc w:val="left"/>
              <w:rPr>
                <w:sz w:val="20"/>
                <w:szCs w:val="20"/>
                <w:lang w:val="es-ES" w:eastAsia="en-CA"/>
              </w:rPr>
            </w:pPr>
            <w:r w:rsidRPr="00D11899">
              <w:rPr>
                <w:sz w:val="20"/>
                <w:szCs w:val="20"/>
                <w:lang w:val="es-ES" w:eastAsia="en-CA"/>
              </w:rPr>
              <w:t xml:space="preserve">Plan de reducción de los </w:t>
            </w:r>
            <w:r w:rsidR="005B49B1" w:rsidRPr="00D11899">
              <w:rPr>
                <w:sz w:val="20"/>
                <w:szCs w:val="20"/>
                <w:lang w:val="es-ES" w:eastAsia="en-CA"/>
              </w:rPr>
              <w:t>HFC – PRP</w:t>
            </w:r>
          </w:p>
        </w:tc>
        <w:tc>
          <w:tcPr>
            <w:tcW w:w="1221" w:type="dxa"/>
            <w:tcBorders>
              <w:top w:val="nil"/>
              <w:left w:val="nil"/>
              <w:bottom w:val="single" w:sz="4" w:space="0" w:color="auto"/>
              <w:right w:val="single" w:sz="4" w:space="0" w:color="auto"/>
            </w:tcBorders>
            <w:shd w:val="clear" w:color="auto" w:fill="auto"/>
            <w:noWrap/>
            <w:hideMark/>
          </w:tcPr>
          <w:p w14:paraId="2411139E" w14:textId="17D14902" w:rsidR="005B49B1" w:rsidRPr="005A3A16" w:rsidRDefault="005B49B1" w:rsidP="005B49B1">
            <w:pPr>
              <w:jc w:val="right"/>
              <w:rPr>
                <w:sz w:val="20"/>
                <w:szCs w:val="20"/>
                <w:lang w:val="en-CA" w:eastAsia="en-CA"/>
              </w:rPr>
            </w:pPr>
            <w:r w:rsidRPr="005A3A16">
              <w:rPr>
                <w:sz w:val="20"/>
                <w:szCs w:val="20"/>
                <w:lang w:val="en-CA" w:eastAsia="en-CA"/>
              </w:rPr>
              <w:t>1</w:t>
            </w:r>
            <w:r w:rsidR="00AF4584">
              <w:rPr>
                <w:sz w:val="20"/>
                <w:szCs w:val="20"/>
                <w:lang w:val="en-CA" w:eastAsia="en-CA"/>
              </w:rPr>
              <w:t xml:space="preserve"> </w:t>
            </w:r>
            <w:r w:rsidRPr="005A3A16">
              <w:rPr>
                <w:sz w:val="20"/>
                <w:szCs w:val="20"/>
                <w:lang w:val="en-CA" w:eastAsia="en-CA"/>
              </w:rPr>
              <w:t>319</w:t>
            </w:r>
          </w:p>
        </w:tc>
        <w:tc>
          <w:tcPr>
            <w:tcW w:w="1222" w:type="dxa"/>
            <w:tcBorders>
              <w:top w:val="nil"/>
              <w:left w:val="nil"/>
              <w:bottom w:val="single" w:sz="4" w:space="0" w:color="auto"/>
              <w:right w:val="single" w:sz="4" w:space="0" w:color="auto"/>
            </w:tcBorders>
            <w:shd w:val="clear" w:color="auto" w:fill="auto"/>
            <w:noWrap/>
            <w:hideMark/>
          </w:tcPr>
          <w:p w14:paraId="3E2A67A5" w14:textId="0D7485FE" w:rsidR="005B49B1" w:rsidRPr="005A3A16" w:rsidRDefault="005B49B1" w:rsidP="005B49B1">
            <w:pPr>
              <w:jc w:val="right"/>
              <w:rPr>
                <w:sz w:val="20"/>
                <w:szCs w:val="20"/>
                <w:lang w:val="en-CA" w:eastAsia="en-CA"/>
              </w:rPr>
            </w:pPr>
            <w:r w:rsidRPr="005A3A16">
              <w:rPr>
                <w:sz w:val="20"/>
                <w:szCs w:val="20"/>
                <w:lang w:val="en-CA" w:eastAsia="en-CA"/>
              </w:rPr>
              <w:t>1</w:t>
            </w:r>
            <w:r w:rsidR="00AF4584">
              <w:rPr>
                <w:sz w:val="20"/>
                <w:szCs w:val="20"/>
                <w:lang w:val="en-CA" w:eastAsia="en-CA"/>
              </w:rPr>
              <w:t xml:space="preserve"> </w:t>
            </w:r>
            <w:r w:rsidRPr="005A3A16">
              <w:rPr>
                <w:sz w:val="20"/>
                <w:szCs w:val="20"/>
                <w:lang w:val="en-CA" w:eastAsia="en-CA"/>
              </w:rPr>
              <w:t>246</w:t>
            </w:r>
          </w:p>
        </w:tc>
        <w:tc>
          <w:tcPr>
            <w:tcW w:w="1221" w:type="dxa"/>
            <w:tcBorders>
              <w:top w:val="nil"/>
              <w:left w:val="nil"/>
              <w:bottom w:val="single" w:sz="4" w:space="0" w:color="auto"/>
              <w:right w:val="single" w:sz="4" w:space="0" w:color="auto"/>
            </w:tcBorders>
            <w:shd w:val="clear" w:color="auto" w:fill="auto"/>
            <w:noWrap/>
            <w:hideMark/>
          </w:tcPr>
          <w:p w14:paraId="7BD6F736" w14:textId="77777777" w:rsidR="005B49B1" w:rsidRPr="005A3A16" w:rsidRDefault="005B49B1" w:rsidP="005B49B1">
            <w:pPr>
              <w:jc w:val="right"/>
              <w:rPr>
                <w:sz w:val="20"/>
                <w:szCs w:val="20"/>
                <w:lang w:val="en-CA" w:eastAsia="en-CA"/>
              </w:rPr>
            </w:pPr>
            <w:r w:rsidRPr="005A3A16">
              <w:rPr>
                <w:sz w:val="20"/>
                <w:szCs w:val="20"/>
                <w:lang w:val="en-CA" w:eastAsia="en-CA"/>
              </w:rPr>
              <w:t>377</w:t>
            </w:r>
          </w:p>
        </w:tc>
        <w:tc>
          <w:tcPr>
            <w:tcW w:w="1222" w:type="dxa"/>
            <w:tcBorders>
              <w:top w:val="nil"/>
              <w:left w:val="nil"/>
              <w:bottom w:val="single" w:sz="4" w:space="0" w:color="auto"/>
              <w:right w:val="single" w:sz="4" w:space="0" w:color="auto"/>
            </w:tcBorders>
            <w:shd w:val="clear" w:color="auto" w:fill="auto"/>
            <w:noWrap/>
            <w:hideMark/>
          </w:tcPr>
          <w:p w14:paraId="00D6BD65" w14:textId="57E653A9" w:rsidR="005B49B1" w:rsidRPr="005A3A16" w:rsidRDefault="005B49B1" w:rsidP="005B49B1">
            <w:pPr>
              <w:jc w:val="right"/>
              <w:rPr>
                <w:sz w:val="20"/>
                <w:szCs w:val="20"/>
                <w:lang w:val="en-CA" w:eastAsia="en-CA"/>
              </w:rPr>
            </w:pPr>
            <w:r w:rsidRPr="005A3A16">
              <w:rPr>
                <w:sz w:val="20"/>
                <w:szCs w:val="20"/>
                <w:lang w:val="en-CA" w:eastAsia="en-CA"/>
              </w:rPr>
              <w:t>2</w:t>
            </w:r>
            <w:r w:rsidR="00AF4584">
              <w:rPr>
                <w:sz w:val="20"/>
                <w:szCs w:val="20"/>
                <w:lang w:val="en-CA" w:eastAsia="en-CA"/>
              </w:rPr>
              <w:t xml:space="preserve"> </w:t>
            </w:r>
            <w:r w:rsidRPr="005A3A16">
              <w:rPr>
                <w:sz w:val="20"/>
                <w:szCs w:val="20"/>
                <w:lang w:val="en-CA" w:eastAsia="en-CA"/>
              </w:rPr>
              <w:t>942</w:t>
            </w:r>
          </w:p>
        </w:tc>
        <w:tc>
          <w:tcPr>
            <w:tcW w:w="1222" w:type="dxa"/>
            <w:tcBorders>
              <w:top w:val="nil"/>
              <w:left w:val="nil"/>
              <w:bottom w:val="single" w:sz="4" w:space="0" w:color="auto"/>
              <w:right w:val="single" w:sz="4" w:space="0" w:color="auto"/>
            </w:tcBorders>
            <w:shd w:val="clear" w:color="auto" w:fill="auto"/>
            <w:noWrap/>
            <w:hideMark/>
          </w:tcPr>
          <w:p w14:paraId="492C7906" w14:textId="77777777" w:rsidR="005B49B1" w:rsidRPr="005A3A16" w:rsidRDefault="005B49B1" w:rsidP="005B49B1">
            <w:pPr>
              <w:jc w:val="right"/>
              <w:rPr>
                <w:sz w:val="20"/>
                <w:szCs w:val="20"/>
                <w:lang w:val="en-CA" w:eastAsia="en-CA"/>
              </w:rPr>
            </w:pPr>
            <w:r w:rsidRPr="005A3A16">
              <w:rPr>
                <w:sz w:val="20"/>
                <w:szCs w:val="20"/>
                <w:lang w:val="en-CA" w:eastAsia="en-CA"/>
              </w:rPr>
              <w:t>0</w:t>
            </w:r>
          </w:p>
        </w:tc>
      </w:tr>
      <w:tr w:rsidR="005A3A16" w:rsidRPr="005A3A16" w14:paraId="2AEB42AE" w14:textId="77777777" w:rsidTr="00B928AB">
        <w:trPr>
          <w:trHeight w:val="265"/>
        </w:trPr>
        <w:tc>
          <w:tcPr>
            <w:tcW w:w="3240" w:type="dxa"/>
            <w:tcBorders>
              <w:top w:val="nil"/>
              <w:left w:val="single" w:sz="4" w:space="0" w:color="auto"/>
              <w:bottom w:val="single" w:sz="4" w:space="0" w:color="auto"/>
              <w:right w:val="single" w:sz="4" w:space="0" w:color="auto"/>
            </w:tcBorders>
            <w:shd w:val="clear" w:color="auto" w:fill="auto"/>
            <w:noWrap/>
            <w:hideMark/>
          </w:tcPr>
          <w:p w14:paraId="092E4512" w14:textId="72B99BEB" w:rsidR="005B49B1" w:rsidRPr="00D11899" w:rsidRDefault="00D11899" w:rsidP="00D11899">
            <w:pPr>
              <w:jc w:val="left"/>
              <w:rPr>
                <w:sz w:val="20"/>
                <w:szCs w:val="20"/>
                <w:lang w:val="es-ES" w:eastAsia="en-CA"/>
              </w:rPr>
            </w:pPr>
            <w:r w:rsidRPr="00D11899">
              <w:rPr>
                <w:sz w:val="20"/>
                <w:szCs w:val="20"/>
                <w:lang w:val="es-ES" w:eastAsia="en-CA"/>
              </w:rPr>
              <w:t>Planes de reducci</w:t>
            </w:r>
            <w:r>
              <w:rPr>
                <w:sz w:val="20"/>
                <w:szCs w:val="20"/>
                <w:lang w:val="es-ES" w:eastAsia="en-CA"/>
              </w:rPr>
              <w:t>ó</w:t>
            </w:r>
            <w:r w:rsidRPr="00D11899">
              <w:rPr>
                <w:sz w:val="20"/>
                <w:szCs w:val="20"/>
                <w:lang w:val="es-ES" w:eastAsia="en-CA"/>
              </w:rPr>
              <w:t xml:space="preserve">n de los </w:t>
            </w:r>
            <w:r w:rsidR="005B49B1" w:rsidRPr="00D11899">
              <w:rPr>
                <w:sz w:val="20"/>
                <w:szCs w:val="20"/>
                <w:lang w:val="es-ES" w:eastAsia="en-CA"/>
              </w:rPr>
              <w:t xml:space="preserve">HFC </w:t>
            </w:r>
          </w:p>
        </w:tc>
        <w:tc>
          <w:tcPr>
            <w:tcW w:w="1221" w:type="dxa"/>
            <w:tcBorders>
              <w:top w:val="nil"/>
              <w:left w:val="nil"/>
              <w:bottom w:val="single" w:sz="4" w:space="0" w:color="auto"/>
              <w:right w:val="single" w:sz="4" w:space="0" w:color="auto"/>
            </w:tcBorders>
            <w:shd w:val="clear" w:color="auto" w:fill="auto"/>
            <w:noWrap/>
            <w:hideMark/>
          </w:tcPr>
          <w:p w14:paraId="4F1C6B07" w14:textId="77777777" w:rsidR="005B49B1" w:rsidRPr="005A3A16" w:rsidRDefault="005B49B1" w:rsidP="005B49B1">
            <w:pPr>
              <w:jc w:val="right"/>
              <w:rPr>
                <w:sz w:val="20"/>
                <w:szCs w:val="20"/>
                <w:lang w:val="en-CA" w:eastAsia="en-CA"/>
              </w:rPr>
            </w:pPr>
            <w:r w:rsidRPr="005A3A16">
              <w:rPr>
                <w:sz w:val="20"/>
                <w:szCs w:val="20"/>
                <w:lang w:val="en-CA" w:eastAsia="en-CA"/>
              </w:rPr>
              <w:t>0</w:t>
            </w:r>
          </w:p>
        </w:tc>
        <w:tc>
          <w:tcPr>
            <w:tcW w:w="1222" w:type="dxa"/>
            <w:tcBorders>
              <w:top w:val="nil"/>
              <w:left w:val="nil"/>
              <w:bottom w:val="single" w:sz="4" w:space="0" w:color="auto"/>
              <w:right w:val="single" w:sz="4" w:space="0" w:color="auto"/>
            </w:tcBorders>
            <w:shd w:val="clear" w:color="auto" w:fill="auto"/>
            <w:noWrap/>
            <w:hideMark/>
          </w:tcPr>
          <w:p w14:paraId="1042BAD2" w14:textId="21DF6F85" w:rsidR="005B49B1" w:rsidRPr="005A3A16" w:rsidRDefault="005B49B1" w:rsidP="005B49B1">
            <w:pPr>
              <w:jc w:val="right"/>
              <w:rPr>
                <w:sz w:val="20"/>
                <w:szCs w:val="20"/>
                <w:lang w:val="en-CA" w:eastAsia="en-CA"/>
              </w:rPr>
            </w:pPr>
            <w:r w:rsidRPr="005A3A16">
              <w:rPr>
                <w:sz w:val="20"/>
                <w:szCs w:val="20"/>
                <w:lang w:val="en-CA" w:eastAsia="en-CA"/>
              </w:rPr>
              <w:t>22</w:t>
            </w:r>
            <w:r w:rsidR="00AF4584">
              <w:rPr>
                <w:sz w:val="20"/>
                <w:szCs w:val="20"/>
                <w:lang w:val="en-CA" w:eastAsia="en-CA"/>
              </w:rPr>
              <w:t xml:space="preserve"> </w:t>
            </w:r>
            <w:r w:rsidRPr="005A3A16">
              <w:rPr>
                <w:sz w:val="20"/>
                <w:szCs w:val="20"/>
                <w:lang w:val="en-CA" w:eastAsia="en-CA"/>
              </w:rPr>
              <w:t>918</w:t>
            </w:r>
          </w:p>
        </w:tc>
        <w:tc>
          <w:tcPr>
            <w:tcW w:w="1221" w:type="dxa"/>
            <w:tcBorders>
              <w:top w:val="nil"/>
              <w:left w:val="nil"/>
              <w:bottom w:val="single" w:sz="4" w:space="0" w:color="auto"/>
              <w:right w:val="single" w:sz="4" w:space="0" w:color="auto"/>
            </w:tcBorders>
            <w:shd w:val="clear" w:color="auto" w:fill="auto"/>
            <w:noWrap/>
            <w:hideMark/>
          </w:tcPr>
          <w:p w14:paraId="6B05C482" w14:textId="2D04D924" w:rsidR="005B49B1" w:rsidRPr="005A3A16" w:rsidRDefault="005B49B1" w:rsidP="005B49B1">
            <w:pPr>
              <w:jc w:val="right"/>
              <w:rPr>
                <w:sz w:val="20"/>
                <w:szCs w:val="20"/>
                <w:lang w:val="en-CA" w:eastAsia="en-CA"/>
              </w:rPr>
            </w:pPr>
            <w:r w:rsidRPr="005A3A16">
              <w:rPr>
                <w:sz w:val="20"/>
                <w:szCs w:val="20"/>
                <w:lang w:val="en-CA" w:eastAsia="en-CA"/>
              </w:rPr>
              <w:t>24</w:t>
            </w:r>
            <w:r w:rsidR="00AF4584">
              <w:rPr>
                <w:sz w:val="20"/>
                <w:szCs w:val="20"/>
                <w:lang w:val="en-CA" w:eastAsia="en-CA"/>
              </w:rPr>
              <w:t xml:space="preserve"> </w:t>
            </w:r>
            <w:r w:rsidRPr="005A3A16">
              <w:rPr>
                <w:sz w:val="20"/>
                <w:szCs w:val="20"/>
                <w:lang w:val="en-CA" w:eastAsia="en-CA"/>
              </w:rPr>
              <w:t>512</w:t>
            </w:r>
          </w:p>
        </w:tc>
        <w:tc>
          <w:tcPr>
            <w:tcW w:w="1222" w:type="dxa"/>
            <w:tcBorders>
              <w:top w:val="nil"/>
              <w:left w:val="nil"/>
              <w:bottom w:val="single" w:sz="4" w:space="0" w:color="auto"/>
              <w:right w:val="single" w:sz="4" w:space="0" w:color="auto"/>
            </w:tcBorders>
            <w:shd w:val="clear" w:color="auto" w:fill="auto"/>
            <w:noWrap/>
            <w:hideMark/>
          </w:tcPr>
          <w:p w14:paraId="57508E3C" w14:textId="7AAEA88A" w:rsidR="005B49B1" w:rsidRPr="005A3A16" w:rsidRDefault="005B49B1" w:rsidP="005B49B1">
            <w:pPr>
              <w:jc w:val="right"/>
              <w:rPr>
                <w:sz w:val="20"/>
                <w:szCs w:val="20"/>
                <w:lang w:val="en-CA" w:eastAsia="en-CA"/>
              </w:rPr>
            </w:pPr>
            <w:r w:rsidRPr="005A3A16">
              <w:rPr>
                <w:sz w:val="20"/>
                <w:szCs w:val="20"/>
                <w:lang w:val="en-CA" w:eastAsia="en-CA"/>
              </w:rPr>
              <w:t>47</w:t>
            </w:r>
            <w:r w:rsidR="00AF4584">
              <w:rPr>
                <w:sz w:val="20"/>
                <w:szCs w:val="20"/>
                <w:lang w:val="en-CA" w:eastAsia="en-CA"/>
              </w:rPr>
              <w:t xml:space="preserve"> </w:t>
            </w:r>
            <w:r w:rsidRPr="005A3A16">
              <w:rPr>
                <w:sz w:val="20"/>
                <w:szCs w:val="20"/>
                <w:lang w:val="en-CA" w:eastAsia="en-CA"/>
              </w:rPr>
              <w:t>430</w:t>
            </w:r>
          </w:p>
        </w:tc>
        <w:tc>
          <w:tcPr>
            <w:tcW w:w="1222" w:type="dxa"/>
            <w:tcBorders>
              <w:top w:val="nil"/>
              <w:left w:val="nil"/>
              <w:bottom w:val="single" w:sz="4" w:space="0" w:color="auto"/>
              <w:right w:val="single" w:sz="4" w:space="0" w:color="auto"/>
            </w:tcBorders>
            <w:shd w:val="clear" w:color="auto" w:fill="auto"/>
            <w:noWrap/>
            <w:hideMark/>
          </w:tcPr>
          <w:p w14:paraId="486D79ED" w14:textId="11EF6307" w:rsidR="005B49B1" w:rsidRPr="005A3A16" w:rsidRDefault="005B49B1" w:rsidP="005B49B1">
            <w:pPr>
              <w:jc w:val="right"/>
              <w:rPr>
                <w:sz w:val="20"/>
                <w:szCs w:val="20"/>
                <w:lang w:val="en-CA" w:eastAsia="en-CA"/>
              </w:rPr>
            </w:pPr>
            <w:r w:rsidRPr="005A3A16">
              <w:rPr>
                <w:sz w:val="20"/>
                <w:szCs w:val="20"/>
                <w:lang w:val="en-CA" w:eastAsia="en-CA"/>
              </w:rPr>
              <w:t>16</w:t>
            </w:r>
            <w:r w:rsidR="00AF4584">
              <w:rPr>
                <w:sz w:val="20"/>
                <w:szCs w:val="20"/>
                <w:lang w:val="en-CA" w:eastAsia="en-CA"/>
              </w:rPr>
              <w:t xml:space="preserve"> </w:t>
            </w:r>
            <w:r w:rsidRPr="005A3A16">
              <w:rPr>
                <w:sz w:val="20"/>
                <w:szCs w:val="20"/>
                <w:lang w:val="en-CA" w:eastAsia="en-CA"/>
              </w:rPr>
              <w:t>467</w:t>
            </w:r>
          </w:p>
        </w:tc>
      </w:tr>
      <w:tr w:rsidR="005A3A16" w:rsidRPr="005A3A16" w14:paraId="458C76C8" w14:textId="77777777" w:rsidTr="00B928AB">
        <w:trPr>
          <w:trHeight w:val="58"/>
        </w:trPr>
        <w:tc>
          <w:tcPr>
            <w:tcW w:w="3240" w:type="dxa"/>
            <w:tcBorders>
              <w:top w:val="nil"/>
              <w:left w:val="single" w:sz="4" w:space="0" w:color="auto"/>
              <w:bottom w:val="single" w:sz="4" w:space="0" w:color="auto"/>
              <w:right w:val="single" w:sz="4" w:space="0" w:color="auto"/>
            </w:tcBorders>
            <w:shd w:val="clear" w:color="auto" w:fill="auto"/>
            <w:noWrap/>
            <w:hideMark/>
          </w:tcPr>
          <w:p w14:paraId="1E69CEED" w14:textId="1DBA9F8C" w:rsidR="005B49B1" w:rsidRPr="00957F3A" w:rsidRDefault="00A76E99" w:rsidP="00957F3A">
            <w:pPr>
              <w:jc w:val="left"/>
              <w:rPr>
                <w:b/>
                <w:bCs/>
                <w:sz w:val="20"/>
                <w:szCs w:val="20"/>
                <w:lang w:val="es-ES" w:eastAsia="en-CA"/>
              </w:rPr>
            </w:pPr>
            <w:r w:rsidRPr="00957F3A">
              <w:rPr>
                <w:b/>
                <w:bCs/>
                <w:sz w:val="20"/>
                <w:szCs w:val="20"/>
                <w:lang w:val="es-ES" w:eastAsia="en-CA"/>
              </w:rPr>
              <w:t xml:space="preserve"> </w:t>
            </w:r>
            <w:r w:rsidR="00957F3A" w:rsidRPr="00957F3A">
              <w:rPr>
                <w:b/>
                <w:bCs/>
                <w:sz w:val="20"/>
                <w:szCs w:val="20"/>
                <w:lang w:val="es-ES" w:eastAsia="en-CA"/>
              </w:rPr>
              <w:t xml:space="preserve">Subtotal para actividades relativas a los </w:t>
            </w:r>
            <w:r w:rsidR="005B49B1" w:rsidRPr="00957F3A">
              <w:rPr>
                <w:b/>
                <w:bCs/>
                <w:sz w:val="20"/>
                <w:szCs w:val="20"/>
                <w:lang w:val="es-ES" w:eastAsia="en-CA"/>
              </w:rPr>
              <w:t xml:space="preserve">HFC </w:t>
            </w:r>
          </w:p>
        </w:tc>
        <w:tc>
          <w:tcPr>
            <w:tcW w:w="1221" w:type="dxa"/>
            <w:tcBorders>
              <w:top w:val="nil"/>
              <w:left w:val="nil"/>
              <w:bottom w:val="single" w:sz="4" w:space="0" w:color="auto"/>
              <w:right w:val="single" w:sz="4" w:space="0" w:color="auto"/>
            </w:tcBorders>
            <w:shd w:val="clear" w:color="auto" w:fill="auto"/>
            <w:noWrap/>
            <w:hideMark/>
          </w:tcPr>
          <w:p w14:paraId="5C341909" w14:textId="2A698C07" w:rsidR="005B49B1" w:rsidRPr="005A3A16" w:rsidRDefault="005B49B1" w:rsidP="005B49B1">
            <w:pPr>
              <w:jc w:val="right"/>
              <w:rPr>
                <w:b/>
                <w:bCs/>
                <w:sz w:val="20"/>
                <w:szCs w:val="20"/>
                <w:lang w:val="en-CA" w:eastAsia="en-CA"/>
              </w:rPr>
            </w:pPr>
            <w:r w:rsidRPr="005A3A16">
              <w:rPr>
                <w:b/>
                <w:bCs/>
                <w:sz w:val="20"/>
                <w:szCs w:val="20"/>
                <w:lang w:val="en-CA" w:eastAsia="en-CA"/>
              </w:rPr>
              <w:t>1</w:t>
            </w:r>
            <w:r w:rsidR="00AF4584">
              <w:rPr>
                <w:b/>
                <w:bCs/>
                <w:sz w:val="20"/>
                <w:szCs w:val="20"/>
                <w:lang w:val="en-CA" w:eastAsia="en-CA"/>
              </w:rPr>
              <w:t xml:space="preserve"> </w:t>
            </w:r>
            <w:r w:rsidRPr="005A3A16">
              <w:rPr>
                <w:b/>
                <w:bCs/>
                <w:sz w:val="20"/>
                <w:szCs w:val="20"/>
                <w:lang w:val="en-CA" w:eastAsia="en-CA"/>
              </w:rPr>
              <w:t>319</w:t>
            </w:r>
          </w:p>
        </w:tc>
        <w:tc>
          <w:tcPr>
            <w:tcW w:w="1222" w:type="dxa"/>
            <w:tcBorders>
              <w:top w:val="nil"/>
              <w:left w:val="nil"/>
              <w:bottom w:val="single" w:sz="4" w:space="0" w:color="auto"/>
              <w:right w:val="single" w:sz="4" w:space="0" w:color="auto"/>
            </w:tcBorders>
            <w:shd w:val="clear" w:color="auto" w:fill="auto"/>
            <w:noWrap/>
            <w:hideMark/>
          </w:tcPr>
          <w:p w14:paraId="55B15E49" w14:textId="2CAC5998" w:rsidR="005B49B1" w:rsidRPr="005A3A16" w:rsidRDefault="005B49B1" w:rsidP="005B49B1">
            <w:pPr>
              <w:jc w:val="right"/>
              <w:rPr>
                <w:b/>
                <w:bCs/>
                <w:sz w:val="20"/>
                <w:szCs w:val="20"/>
                <w:lang w:val="en-CA" w:eastAsia="en-CA"/>
              </w:rPr>
            </w:pPr>
            <w:r w:rsidRPr="005A3A16">
              <w:rPr>
                <w:b/>
                <w:bCs/>
                <w:sz w:val="20"/>
                <w:szCs w:val="20"/>
                <w:lang w:val="en-CA" w:eastAsia="en-CA"/>
              </w:rPr>
              <w:t>24</w:t>
            </w:r>
            <w:r w:rsidR="00AF4584">
              <w:rPr>
                <w:b/>
                <w:bCs/>
                <w:sz w:val="20"/>
                <w:szCs w:val="20"/>
                <w:lang w:val="en-CA" w:eastAsia="en-CA"/>
              </w:rPr>
              <w:t xml:space="preserve"> </w:t>
            </w:r>
            <w:r w:rsidRPr="005A3A16">
              <w:rPr>
                <w:b/>
                <w:bCs/>
                <w:sz w:val="20"/>
                <w:szCs w:val="20"/>
                <w:lang w:val="en-CA" w:eastAsia="en-CA"/>
              </w:rPr>
              <w:t>164</w:t>
            </w:r>
          </w:p>
        </w:tc>
        <w:tc>
          <w:tcPr>
            <w:tcW w:w="1221" w:type="dxa"/>
            <w:tcBorders>
              <w:top w:val="nil"/>
              <w:left w:val="nil"/>
              <w:bottom w:val="single" w:sz="4" w:space="0" w:color="auto"/>
              <w:right w:val="single" w:sz="4" w:space="0" w:color="auto"/>
            </w:tcBorders>
            <w:shd w:val="clear" w:color="auto" w:fill="auto"/>
            <w:noWrap/>
            <w:hideMark/>
          </w:tcPr>
          <w:p w14:paraId="107B0591" w14:textId="7694AA26" w:rsidR="005B49B1" w:rsidRPr="005A3A16" w:rsidRDefault="005B49B1" w:rsidP="005B49B1">
            <w:pPr>
              <w:jc w:val="right"/>
              <w:rPr>
                <w:b/>
                <w:bCs/>
                <w:sz w:val="20"/>
                <w:szCs w:val="20"/>
                <w:lang w:val="en-CA" w:eastAsia="en-CA"/>
              </w:rPr>
            </w:pPr>
            <w:r w:rsidRPr="005A3A16">
              <w:rPr>
                <w:b/>
                <w:bCs/>
                <w:sz w:val="20"/>
                <w:szCs w:val="20"/>
                <w:lang w:val="en-CA" w:eastAsia="en-CA"/>
              </w:rPr>
              <w:t>24</w:t>
            </w:r>
            <w:r w:rsidR="00AF4584">
              <w:rPr>
                <w:b/>
                <w:bCs/>
                <w:sz w:val="20"/>
                <w:szCs w:val="20"/>
                <w:lang w:val="en-CA" w:eastAsia="en-CA"/>
              </w:rPr>
              <w:t xml:space="preserve"> </w:t>
            </w:r>
            <w:r w:rsidRPr="005A3A16">
              <w:rPr>
                <w:b/>
                <w:bCs/>
                <w:sz w:val="20"/>
                <w:szCs w:val="20"/>
                <w:lang w:val="en-CA" w:eastAsia="en-CA"/>
              </w:rPr>
              <w:t>889</w:t>
            </w:r>
          </w:p>
        </w:tc>
        <w:tc>
          <w:tcPr>
            <w:tcW w:w="1222" w:type="dxa"/>
            <w:tcBorders>
              <w:top w:val="nil"/>
              <w:left w:val="nil"/>
              <w:bottom w:val="single" w:sz="4" w:space="0" w:color="auto"/>
              <w:right w:val="single" w:sz="4" w:space="0" w:color="auto"/>
            </w:tcBorders>
            <w:shd w:val="clear" w:color="auto" w:fill="auto"/>
            <w:noWrap/>
            <w:hideMark/>
          </w:tcPr>
          <w:p w14:paraId="5A91467E" w14:textId="66492775" w:rsidR="005B49B1" w:rsidRPr="005A3A16" w:rsidRDefault="005B49B1" w:rsidP="005B49B1">
            <w:pPr>
              <w:jc w:val="right"/>
              <w:rPr>
                <w:b/>
                <w:bCs/>
                <w:sz w:val="20"/>
                <w:szCs w:val="20"/>
                <w:lang w:val="en-CA" w:eastAsia="en-CA"/>
              </w:rPr>
            </w:pPr>
            <w:r w:rsidRPr="005A3A16">
              <w:rPr>
                <w:b/>
                <w:bCs/>
                <w:sz w:val="20"/>
                <w:szCs w:val="20"/>
                <w:lang w:val="en-CA" w:eastAsia="en-CA"/>
              </w:rPr>
              <w:t>50</w:t>
            </w:r>
            <w:r w:rsidR="00AF4584">
              <w:rPr>
                <w:b/>
                <w:bCs/>
                <w:sz w:val="20"/>
                <w:szCs w:val="20"/>
                <w:lang w:val="en-CA" w:eastAsia="en-CA"/>
              </w:rPr>
              <w:t xml:space="preserve"> </w:t>
            </w:r>
            <w:r w:rsidRPr="005A3A16">
              <w:rPr>
                <w:b/>
                <w:bCs/>
                <w:sz w:val="20"/>
                <w:szCs w:val="20"/>
                <w:lang w:val="en-CA" w:eastAsia="en-CA"/>
              </w:rPr>
              <w:t>372</w:t>
            </w:r>
          </w:p>
        </w:tc>
        <w:tc>
          <w:tcPr>
            <w:tcW w:w="1222" w:type="dxa"/>
            <w:tcBorders>
              <w:top w:val="nil"/>
              <w:left w:val="nil"/>
              <w:bottom w:val="single" w:sz="4" w:space="0" w:color="auto"/>
              <w:right w:val="single" w:sz="4" w:space="0" w:color="auto"/>
            </w:tcBorders>
            <w:shd w:val="clear" w:color="auto" w:fill="auto"/>
            <w:noWrap/>
            <w:hideMark/>
          </w:tcPr>
          <w:p w14:paraId="124A402B" w14:textId="670BDF89" w:rsidR="005B49B1" w:rsidRPr="005A3A16" w:rsidRDefault="005B49B1" w:rsidP="005B49B1">
            <w:pPr>
              <w:jc w:val="right"/>
              <w:rPr>
                <w:b/>
                <w:bCs/>
                <w:sz w:val="20"/>
                <w:szCs w:val="20"/>
                <w:lang w:val="en-CA" w:eastAsia="en-CA"/>
              </w:rPr>
            </w:pPr>
            <w:r w:rsidRPr="005A3A16">
              <w:rPr>
                <w:b/>
                <w:bCs/>
                <w:sz w:val="20"/>
                <w:szCs w:val="20"/>
                <w:lang w:val="en-CA" w:eastAsia="en-CA"/>
              </w:rPr>
              <w:t>16</w:t>
            </w:r>
            <w:r w:rsidR="00AF4584">
              <w:rPr>
                <w:b/>
                <w:bCs/>
                <w:sz w:val="20"/>
                <w:szCs w:val="20"/>
                <w:lang w:val="en-CA" w:eastAsia="en-CA"/>
              </w:rPr>
              <w:t xml:space="preserve"> </w:t>
            </w:r>
            <w:r w:rsidRPr="005A3A16">
              <w:rPr>
                <w:b/>
                <w:bCs/>
                <w:sz w:val="20"/>
                <w:szCs w:val="20"/>
                <w:lang w:val="en-CA" w:eastAsia="en-CA"/>
              </w:rPr>
              <w:t>467</w:t>
            </w:r>
          </w:p>
        </w:tc>
      </w:tr>
      <w:tr w:rsidR="005A3A16" w:rsidRPr="005A3A16" w14:paraId="2B4400B3" w14:textId="77777777" w:rsidTr="00B928AB">
        <w:trPr>
          <w:trHeight w:val="58"/>
        </w:trPr>
        <w:tc>
          <w:tcPr>
            <w:tcW w:w="9349"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38B5A33C" w14:textId="2F6DEC58" w:rsidR="005B49B1" w:rsidRPr="005A3A16" w:rsidRDefault="00957F3A" w:rsidP="00957F3A">
            <w:pPr>
              <w:jc w:val="left"/>
              <w:rPr>
                <w:b/>
                <w:bCs/>
                <w:sz w:val="20"/>
                <w:szCs w:val="20"/>
                <w:lang w:val="en-CA" w:eastAsia="en-CA"/>
              </w:rPr>
            </w:pPr>
            <w:r>
              <w:rPr>
                <w:b/>
                <w:bCs/>
                <w:sz w:val="20"/>
                <w:szCs w:val="20"/>
                <w:lang w:val="en-CA" w:eastAsia="en-CA"/>
              </w:rPr>
              <w:t xml:space="preserve">Actividades </w:t>
            </w:r>
            <w:r w:rsidR="00234CC3">
              <w:rPr>
                <w:b/>
                <w:bCs/>
                <w:sz w:val="20"/>
                <w:szCs w:val="20"/>
                <w:lang w:val="en-CA" w:eastAsia="en-CA"/>
              </w:rPr>
              <w:t>c</w:t>
            </w:r>
            <w:r>
              <w:rPr>
                <w:b/>
                <w:bCs/>
                <w:sz w:val="20"/>
                <w:szCs w:val="20"/>
                <w:lang w:val="en-CA" w:eastAsia="en-CA"/>
              </w:rPr>
              <w:t>orrientes</w:t>
            </w:r>
          </w:p>
        </w:tc>
      </w:tr>
      <w:tr w:rsidR="005A3A16" w:rsidRPr="005A3A16" w14:paraId="50C9C152" w14:textId="77777777" w:rsidTr="00B928AB">
        <w:trPr>
          <w:trHeight w:val="58"/>
        </w:trPr>
        <w:tc>
          <w:tcPr>
            <w:tcW w:w="3240" w:type="dxa"/>
            <w:tcBorders>
              <w:top w:val="nil"/>
              <w:left w:val="single" w:sz="4" w:space="0" w:color="auto"/>
              <w:bottom w:val="single" w:sz="4" w:space="0" w:color="auto"/>
              <w:right w:val="single" w:sz="4" w:space="0" w:color="auto"/>
            </w:tcBorders>
            <w:shd w:val="clear" w:color="auto" w:fill="auto"/>
            <w:noWrap/>
            <w:hideMark/>
          </w:tcPr>
          <w:p w14:paraId="6ADBACF0" w14:textId="3F9A4088" w:rsidR="005B49B1" w:rsidRPr="005A3A16" w:rsidRDefault="00957F3A" w:rsidP="00957F3A">
            <w:pPr>
              <w:jc w:val="left"/>
              <w:rPr>
                <w:sz w:val="20"/>
                <w:szCs w:val="20"/>
                <w:lang w:val="en-CA" w:eastAsia="en-CA"/>
              </w:rPr>
            </w:pPr>
            <w:r>
              <w:rPr>
                <w:sz w:val="20"/>
                <w:szCs w:val="20"/>
                <w:lang w:val="en-CA" w:eastAsia="en-CA"/>
              </w:rPr>
              <w:t>Fortalecimiento i</w:t>
            </w:r>
            <w:r w:rsidR="005B49B1" w:rsidRPr="005A3A16">
              <w:rPr>
                <w:sz w:val="20"/>
                <w:szCs w:val="20"/>
                <w:lang w:val="en-CA" w:eastAsia="en-CA"/>
              </w:rPr>
              <w:t>nsti</w:t>
            </w:r>
            <w:r>
              <w:rPr>
                <w:sz w:val="20"/>
                <w:szCs w:val="20"/>
                <w:lang w:val="en-CA" w:eastAsia="en-CA"/>
              </w:rPr>
              <w:t>t</w:t>
            </w:r>
            <w:r w:rsidR="005B49B1" w:rsidRPr="005A3A16">
              <w:rPr>
                <w:sz w:val="20"/>
                <w:szCs w:val="20"/>
                <w:lang w:val="en-CA" w:eastAsia="en-CA"/>
              </w:rPr>
              <w:t>u</w:t>
            </w:r>
            <w:r>
              <w:rPr>
                <w:sz w:val="20"/>
                <w:szCs w:val="20"/>
                <w:lang w:val="en-CA" w:eastAsia="en-CA"/>
              </w:rPr>
              <w:t>c</w:t>
            </w:r>
            <w:r w:rsidR="005B49B1" w:rsidRPr="005A3A16">
              <w:rPr>
                <w:sz w:val="20"/>
                <w:szCs w:val="20"/>
                <w:lang w:val="en-CA" w:eastAsia="en-CA"/>
              </w:rPr>
              <w:t>ional</w:t>
            </w:r>
          </w:p>
        </w:tc>
        <w:tc>
          <w:tcPr>
            <w:tcW w:w="1221" w:type="dxa"/>
            <w:tcBorders>
              <w:top w:val="nil"/>
              <w:left w:val="nil"/>
              <w:bottom w:val="single" w:sz="4" w:space="0" w:color="auto"/>
              <w:right w:val="single" w:sz="4" w:space="0" w:color="auto"/>
            </w:tcBorders>
            <w:shd w:val="clear" w:color="auto" w:fill="auto"/>
            <w:noWrap/>
            <w:hideMark/>
          </w:tcPr>
          <w:p w14:paraId="08867232" w14:textId="7CC6EAFB" w:rsidR="005B49B1" w:rsidRPr="005A3A16" w:rsidRDefault="005B49B1" w:rsidP="005B49B1">
            <w:pPr>
              <w:jc w:val="right"/>
              <w:rPr>
                <w:sz w:val="20"/>
                <w:szCs w:val="20"/>
                <w:lang w:val="en-CA" w:eastAsia="en-CA"/>
              </w:rPr>
            </w:pPr>
            <w:r w:rsidRPr="005A3A16">
              <w:rPr>
                <w:sz w:val="20"/>
                <w:szCs w:val="20"/>
                <w:lang w:val="en-CA" w:eastAsia="en-CA"/>
              </w:rPr>
              <w:t>4</w:t>
            </w:r>
            <w:r w:rsidR="00AF4584">
              <w:rPr>
                <w:sz w:val="20"/>
                <w:szCs w:val="20"/>
                <w:lang w:val="en-CA" w:eastAsia="en-CA"/>
              </w:rPr>
              <w:t xml:space="preserve"> </w:t>
            </w:r>
            <w:r w:rsidRPr="005A3A16">
              <w:rPr>
                <w:sz w:val="20"/>
                <w:szCs w:val="20"/>
                <w:lang w:val="en-CA" w:eastAsia="en-CA"/>
              </w:rPr>
              <w:t>100</w:t>
            </w:r>
          </w:p>
        </w:tc>
        <w:tc>
          <w:tcPr>
            <w:tcW w:w="1222" w:type="dxa"/>
            <w:tcBorders>
              <w:top w:val="nil"/>
              <w:left w:val="nil"/>
              <w:bottom w:val="single" w:sz="4" w:space="0" w:color="auto"/>
              <w:right w:val="single" w:sz="4" w:space="0" w:color="auto"/>
            </w:tcBorders>
            <w:shd w:val="clear" w:color="auto" w:fill="auto"/>
            <w:noWrap/>
            <w:hideMark/>
          </w:tcPr>
          <w:p w14:paraId="28D79725" w14:textId="66E7DFB7" w:rsidR="005B49B1" w:rsidRPr="005A3A16" w:rsidRDefault="005B49B1" w:rsidP="005B49B1">
            <w:pPr>
              <w:jc w:val="right"/>
              <w:rPr>
                <w:sz w:val="20"/>
                <w:szCs w:val="20"/>
                <w:lang w:val="en-CA" w:eastAsia="en-CA"/>
              </w:rPr>
            </w:pPr>
            <w:r w:rsidRPr="005A3A16">
              <w:rPr>
                <w:sz w:val="20"/>
                <w:szCs w:val="20"/>
                <w:lang w:val="en-CA" w:eastAsia="en-CA"/>
              </w:rPr>
              <w:t>1</w:t>
            </w:r>
            <w:r w:rsidR="00AF4584">
              <w:rPr>
                <w:sz w:val="20"/>
                <w:szCs w:val="20"/>
                <w:lang w:val="en-CA" w:eastAsia="en-CA"/>
              </w:rPr>
              <w:t xml:space="preserve"> </w:t>
            </w:r>
            <w:r w:rsidRPr="005A3A16">
              <w:rPr>
                <w:sz w:val="20"/>
                <w:szCs w:val="20"/>
                <w:lang w:val="en-CA" w:eastAsia="en-CA"/>
              </w:rPr>
              <w:t>752</w:t>
            </w:r>
          </w:p>
        </w:tc>
        <w:tc>
          <w:tcPr>
            <w:tcW w:w="1221" w:type="dxa"/>
            <w:tcBorders>
              <w:top w:val="nil"/>
              <w:left w:val="nil"/>
              <w:bottom w:val="single" w:sz="4" w:space="0" w:color="auto"/>
              <w:right w:val="single" w:sz="4" w:space="0" w:color="auto"/>
            </w:tcBorders>
            <w:shd w:val="clear" w:color="auto" w:fill="auto"/>
            <w:noWrap/>
            <w:hideMark/>
          </w:tcPr>
          <w:p w14:paraId="71CE3C02" w14:textId="52AF7F5A" w:rsidR="005B49B1" w:rsidRPr="005A3A16" w:rsidRDefault="005B49B1" w:rsidP="005B49B1">
            <w:pPr>
              <w:jc w:val="right"/>
              <w:rPr>
                <w:sz w:val="20"/>
                <w:szCs w:val="20"/>
                <w:lang w:val="en-CA" w:eastAsia="en-CA"/>
              </w:rPr>
            </w:pPr>
            <w:r w:rsidRPr="005A3A16">
              <w:rPr>
                <w:sz w:val="20"/>
                <w:szCs w:val="20"/>
                <w:lang w:val="en-CA" w:eastAsia="en-CA"/>
              </w:rPr>
              <w:t>4</w:t>
            </w:r>
            <w:r w:rsidR="00AF4584">
              <w:rPr>
                <w:sz w:val="20"/>
                <w:szCs w:val="20"/>
                <w:lang w:val="en-CA" w:eastAsia="en-CA"/>
              </w:rPr>
              <w:t xml:space="preserve"> </w:t>
            </w:r>
            <w:r w:rsidRPr="005A3A16">
              <w:rPr>
                <w:sz w:val="20"/>
                <w:szCs w:val="20"/>
                <w:lang w:val="en-CA" w:eastAsia="en-CA"/>
              </w:rPr>
              <w:t>100</w:t>
            </w:r>
          </w:p>
        </w:tc>
        <w:tc>
          <w:tcPr>
            <w:tcW w:w="1222" w:type="dxa"/>
            <w:tcBorders>
              <w:top w:val="nil"/>
              <w:left w:val="nil"/>
              <w:bottom w:val="single" w:sz="4" w:space="0" w:color="auto"/>
              <w:right w:val="single" w:sz="4" w:space="0" w:color="auto"/>
            </w:tcBorders>
            <w:shd w:val="clear" w:color="auto" w:fill="auto"/>
            <w:noWrap/>
            <w:hideMark/>
          </w:tcPr>
          <w:p w14:paraId="0FE10334" w14:textId="1CD2EE1D" w:rsidR="005B49B1" w:rsidRPr="005A3A16" w:rsidRDefault="005B49B1" w:rsidP="005B49B1">
            <w:pPr>
              <w:jc w:val="right"/>
              <w:rPr>
                <w:sz w:val="20"/>
                <w:szCs w:val="20"/>
                <w:lang w:val="en-CA" w:eastAsia="en-CA"/>
              </w:rPr>
            </w:pPr>
            <w:r w:rsidRPr="005A3A16">
              <w:rPr>
                <w:sz w:val="20"/>
                <w:szCs w:val="20"/>
                <w:lang w:val="en-CA" w:eastAsia="en-CA"/>
              </w:rPr>
              <w:t>9</w:t>
            </w:r>
            <w:r w:rsidR="00AF4584">
              <w:rPr>
                <w:sz w:val="20"/>
                <w:szCs w:val="20"/>
                <w:lang w:val="en-CA" w:eastAsia="en-CA"/>
              </w:rPr>
              <w:t xml:space="preserve"> </w:t>
            </w:r>
            <w:r w:rsidRPr="005A3A16">
              <w:rPr>
                <w:sz w:val="20"/>
                <w:szCs w:val="20"/>
                <w:lang w:val="en-CA" w:eastAsia="en-CA"/>
              </w:rPr>
              <w:t>953</w:t>
            </w:r>
          </w:p>
        </w:tc>
        <w:tc>
          <w:tcPr>
            <w:tcW w:w="1222" w:type="dxa"/>
            <w:tcBorders>
              <w:top w:val="nil"/>
              <w:left w:val="nil"/>
              <w:bottom w:val="single" w:sz="4" w:space="0" w:color="auto"/>
              <w:right w:val="single" w:sz="4" w:space="0" w:color="auto"/>
            </w:tcBorders>
            <w:shd w:val="clear" w:color="auto" w:fill="auto"/>
            <w:noWrap/>
            <w:hideMark/>
          </w:tcPr>
          <w:p w14:paraId="464499B6" w14:textId="77777777" w:rsidR="005B49B1" w:rsidRPr="005A3A16" w:rsidRDefault="005B49B1" w:rsidP="005B49B1">
            <w:pPr>
              <w:jc w:val="right"/>
              <w:rPr>
                <w:sz w:val="20"/>
                <w:szCs w:val="20"/>
                <w:lang w:val="en-CA" w:eastAsia="en-CA"/>
              </w:rPr>
            </w:pPr>
            <w:r w:rsidRPr="005A3A16">
              <w:rPr>
                <w:sz w:val="20"/>
                <w:szCs w:val="20"/>
                <w:lang w:val="en-CA" w:eastAsia="en-CA"/>
              </w:rPr>
              <w:t>0</w:t>
            </w:r>
          </w:p>
        </w:tc>
      </w:tr>
      <w:tr w:rsidR="005A3A16" w:rsidRPr="005A3A16" w14:paraId="51EE14D1" w14:textId="77777777" w:rsidTr="00B928AB">
        <w:trPr>
          <w:trHeight w:val="58"/>
        </w:trPr>
        <w:tc>
          <w:tcPr>
            <w:tcW w:w="3240" w:type="dxa"/>
            <w:tcBorders>
              <w:top w:val="nil"/>
              <w:left w:val="single" w:sz="4" w:space="0" w:color="auto"/>
              <w:bottom w:val="single" w:sz="4" w:space="0" w:color="auto"/>
              <w:right w:val="single" w:sz="4" w:space="0" w:color="auto"/>
            </w:tcBorders>
            <w:shd w:val="clear" w:color="auto" w:fill="auto"/>
            <w:noWrap/>
            <w:hideMark/>
          </w:tcPr>
          <w:p w14:paraId="670A3756" w14:textId="744188D6" w:rsidR="005B49B1" w:rsidRPr="005A3A16" w:rsidRDefault="00957F3A" w:rsidP="005B49B1">
            <w:pPr>
              <w:jc w:val="left"/>
              <w:rPr>
                <w:sz w:val="20"/>
                <w:szCs w:val="20"/>
                <w:lang w:val="en-CA" w:eastAsia="en-CA"/>
              </w:rPr>
            </w:pPr>
            <w:r>
              <w:rPr>
                <w:sz w:val="20"/>
                <w:szCs w:val="20"/>
                <w:lang w:val="en-CA" w:eastAsia="en-CA"/>
              </w:rPr>
              <w:t>Dependencia central</w:t>
            </w:r>
          </w:p>
        </w:tc>
        <w:tc>
          <w:tcPr>
            <w:tcW w:w="1221" w:type="dxa"/>
            <w:tcBorders>
              <w:top w:val="nil"/>
              <w:left w:val="nil"/>
              <w:bottom w:val="single" w:sz="4" w:space="0" w:color="auto"/>
              <w:right w:val="single" w:sz="4" w:space="0" w:color="auto"/>
            </w:tcBorders>
            <w:shd w:val="clear" w:color="auto" w:fill="auto"/>
            <w:noWrap/>
            <w:hideMark/>
          </w:tcPr>
          <w:p w14:paraId="0DF9C233" w14:textId="661CF5F7" w:rsidR="005B49B1" w:rsidRPr="005A3A16" w:rsidRDefault="005B49B1" w:rsidP="005B49B1">
            <w:pPr>
              <w:jc w:val="right"/>
              <w:rPr>
                <w:sz w:val="20"/>
                <w:szCs w:val="20"/>
                <w:lang w:val="en-CA" w:eastAsia="en-CA"/>
              </w:rPr>
            </w:pPr>
            <w:r w:rsidRPr="005A3A16">
              <w:rPr>
                <w:sz w:val="20"/>
                <w:szCs w:val="20"/>
                <w:lang w:val="en-CA" w:eastAsia="en-CA"/>
              </w:rPr>
              <w:t>2</w:t>
            </w:r>
            <w:r w:rsidR="00AF4584">
              <w:rPr>
                <w:sz w:val="20"/>
                <w:szCs w:val="20"/>
                <w:lang w:val="en-CA" w:eastAsia="en-CA"/>
              </w:rPr>
              <w:t xml:space="preserve"> </w:t>
            </w:r>
            <w:r w:rsidRPr="005A3A16">
              <w:rPr>
                <w:sz w:val="20"/>
                <w:szCs w:val="20"/>
                <w:lang w:val="en-CA" w:eastAsia="en-CA"/>
              </w:rPr>
              <w:t>128</w:t>
            </w:r>
          </w:p>
        </w:tc>
        <w:tc>
          <w:tcPr>
            <w:tcW w:w="1222" w:type="dxa"/>
            <w:tcBorders>
              <w:top w:val="nil"/>
              <w:left w:val="nil"/>
              <w:bottom w:val="single" w:sz="4" w:space="0" w:color="auto"/>
              <w:right w:val="single" w:sz="4" w:space="0" w:color="auto"/>
            </w:tcBorders>
            <w:shd w:val="clear" w:color="auto" w:fill="auto"/>
            <w:noWrap/>
            <w:hideMark/>
          </w:tcPr>
          <w:p w14:paraId="419BDDD8" w14:textId="3F996B72" w:rsidR="005B49B1" w:rsidRPr="005A3A16" w:rsidRDefault="005B49B1" w:rsidP="005B49B1">
            <w:pPr>
              <w:jc w:val="right"/>
              <w:rPr>
                <w:sz w:val="20"/>
                <w:szCs w:val="20"/>
                <w:lang w:val="en-CA" w:eastAsia="en-CA"/>
              </w:rPr>
            </w:pPr>
            <w:r w:rsidRPr="005A3A16">
              <w:rPr>
                <w:sz w:val="20"/>
                <w:szCs w:val="20"/>
                <w:lang w:val="en-CA" w:eastAsia="en-CA"/>
              </w:rPr>
              <w:t>2</w:t>
            </w:r>
            <w:r w:rsidR="00AF4584">
              <w:rPr>
                <w:sz w:val="20"/>
                <w:szCs w:val="20"/>
                <w:lang w:val="en-CA" w:eastAsia="en-CA"/>
              </w:rPr>
              <w:t xml:space="preserve"> </w:t>
            </w:r>
            <w:r w:rsidRPr="005A3A16">
              <w:rPr>
                <w:sz w:val="20"/>
                <w:szCs w:val="20"/>
                <w:lang w:val="en-CA" w:eastAsia="en-CA"/>
              </w:rPr>
              <w:t>143</w:t>
            </w:r>
          </w:p>
        </w:tc>
        <w:tc>
          <w:tcPr>
            <w:tcW w:w="1221" w:type="dxa"/>
            <w:tcBorders>
              <w:top w:val="nil"/>
              <w:left w:val="nil"/>
              <w:bottom w:val="single" w:sz="4" w:space="0" w:color="auto"/>
              <w:right w:val="single" w:sz="4" w:space="0" w:color="auto"/>
            </w:tcBorders>
            <w:shd w:val="clear" w:color="auto" w:fill="auto"/>
            <w:noWrap/>
            <w:hideMark/>
          </w:tcPr>
          <w:p w14:paraId="139A6D9B" w14:textId="7123590E" w:rsidR="005B49B1" w:rsidRPr="005A3A16" w:rsidRDefault="005B49B1" w:rsidP="005B49B1">
            <w:pPr>
              <w:jc w:val="right"/>
              <w:rPr>
                <w:sz w:val="20"/>
                <w:szCs w:val="20"/>
                <w:lang w:val="en-CA" w:eastAsia="en-CA"/>
              </w:rPr>
            </w:pPr>
            <w:r w:rsidRPr="005A3A16">
              <w:rPr>
                <w:sz w:val="20"/>
                <w:szCs w:val="20"/>
                <w:lang w:val="en-CA" w:eastAsia="en-CA"/>
              </w:rPr>
              <w:t>2</w:t>
            </w:r>
            <w:r w:rsidR="00AF4584">
              <w:rPr>
                <w:sz w:val="20"/>
                <w:szCs w:val="20"/>
                <w:lang w:val="en-CA" w:eastAsia="en-CA"/>
              </w:rPr>
              <w:t xml:space="preserve"> </w:t>
            </w:r>
            <w:r w:rsidRPr="005A3A16">
              <w:rPr>
                <w:sz w:val="20"/>
                <w:szCs w:val="20"/>
                <w:lang w:val="en-CA" w:eastAsia="en-CA"/>
              </w:rPr>
              <w:t>158</w:t>
            </w:r>
          </w:p>
        </w:tc>
        <w:tc>
          <w:tcPr>
            <w:tcW w:w="1222" w:type="dxa"/>
            <w:tcBorders>
              <w:top w:val="nil"/>
              <w:left w:val="nil"/>
              <w:bottom w:val="single" w:sz="4" w:space="0" w:color="auto"/>
              <w:right w:val="single" w:sz="4" w:space="0" w:color="auto"/>
            </w:tcBorders>
            <w:shd w:val="clear" w:color="auto" w:fill="auto"/>
            <w:noWrap/>
            <w:hideMark/>
          </w:tcPr>
          <w:p w14:paraId="266B8763" w14:textId="7F3BFB98" w:rsidR="005B49B1" w:rsidRPr="005A3A16" w:rsidRDefault="005B49B1" w:rsidP="005B49B1">
            <w:pPr>
              <w:jc w:val="right"/>
              <w:rPr>
                <w:sz w:val="20"/>
                <w:szCs w:val="20"/>
                <w:lang w:val="en-CA" w:eastAsia="en-CA"/>
              </w:rPr>
            </w:pPr>
            <w:r w:rsidRPr="005A3A16">
              <w:rPr>
                <w:sz w:val="20"/>
                <w:szCs w:val="20"/>
                <w:lang w:val="en-CA" w:eastAsia="en-CA"/>
              </w:rPr>
              <w:t>6</w:t>
            </w:r>
            <w:r w:rsidR="00AF4584">
              <w:rPr>
                <w:sz w:val="20"/>
                <w:szCs w:val="20"/>
                <w:lang w:val="en-CA" w:eastAsia="en-CA"/>
              </w:rPr>
              <w:t xml:space="preserve"> </w:t>
            </w:r>
            <w:r w:rsidRPr="005A3A16">
              <w:rPr>
                <w:sz w:val="20"/>
                <w:szCs w:val="20"/>
                <w:lang w:val="en-CA" w:eastAsia="en-CA"/>
              </w:rPr>
              <w:t>429</w:t>
            </w:r>
          </w:p>
        </w:tc>
        <w:tc>
          <w:tcPr>
            <w:tcW w:w="1222" w:type="dxa"/>
            <w:tcBorders>
              <w:top w:val="nil"/>
              <w:left w:val="nil"/>
              <w:bottom w:val="single" w:sz="4" w:space="0" w:color="auto"/>
              <w:right w:val="single" w:sz="4" w:space="0" w:color="auto"/>
            </w:tcBorders>
            <w:shd w:val="clear" w:color="auto" w:fill="auto"/>
            <w:noWrap/>
            <w:hideMark/>
          </w:tcPr>
          <w:p w14:paraId="06359DA9" w14:textId="77777777" w:rsidR="005B49B1" w:rsidRPr="005A3A16" w:rsidRDefault="005B49B1" w:rsidP="005B49B1">
            <w:pPr>
              <w:jc w:val="right"/>
              <w:rPr>
                <w:sz w:val="20"/>
                <w:szCs w:val="20"/>
                <w:lang w:val="en-CA" w:eastAsia="en-CA"/>
              </w:rPr>
            </w:pPr>
            <w:r w:rsidRPr="005A3A16">
              <w:rPr>
                <w:sz w:val="20"/>
                <w:szCs w:val="20"/>
                <w:lang w:val="en-CA" w:eastAsia="en-CA"/>
              </w:rPr>
              <w:t>0</w:t>
            </w:r>
          </w:p>
        </w:tc>
      </w:tr>
      <w:tr w:rsidR="005A3A16" w:rsidRPr="005A3A16" w14:paraId="09E7E0A1" w14:textId="77777777" w:rsidTr="00B928AB">
        <w:trPr>
          <w:trHeight w:val="58"/>
        </w:trPr>
        <w:tc>
          <w:tcPr>
            <w:tcW w:w="3240" w:type="dxa"/>
            <w:tcBorders>
              <w:top w:val="nil"/>
              <w:left w:val="single" w:sz="4" w:space="0" w:color="auto"/>
              <w:bottom w:val="single" w:sz="4" w:space="0" w:color="auto"/>
              <w:right w:val="single" w:sz="4" w:space="0" w:color="auto"/>
            </w:tcBorders>
            <w:shd w:val="clear" w:color="auto" w:fill="auto"/>
            <w:noWrap/>
            <w:hideMark/>
          </w:tcPr>
          <w:p w14:paraId="35A16726" w14:textId="480F7768" w:rsidR="005B49B1" w:rsidRPr="00957F3A" w:rsidRDefault="00A76E99" w:rsidP="00957F3A">
            <w:pPr>
              <w:jc w:val="left"/>
              <w:rPr>
                <w:b/>
                <w:bCs/>
                <w:sz w:val="20"/>
                <w:szCs w:val="20"/>
                <w:lang w:val="es-ES" w:eastAsia="en-CA"/>
              </w:rPr>
            </w:pPr>
            <w:r w:rsidRPr="00957F3A">
              <w:rPr>
                <w:b/>
                <w:bCs/>
                <w:sz w:val="20"/>
                <w:szCs w:val="20"/>
                <w:lang w:val="es-ES" w:eastAsia="en-CA"/>
              </w:rPr>
              <w:t xml:space="preserve"> </w:t>
            </w:r>
            <w:r w:rsidR="00957F3A" w:rsidRPr="00957F3A">
              <w:rPr>
                <w:b/>
                <w:bCs/>
                <w:sz w:val="20"/>
                <w:szCs w:val="20"/>
                <w:lang w:val="es-ES" w:eastAsia="en-CA"/>
              </w:rPr>
              <w:t>Subtotal para actividades corrientes</w:t>
            </w:r>
          </w:p>
        </w:tc>
        <w:tc>
          <w:tcPr>
            <w:tcW w:w="1221" w:type="dxa"/>
            <w:tcBorders>
              <w:top w:val="nil"/>
              <w:left w:val="nil"/>
              <w:bottom w:val="single" w:sz="4" w:space="0" w:color="auto"/>
              <w:right w:val="single" w:sz="4" w:space="0" w:color="auto"/>
            </w:tcBorders>
            <w:shd w:val="clear" w:color="auto" w:fill="auto"/>
            <w:noWrap/>
            <w:hideMark/>
          </w:tcPr>
          <w:p w14:paraId="0BFEF2C0" w14:textId="3B664F76" w:rsidR="005B49B1" w:rsidRPr="005A3A16" w:rsidRDefault="005B49B1" w:rsidP="005B49B1">
            <w:pPr>
              <w:jc w:val="right"/>
              <w:rPr>
                <w:b/>
                <w:bCs/>
                <w:sz w:val="20"/>
                <w:szCs w:val="20"/>
                <w:lang w:val="en-CA" w:eastAsia="en-CA"/>
              </w:rPr>
            </w:pPr>
            <w:r w:rsidRPr="005A3A16">
              <w:rPr>
                <w:b/>
                <w:bCs/>
                <w:sz w:val="20"/>
                <w:szCs w:val="20"/>
                <w:lang w:val="en-CA" w:eastAsia="en-CA"/>
              </w:rPr>
              <w:t>6</w:t>
            </w:r>
            <w:r w:rsidR="00AF4584">
              <w:rPr>
                <w:b/>
                <w:bCs/>
                <w:sz w:val="20"/>
                <w:szCs w:val="20"/>
                <w:lang w:val="en-CA" w:eastAsia="en-CA"/>
              </w:rPr>
              <w:t xml:space="preserve"> </w:t>
            </w:r>
            <w:r w:rsidRPr="005A3A16">
              <w:rPr>
                <w:b/>
                <w:bCs/>
                <w:sz w:val="20"/>
                <w:szCs w:val="20"/>
                <w:lang w:val="en-CA" w:eastAsia="en-CA"/>
              </w:rPr>
              <w:t>228</w:t>
            </w:r>
          </w:p>
        </w:tc>
        <w:tc>
          <w:tcPr>
            <w:tcW w:w="1222" w:type="dxa"/>
            <w:tcBorders>
              <w:top w:val="nil"/>
              <w:left w:val="nil"/>
              <w:bottom w:val="single" w:sz="4" w:space="0" w:color="auto"/>
              <w:right w:val="single" w:sz="4" w:space="0" w:color="auto"/>
            </w:tcBorders>
            <w:shd w:val="clear" w:color="auto" w:fill="auto"/>
            <w:noWrap/>
            <w:hideMark/>
          </w:tcPr>
          <w:p w14:paraId="4EB37056" w14:textId="1BB16DEF" w:rsidR="005B49B1" w:rsidRPr="005A3A16" w:rsidRDefault="005B49B1" w:rsidP="005B49B1">
            <w:pPr>
              <w:jc w:val="right"/>
              <w:rPr>
                <w:b/>
                <w:bCs/>
                <w:sz w:val="20"/>
                <w:szCs w:val="20"/>
                <w:lang w:val="en-CA" w:eastAsia="en-CA"/>
              </w:rPr>
            </w:pPr>
            <w:r w:rsidRPr="005A3A16">
              <w:rPr>
                <w:b/>
                <w:bCs/>
                <w:sz w:val="20"/>
                <w:szCs w:val="20"/>
                <w:lang w:val="en-CA" w:eastAsia="en-CA"/>
              </w:rPr>
              <w:t>3</w:t>
            </w:r>
            <w:r w:rsidR="00AF4584">
              <w:rPr>
                <w:b/>
                <w:bCs/>
                <w:sz w:val="20"/>
                <w:szCs w:val="20"/>
                <w:lang w:val="en-CA" w:eastAsia="en-CA"/>
              </w:rPr>
              <w:t xml:space="preserve"> </w:t>
            </w:r>
            <w:r w:rsidRPr="005A3A16">
              <w:rPr>
                <w:b/>
                <w:bCs/>
                <w:sz w:val="20"/>
                <w:szCs w:val="20"/>
                <w:lang w:val="en-CA" w:eastAsia="en-CA"/>
              </w:rPr>
              <w:t>895</w:t>
            </w:r>
          </w:p>
        </w:tc>
        <w:tc>
          <w:tcPr>
            <w:tcW w:w="1221" w:type="dxa"/>
            <w:tcBorders>
              <w:top w:val="nil"/>
              <w:left w:val="nil"/>
              <w:bottom w:val="single" w:sz="4" w:space="0" w:color="auto"/>
              <w:right w:val="single" w:sz="4" w:space="0" w:color="auto"/>
            </w:tcBorders>
            <w:shd w:val="clear" w:color="auto" w:fill="auto"/>
            <w:noWrap/>
            <w:hideMark/>
          </w:tcPr>
          <w:p w14:paraId="54E9831C" w14:textId="41B29B22" w:rsidR="005B49B1" w:rsidRPr="005A3A16" w:rsidRDefault="005B49B1" w:rsidP="005B49B1">
            <w:pPr>
              <w:jc w:val="right"/>
              <w:rPr>
                <w:b/>
                <w:bCs/>
                <w:sz w:val="20"/>
                <w:szCs w:val="20"/>
                <w:lang w:val="en-CA" w:eastAsia="en-CA"/>
              </w:rPr>
            </w:pPr>
            <w:r w:rsidRPr="005A3A16">
              <w:rPr>
                <w:b/>
                <w:bCs/>
                <w:sz w:val="20"/>
                <w:szCs w:val="20"/>
                <w:lang w:val="en-CA" w:eastAsia="en-CA"/>
              </w:rPr>
              <w:t>6</w:t>
            </w:r>
            <w:r w:rsidR="00AF4584">
              <w:rPr>
                <w:b/>
                <w:bCs/>
                <w:sz w:val="20"/>
                <w:szCs w:val="20"/>
                <w:lang w:val="en-CA" w:eastAsia="en-CA"/>
              </w:rPr>
              <w:t xml:space="preserve"> </w:t>
            </w:r>
            <w:r w:rsidRPr="005A3A16">
              <w:rPr>
                <w:b/>
                <w:bCs/>
                <w:sz w:val="20"/>
                <w:szCs w:val="20"/>
                <w:lang w:val="en-CA" w:eastAsia="en-CA"/>
              </w:rPr>
              <w:t>258</w:t>
            </w:r>
          </w:p>
        </w:tc>
        <w:tc>
          <w:tcPr>
            <w:tcW w:w="1222" w:type="dxa"/>
            <w:tcBorders>
              <w:top w:val="nil"/>
              <w:left w:val="nil"/>
              <w:bottom w:val="single" w:sz="4" w:space="0" w:color="auto"/>
              <w:right w:val="single" w:sz="4" w:space="0" w:color="auto"/>
            </w:tcBorders>
            <w:shd w:val="clear" w:color="auto" w:fill="auto"/>
            <w:noWrap/>
            <w:hideMark/>
          </w:tcPr>
          <w:p w14:paraId="1D57AA48" w14:textId="2E5892A8" w:rsidR="005B49B1" w:rsidRPr="005A3A16" w:rsidRDefault="005B49B1" w:rsidP="005B49B1">
            <w:pPr>
              <w:jc w:val="right"/>
              <w:rPr>
                <w:b/>
                <w:bCs/>
                <w:sz w:val="20"/>
                <w:szCs w:val="20"/>
                <w:lang w:val="en-CA" w:eastAsia="en-CA"/>
              </w:rPr>
            </w:pPr>
            <w:r w:rsidRPr="005A3A16">
              <w:rPr>
                <w:b/>
                <w:bCs/>
                <w:sz w:val="20"/>
                <w:szCs w:val="20"/>
                <w:lang w:val="en-CA" w:eastAsia="en-CA"/>
              </w:rPr>
              <w:t>16</w:t>
            </w:r>
            <w:r w:rsidR="00AF4584">
              <w:rPr>
                <w:b/>
                <w:bCs/>
                <w:sz w:val="20"/>
                <w:szCs w:val="20"/>
                <w:lang w:val="en-CA" w:eastAsia="en-CA"/>
              </w:rPr>
              <w:t xml:space="preserve"> </w:t>
            </w:r>
            <w:r w:rsidRPr="005A3A16">
              <w:rPr>
                <w:b/>
                <w:bCs/>
                <w:sz w:val="20"/>
                <w:szCs w:val="20"/>
                <w:lang w:val="en-CA" w:eastAsia="en-CA"/>
              </w:rPr>
              <w:t>382</w:t>
            </w:r>
          </w:p>
        </w:tc>
        <w:tc>
          <w:tcPr>
            <w:tcW w:w="1222" w:type="dxa"/>
            <w:tcBorders>
              <w:top w:val="nil"/>
              <w:left w:val="nil"/>
              <w:bottom w:val="single" w:sz="4" w:space="0" w:color="auto"/>
              <w:right w:val="single" w:sz="4" w:space="0" w:color="auto"/>
            </w:tcBorders>
            <w:shd w:val="clear" w:color="auto" w:fill="auto"/>
            <w:noWrap/>
            <w:hideMark/>
          </w:tcPr>
          <w:p w14:paraId="472C4F38" w14:textId="77777777" w:rsidR="005B49B1" w:rsidRPr="005A3A16" w:rsidRDefault="005B49B1" w:rsidP="005B49B1">
            <w:pPr>
              <w:jc w:val="right"/>
              <w:rPr>
                <w:b/>
                <w:bCs/>
                <w:sz w:val="20"/>
                <w:szCs w:val="20"/>
                <w:lang w:val="en-CA" w:eastAsia="en-CA"/>
              </w:rPr>
            </w:pPr>
            <w:r w:rsidRPr="005A3A16">
              <w:rPr>
                <w:b/>
                <w:bCs/>
                <w:sz w:val="20"/>
                <w:szCs w:val="20"/>
                <w:lang w:val="en-CA" w:eastAsia="en-CA"/>
              </w:rPr>
              <w:t>0</w:t>
            </w:r>
          </w:p>
        </w:tc>
      </w:tr>
      <w:tr w:rsidR="005A3A16" w:rsidRPr="005A3A16" w14:paraId="0F5F0F21" w14:textId="77777777" w:rsidTr="00B928AB">
        <w:trPr>
          <w:trHeight w:val="58"/>
        </w:trPr>
        <w:tc>
          <w:tcPr>
            <w:tcW w:w="3240" w:type="dxa"/>
            <w:tcBorders>
              <w:top w:val="nil"/>
              <w:left w:val="single" w:sz="4" w:space="0" w:color="auto"/>
              <w:bottom w:val="single" w:sz="4" w:space="0" w:color="auto"/>
              <w:right w:val="single" w:sz="4" w:space="0" w:color="auto"/>
            </w:tcBorders>
            <w:shd w:val="clear" w:color="auto" w:fill="auto"/>
            <w:noWrap/>
            <w:hideMark/>
          </w:tcPr>
          <w:p w14:paraId="1FA12654" w14:textId="77777777" w:rsidR="005B49B1" w:rsidRPr="005A3A16" w:rsidRDefault="005B49B1" w:rsidP="005B49B1">
            <w:pPr>
              <w:jc w:val="left"/>
              <w:rPr>
                <w:b/>
                <w:bCs/>
                <w:sz w:val="20"/>
                <w:szCs w:val="20"/>
                <w:lang w:val="en-CA" w:eastAsia="en-CA"/>
              </w:rPr>
            </w:pPr>
            <w:r w:rsidRPr="005A3A16">
              <w:rPr>
                <w:b/>
                <w:bCs/>
                <w:sz w:val="20"/>
                <w:szCs w:val="20"/>
                <w:lang w:val="en-CA" w:eastAsia="en-CA"/>
              </w:rPr>
              <w:t>Total</w:t>
            </w:r>
          </w:p>
        </w:tc>
        <w:tc>
          <w:tcPr>
            <w:tcW w:w="1221" w:type="dxa"/>
            <w:tcBorders>
              <w:top w:val="nil"/>
              <w:left w:val="nil"/>
              <w:bottom w:val="single" w:sz="4" w:space="0" w:color="auto"/>
              <w:right w:val="single" w:sz="4" w:space="0" w:color="auto"/>
            </w:tcBorders>
            <w:shd w:val="clear" w:color="auto" w:fill="auto"/>
            <w:noWrap/>
            <w:hideMark/>
          </w:tcPr>
          <w:p w14:paraId="044833F2" w14:textId="51FD8F45" w:rsidR="005B49B1" w:rsidRPr="005A3A16" w:rsidRDefault="005B49B1" w:rsidP="005B49B1">
            <w:pPr>
              <w:jc w:val="right"/>
              <w:rPr>
                <w:b/>
                <w:bCs/>
                <w:sz w:val="20"/>
                <w:szCs w:val="20"/>
                <w:lang w:val="en-CA" w:eastAsia="en-CA"/>
              </w:rPr>
            </w:pPr>
            <w:r w:rsidRPr="005A3A16">
              <w:rPr>
                <w:b/>
                <w:bCs/>
                <w:sz w:val="20"/>
                <w:szCs w:val="20"/>
                <w:lang w:val="en-CA" w:eastAsia="en-CA"/>
              </w:rPr>
              <w:t>33</w:t>
            </w:r>
            <w:r w:rsidR="00AF4584">
              <w:rPr>
                <w:b/>
                <w:bCs/>
                <w:sz w:val="20"/>
                <w:szCs w:val="20"/>
                <w:lang w:val="en-CA" w:eastAsia="en-CA"/>
              </w:rPr>
              <w:t xml:space="preserve"> </w:t>
            </w:r>
            <w:r w:rsidRPr="005A3A16">
              <w:rPr>
                <w:b/>
                <w:bCs/>
                <w:sz w:val="20"/>
                <w:szCs w:val="20"/>
                <w:lang w:val="en-CA" w:eastAsia="en-CA"/>
              </w:rPr>
              <w:t>130</w:t>
            </w:r>
          </w:p>
        </w:tc>
        <w:tc>
          <w:tcPr>
            <w:tcW w:w="1222" w:type="dxa"/>
            <w:tcBorders>
              <w:top w:val="nil"/>
              <w:left w:val="nil"/>
              <w:bottom w:val="single" w:sz="4" w:space="0" w:color="auto"/>
              <w:right w:val="single" w:sz="4" w:space="0" w:color="auto"/>
            </w:tcBorders>
            <w:shd w:val="clear" w:color="auto" w:fill="auto"/>
            <w:noWrap/>
            <w:hideMark/>
          </w:tcPr>
          <w:p w14:paraId="60FD6CB4" w14:textId="282D83E7" w:rsidR="005B49B1" w:rsidRPr="005A3A16" w:rsidRDefault="005B49B1" w:rsidP="005B49B1">
            <w:pPr>
              <w:jc w:val="right"/>
              <w:rPr>
                <w:b/>
                <w:bCs/>
                <w:sz w:val="20"/>
                <w:szCs w:val="20"/>
                <w:lang w:val="en-CA" w:eastAsia="en-CA"/>
              </w:rPr>
            </w:pPr>
            <w:r w:rsidRPr="005A3A16">
              <w:rPr>
                <w:b/>
                <w:bCs/>
                <w:sz w:val="20"/>
                <w:szCs w:val="20"/>
                <w:lang w:val="en-CA" w:eastAsia="en-CA"/>
              </w:rPr>
              <w:t>44</w:t>
            </w:r>
            <w:r w:rsidR="00AF4584">
              <w:rPr>
                <w:b/>
                <w:bCs/>
                <w:sz w:val="20"/>
                <w:szCs w:val="20"/>
                <w:lang w:val="en-CA" w:eastAsia="en-CA"/>
              </w:rPr>
              <w:t xml:space="preserve"> </w:t>
            </w:r>
            <w:r w:rsidRPr="005A3A16">
              <w:rPr>
                <w:b/>
                <w:bCs/>
                <w:sz w:val="20"/>
                <w:szCs w:val="20"/>
                <w:lang w:val="en-CA" w:eastAsia="en-CA"/>
              </w:rPr>
              <w:t>740</w:t>
            </w:r>
          </w:p>
        </w:tc>
        <w:tc>
          <w:tcPr>
            <w:tcW w:w="1221" w:type="dxa"/>
            <w:tcBorders>
              <w:top w:val="nil"/>
              <w:left w:val="nil"/>
              <w:bottom w:val="single" w:sz="4" w:space="0" w:color="auto"/>
              <w:right w:val="single" w:sz="4" w:space="0" w:color="auto"/>
            </w:tcBorders>
            <w:shd w:val="clear" w:color="auto" w:fill="auto"/>
            <w:noWrap/>
            <w:hideMark/>
          </w:tcPr>
          <w:p w14:paraId="75403285" w14:textId="66771D53" w:rsidR="005B49B1" w:rsidRPr="005A3A16" w:rsidRDefault="005B49B1" w:rsidP="005B49B1">
            <w:pPr>
              <w:jc w:val="right"/>
              <w:rPr>
                <w:b/>
                <w:bCs/>
                <w:sz w:val="20"/>
                <w:szCs w:val="20"/>
                <w:lang w:val="en-CA" w:eastAsia="en-CA"/>
              </w:rPr>
            </w:pPr>
            <w:r w:rsidRPr="005A3A16">
              <w:rPr>
                <w:b/>
                <w:bCs/>
                <w:sz w:val="20"/>
                <w:szCs w:val="20"/>
                <w:lang w:val="en-CA" w:eastAsia="en-CA"/>
              </w:rPr>
              <w:t>83</w:t>
            </w:r>
            <w:r w:rsidR="00AF4584">
              <w:rPr>
                <w:b/>
                <w:bCs/>
                <w:sz w:val="20"/>
                <w:szCs w:val="20"/>
                <w:lang w:val="en-CA" w:eastAsia="en-CA"/>
              </w:rPr>
              <w:t xml:space="preserve"> </w:t>
            </w:r>
            <w:r w:rsidRPr="005A3A16">
              <w:rPr>
                <w:b/>
                <w:bCs/>
                <w:sz w:val="20"/>
                <w:szCs w:val="20"/>
                <w:lang w:val="en-CA" w:eastAsia="en-CA"/>
              </w:rPr>
              <w:t>049</w:t>
            </w:r>
          </w:p>
        </w:tc>
        <w:tc>
          <w:tcPr>
            <w:tcW w:w="1222" w:type="dxa"/>
            <w:tcBorders>
              <w:top w:val="nil"/>
              <w:left w:val="nil"/>
              <w:bottom w:val="single" w:sz="4" w:space="0" w:color="auto"/>
              <w:right w:val="single" w:sz="4" w:space="0" w:color="auto"/>
            </w:tcBorders>
            <w:shd w:val="clear" w:color="auto" w:fill="auto"/>
            <w:noWrap/>
            <w:hideMark/>
          </w:tcPr>
          <w:p w14:paraId="3ADEFF32" w14:textId="3C5D9DFB" w:rsidR="005B49B1" w:rsidRPr="005A3A16" w:rsidRDefault="005B49B1" w:rsidP="005B49B1">
            <w:pPr>
              <w:jc w:val="right"/>
              <w:rPr>
                <w:b/>
                <w:bCs/>
                <w:sz w:val="20"/>
                <w:szCs w:val="20"/>
                <w:lang w:val="en-CA" w:eastAsia="en-CA"/>
              </w:rPr>
            </w:pPr>
            <w:r w:rsidRPr="005A3A16">
              <w:rPr>
                <w:b/>
                <w:bCs/>
                <w:sz w:val="20"/>
                <w:szCs w:val="20"/>
                <w:lang w:val="en-CA" w:eastAsia="en-CA"/>
              </w:rPr>
              <w:t>160</w:t>
            </w:r>
            <w:r w:rsidR="00AF4584">
              <w:rPr>
                <w:b/>
                <w:bCs/>
                <w:sz w:val="20"/>
                <w:szCs w:val="20"/>
                <w:lang w:val="en-CA" w:eastAsia="en-CA"/>
              </w:rPr>
              <w:t xml:space="preserve"> </w:t>
            </w:r>
            <w:r w:rsidRPr="005A3A16">
              <w:rPr>
                <w:b/>
                <w:bCs/>
                <w:sz w:val="20"/>
                <w:szCs w:val="20"/>
                <w:lang w:val="en-CA" w:eastAsia="en-CA"/>
              </w:rPr>
              <w:t>920</w:t>
            </w:r>
          </w:p>
        </w:tc>
        <w:tc>
          <w:tcPr>
            <w:tcW w:w="1222" w:type="dxa"/>
            <w:tcBorders>
              <w:top w:val="nil"/>
              <w:left w:val="nil"/>
              <w:bottom w:val="single" w:sz="4" w:space="0" w:color="auto"/>
              <w:right w:val="single" w:sz="4" w:space="0" w:color="auto"/>
            </w:tcBorders>
            <w:shd w:val="clear" w:color="auto" w:fill="auto"/>
            <w:noWrap/>
            <w:hideMark/>
          </w:tcPr>
          <w:p w14:paraId="17F0E3C7" w14:textId="1BEFB777" w:rsidR="005B49B1" w:rsidRPr="005A3A16" w:rsidRDefault="005B49B1" w:rsidP="005B49B1">
            <w:pPr>
              <w:jc w:val="right"/>
              <w:rPr>
                <w:b/>
                <w:bCs/>
                <w:sz w:val="20"/>
                <w:szCs w:val="20"/>
                <w:lang w:val="en-CA" w:eastAsia="en-CA"/>
              </w:rPr>
            </w:pPr>
            <w:r w:rsidRPr="005A3A16">
              <w:rPr>
                <w:b/>
                <w:bCs/>
                <w:sz w:val="20"/>
                <w:szCs w:val="20"/>
                <w:lang w:val="en-CA" w:eastAsia="en-CA"/>
              </w:rPr>
              <w:t>106</w:t>
            </w:r>
            <w:r w:rsidR="00AF4584">
              <w:rPr>
                <w:b/>
                <w:bCs/>
                <w:sz w:val="20"/>
                <w:szCs w:val="20"/>
                <w:lang w:val="en-CA" w:eastAsia="en-CA"/>
              </w:rPr>
              <w:t xml:space="preserve"> </w:t>
            </w:r>
            <w:r w:rsidRPr="005A3A16">
              <w:rPr>
                <w:b/>
                <w:bCs/>
                <w:sz w:val="20"/>
                <w:szCs w:val="20"/>
                <w:lang w:val="en-CA" w:eastAsia="en-CA"/>
              </w:rPr>
              <w:t>909</w:t>
            </w:r>
          </w:p>
        </w:tc>
      </w:tr>
    </w:tbl>
    <w:p w14:paraId="4CD4238E" w14:textId="0B7F564A" w:rsidR="00AB4968" w:rsidRPr="00D11899" w:rsidRDefault="00AB4968" w:rsidP="00AB4968">
      <w:pPr>
        <w:rPr>
          <w:sz w:val="20"/>
          <w:szCs w:val="20"/>
          <w:lang w:val="es-ES"/>
        </w:rPr>
      </w:pPr>
      <w:r w:rsidRPr="00D11899">
        <w:rPr>
          <w:sz w:val="20"/>
          <w:szCs w:val="20"/>
          <w:lang w:val="es-ES"/>
        </w:rPr>
        <w:t xml:space="preserve">* </w:t>
      </w:r>
      <w:r w:rsidR="009167CF">
        <w:rPr>
          <w:sz w:val="20"/>
          <w:szCs w:val="20"/>
          <w:lang w:val="es-ES"/>
        </w:rPr>
        <w:t>Con inclusión de los</w:t>
      </w:r>
      <w:r w:rsidR="009167CF" w:rsidRPr="009167CF">
        <w:rPr>
          <w:sz w:val="20"/>
          <w:szCs w:val="20"/>
          <w:lang w:val="es-ES"/>
        </w:rPr>
        <w:t xml:space="preserve"> gastos de apoyo al organismo, si procede</w:t>
      </w:r>
      <w:r w:rsidRPr="00D11899">
        <w:rPr>
          <w:sz w:val="20"/>
          <w:szCs w:val="20"/>
          <w:lang w:val="es-ES"/>
        </w:rPr>
        <w:t xml:space="preserve">. </w:t>
      </w:r>
    </w:p>
    <w:p w14:paraId="0164CBC4" w14:textId="77777777" w:rsidR="00AB4968" w:rsidRPr="00D11899" w:rsidRDefault="00AB4968" w:rsidP="00AB4968">
      <w:pPr>
        <w:rPr>
          <w:lang w:val="es-ES"/>
        </w:rPr>
      </w:pPr>
    </w:p>
    <w:p w14:paraId="12E9D521" w14:textId="1101A251" w:rsidR="00AB4968" w:rsidRPr="004D489B" w:rsidRDefault="004D489B" w:rsidP="00AB4968">
      <w:pPr>
        <w:pStyle w:val="Heading1"/>
        <w:keepNext/>
        <w:numPr>
          <w:ilvl w:val="0"/>
          <w:numId w:val="0"/>
        </w:numPr>
        <w:rPr>
          <w:b/>
          <w:lang w:val="es-ES"/>
        </w:rPr>
      </w:pPr>
      <w:r w:rsidRPr="004D489B">
        <w:rPr>
          <w:b/>
          <w:lang w:val="es-ES"/>
        </w:rPr>
        <w:t>Observaciones de la Secretaría</w:t>
      </w:r>
      <w:r w:rsidR="00AB4968" w:rsidRPr="004D489B">
        <w:rPr>
          <w:b/>
          <w:lang w:val="es-ES"/>
        </w:rPr>
        <w:t xml:space="preserve"> </w:t>
      </w:r>
    </w:p>
    <w:p w14:paraId="2FA20BF0" w14:textId="5C356722" w:rsidR="00AB4968" w:rsidRPr="004D489B" w:rsidRDefault="004D489B" w:rsidP="00AB4968">
      <w:pPr>
        <w:pStyle w:val="Heading1"/>
        <w:numPr>
          <w:ilvl w:val="0"/>
          <w:numId w:val="0"/>
        </w:numPr>
        <w:rPr>
          <w:u w:val="single"/>
          <w:lang w:val="es-ES"/>
        </w:rPr>
      </w:pPr>
      <w:r>
        <w:rPr>
          <w:u w:val="single"/>
          <w:lang w:val="es-ES"/>
        </w:rPr>
        <w:t xml:space="preserve">Etapa II de los </w:t>
      </w:r>
      <w:r w:rsidR="003F58CF" w:rsidRPr="004D489B">
        <w:rPr>
          <w:u w:val="single"/>
          <w:lang w:val="es-ES"/>
        </w:rPr>
        <w:t>PGEH</w:t>
      </w:r>
    </w:p>
    <w:p w14:paraId="76B0B6F6" w14:textId="6E1F6C3B" w:rsidR="00AB4968" w:rsidRPr="004D489B" w:rsidRDefault="00234CC3" w:rsidP="00017F19">
      <w:pPr>
        <w:pStyle w:val="Heading1"/>
        <w:rPr>
          <w:lang w:val="es-ES"/>
        </w:rPr>
      </w:pPr>
      <w:r w:rsidRPr="00234CC3">
        <w:rPr>
          <w:lang w:val="es-ES"/>
        </w:rPr>
        <w:t xml:space="preserve">Los niveles totales de </w:t>
      </w:r>
      <w:r w:rsidR="00832845">
        <w:rPr>
          <w:lang w:val="es-ES"/>
        </w:rPr>
        <w:t>financiación</w:t>
      </w:r>
      <w:r w:rsidRPr="00234CC3">
        <w:rPr>
          <w:lang w:val="es-ES"/>
        </w:rPr>
        <w:t xml:space="preserve"> para la etapa II de los planes de gestión de eliminación de HCFC en los países de bajo consumo para alcanzar una reducción del </w:t>
      </w:r>
      <w:r>
        <w:rPr>
          <w:lang w:val="es-ES"/>
        </w:rPr>
        <w:t>67,5</w:t>
      </w:r>
      <w:r w:rsidRPr="00234CC3">
        <w:rPr>
          <w:lang w:val="es-ES"/>
        </w:rPr>
        <w:t xml:space="preserve">% </w:t>
      </w:r>
      <w:r>
        <w:rPr>
          <w:lang w:val="es-ES"/>
        </w:rPr>
        <w:t xml:space="preserve">respecto del </w:t>
      </w:r>
      <w:r w:rsidRPr="00234CC3">
        <w:rPr>
          <w:lang w:val="es-ES"/>
        </w:rPr>
        <w:t>consumo de referencia de HCFC asciende</w:t>
      </w:r>
      <w:r>
        <w:rPr>
          <w:lang w:val="es-ES"/>
        </w:rPr>
        <w:t>n</w:t>
      </w:r>
      <w:r w:rsidRPr="00234CC3">
        <w:rPr>
          <w:lang w:val="es-ES"/>
        </w:rPr>
        <w:t xml:space="preserve"> a </w:t>
      </w:r>
      <w:r>
        <w:rPr>
          <w:lang w:val="es-ES"/>
        </w:rPr>
        <w:t>627 003</w:t>
      </w:r>
      <w:r w:rsidRPr="00234CC3">
        <w:rPr>
          <w:lang w:val="es-ES"/>
        </w:rPr>
        <w:t xml:space="preserve"> $EUA para el período 20</w:t>
      </w:r>
      <w:r>
        <w:rPr>
          <w:lang w:val="es-ES"/>
        </w:rPr>
        <w:t>21–2023</w:t>
      </w:r>
      <w:r w:rsidRPr="00234CC3">
        <w:rPr>
          <w:lang w:val="es-ES"/>
        </w:rPr>
        <w:t xml:space="preserve">, y para alcanzar </w:t>
      </w:r>
      <w:r>
        <w:rPr>
          <w:lang w:val="es-ES"/>
        </w:rPr>
        <w:t>l</w:t>
      </w:r>
      <w:r w:rsidRPr="00234CC3">
        <w:rPr>
          <w:lang w:val="es-ES"/>
        </w:rPr>
        <w:t xml:space="preserve">a reducción del </w:t>
      </w:r>
      <w:r>
        <w:rPr>
          <w:lang w:val="es-ES"/>
        </w:rPr>
        <w:t>100</w:t>
      </w:r>
      <w:r w:rsidRPr="00234CC3">
        <w:rPr>
          <w:lang w:val="es-ES"/>
        </w:rPr>
        <w:t xml:space="preserve"> </w:t>
      </w:r>
      <w:r>
        <w:rPr>
          <w:lang w:val="es-ES"/>
        </w:rPr>
        <w:t>%</w:t>
      </w:r>
      <w:r w:rsidRPr="00234CC3">
        <w:rPr>
          <w:lang w:val="es-ES"/>
        </w:rPr>
        <w:t xml:space="preserve"> asciende</w:t>
      </w:r>
      <w:r>
        <w:rPr>
          <w:lang w:val="es-ES"/>
        </w:rPr>
        <w:t>n</w:t>
      </w:r>
      <w:r w:rsidRPr="00234CC3">
        <w:rPr>
          <w:lang w:val="es-ES"/>
        </w:rPr>
        <w:t xml:space="preserve"> a </w:t>
      </w:r>
      <w:r>
        <w:rPr>
          <w:lang w:val="es-ES"/>
        </w:rPr>
        <w:t>1</w:t>
      </w:r>
      <w:r w:rsidRPr="00234CC3">
        <w:rPr>
          <w:lang w:val="es-ES"/>
        </w:rPr>
        <w:t>,</w:t>
      </w:r>
      <w:r>
        <w:rPr>
          <w:lang w:val="es-ES"/>
        </w:rPr>
        <w:t>28</w:t>
      </w:r>
      <w:r w:rsidRPr="00234CC3">
        <w:rPr>
          <w:lang w:val="es-ES"/>
        </w:rPr>
        <w:t xml:space="preserve"> millones $EUA (incluido</w:t>
      </w:r>
      <w:r>
        <w:rPr>
          <w:lang w:val="es-ES"/>
        </w:rPr>
        <w:t>s</w:t>
      </w:r>
      <w:r w:rsidRPr="00234CC3">
        <w:rPr>
          <w:lang w:val="es-ES"/>
        </w:rPr>
        <w:t xml:space="preserve"> 1,</w:t>
      </w:r>
      <w:r>
        <w:rPr>
          <w:lang w:val="es-ES"/>
        </w:rPr>
        <w:t>09</w:t>
      </w:r>
      <w:r w:rsidRPr="00234CC3">
        <w:rPr>
          <w:lang w:val="es-ES"/>
        </w:rPr>
        <w:t xml:space="preserve"> millones </w:t>
      </w:r>
      <w:r>
        <w:rPr>
          <w:lang w:val="es-ES"/>
        </w:rPr>
        <w:t xml:space="preserve">de </w:t>
      </w:r>
      <w:r w:rsidRPr="00234CC3">
        <w:rPr>
          <w:lang w:val="es-ES"/>
        </w:rPr>
        <w:t>$EUA para el período de 201</w:t>
      </w:r>
      <w:r>
        <w:rPr>
          <w:lang w:val="es-ES"/>
        </w:rPr>
        <w:t>1</w:t>
      </w:r>
      <w:r w:rsidRPr="00234CC3">
        <w:rPr>
          <w:lang w:val="es-ES"/>
        </w:rPr>
        <w:t xml:space="preserve"> a 202</w:t>
      </w:r>
      <w:r>
        <w:rPr>
          <w:lang w:val="es-ES"/>
        </w:rPr>
        <w:t>3</w:t>
      </w:r>
      <w:r w:rsidRPr="00234CC3">
        <w:rPr>
          <w:lang w:val="es-ES"/>
        </w:rPr>
        <w:t>).</w:t>
      </w:r>
    </w:p>
    <w:p w14:paraId="7467E979" w14:textId="6D6BE5B3" w:rsidR="00AB4968" w:rsidRPr="00234CC3" w:rsidRDefault="00234CC3" w:rsidP="00DC5271">
      <w:pPr>
        <w:pStyle w:val="Heading1"/>
        <w:rPr>
          <w:lang w:val="es-ES"/>
        </w:rPr>
      </w:pPr>
      <w:r w:rsidRPr="00234CC3">
        <w:rPr>
          <w:lang w:val="es-ES"/>
        </w:rPr>
        <w:t xml:space="preserve">Los niveles totales de </w:t>
      </w:r>
      <w:r w:rsidR="00832845">
        <w:rPr>
          <w:lang w:val="es-ES"/>
        </w:rPr>
        <w:t>financiación</w:t>
      </w:r>
      <w:r w:rsidRPr="00234CC3">
        <w:rPr>
          <w:lang w:val="es-ES"/>
        </w:rPr>
        <w:t xml:space="preserve"> para la etapa </w:t>
      </w:r>
      <w:r w:rsidR="00DC5271" w:rsidRPr="00234CC3">
        <w:rPr>
          <w:lang w:val="es-ES"/>
        </w:rPr>
        <w:t xml:space="preserve">II </w:t>
      </w:r>
      <w:r w:rsidRPr="00234CC3">
        <w:rPr>
          <w:lang w:val="es-ES"/>
        </w:rPr>
        <w:t>de los</w:t>
      </w:r>
      <w:r w:rsidR="00DC5271" w:rsidRPr="00234CC3">
        <w:rPr>
          <w:lang w:val="es-ES"/>
        </w:rPr>
        <w:t xml:space="preserve"> </w:t>
      </w:r>
      <w:r>
        <w:rPr>
          <w:lang w:val="es-ES"/>
        </w:rPr>
        <w:t>planes de gestión de eliminación de los HCFC</w:t>
      </w:r>
      <w:r w:rsidR="00DC5271" w:rsidRPr="00234CC3">
        <w:rPr>
          <w:lang w:val="es-ES"/>
        </w:rPr>
        <w:t xml:space="preserve"> </w:t>
      </w:r>
      <w:r>
        <w:rPr>
          <w:lang w:val="es-ES"/>
        </w:rPr>
        <w:t>en los países que no son de bajo consumo  ascienden a</w:t>
      </w:r>
      <w:r w:rsidR="00DC5271" w:rsidRPr="00234CC3">
        <w:rPr>
          <w:lang w:val="es-ES"/>
        </w:rPr>
        <w:t xml:space="preserve"> </w:t>
      </w:r>
      <w:r>
        <w:rPr>
          <w:lang w:val="es-ES"/>
        </w:rPr>
        <w:t xml:space="preserve">522 </w:t>
      </w:r>
      <w:r w:rsidR="00DC5271" w:rsidRPr="00234CC3">
        <w:rPr>
          <w:lang w:val="es-ES"/>
        </w:rPr>
        <w:t xml:space="preserve">000 </w:t>
      </w:r>
      <w:r>
        <w:rPr>
          <w:lang w:val="es-ES"/>
        </w:rPr>
        <w:t>$ EUA para el sector de mantenimiento de equipos de refrigeración durante el período 2021–2023 solamente</w:t>
      </w:r>
      <w:r w:rsidR="00AB4968" w:rsidRPr="00234CC3">
        <w:rPr>
          <w:lang w:val="es-ES"/>
        </w:rPr>
        <w:t>.</w:t>
      </w:r>
      <w:r w:rsidR="00045EE8" w:rsidRPr="00234CC3">
        <w:rPr>
          <w:lang w:val="es-ES"/>
        </w:rPr>
        <w:t xml:space="preserve"> </w:t>
      </w:r>
    </w:p>
    <w:p w14:paraId="5174B0FB" w14:textId="175A516E" w:rsidR="00AB4968" w:rsidRPr="004D489B" w:rsidRDefault="004D489B" w:rsidP="00AB4968">
      <w:pPr>
        <w:pStyle w:val="Heading1"/>
        <w:numPr>
          <w:ilvl w:val="0"/>
          <w:numId w:val="0"/>
        </w:numPr>
        <w:rPr>
          <w:u w:val="single"/>
          <w:lang w:val="es-ES"/>
        </w:rPr>
      </w:pPr>
      <w:r w:rsidRPr="004D489B">
        <w:rPr>
          <w:u w:val="single"/>
          <w:lang w:val="es-ES"/>
        </w:rPr>
        <w:t xml:space="preserve">Etapa </w:t>
      </w:r>
      <w:r w:rsidR="00AB4968" w:rsidRPr="004D489B">
        <w:rPr>
          <w:u w:val="single"/>
          <w:lang w:val="es-ES"/>
        </w:rPr>
        <w:t>III</w:t>
      </w:r>
      <w:r w:rsidRPr="004D489B">
        <w:rPr>
          <w:u w:val="single"/>
          <w:lang w:val="es-ES"/>
        </w:rPr>
        <w:t xml:space="preserve"> de los</w:t>
      </w:r>
      <w:r w:rsidR="00AB4968" w:rsidRPr="004D489B">
        <w:rPr>
          <w:u w:val="single"/>
          <w:lang w:val="es-ES"/>
        </w:rPr>
        <w:t xml:space="preserve"> </w:t>
      </w:r>
      <w:r w:rsidR="003F58CF" w:rsidRPr="004D489B">
        <w:rPr>
          <w:u w:val="single"/>
          <w:lang w:val="es-ES"/>
        </w:rPr>
        <w:t>PGEH</w:t>
      </w:r>
      <w:r w:rsidR="00AB4968" w:rsidRPr="004D489B">
        <w:rPr>
          <w:u w:val="single"/>
          <w:lang w:val="es-ES"/>
        </w:rPr>
        <w:t xml:space="preserve"> </w:t>
      </w:r>
    </w:p>
    <w:p w14:paraId="04B667ED" w14:textId="36888503" w:rsidR="001C16E2" w:rsidRPr="001049A0" w:rsidRDefault="001049A0" w:rsidP="00017F19">
      <w:pPr>
        <w:pStyle w:val="Heading1"/>
        <w:rPr>
          <w:lang w:val="es-ES"/>
        </w:rPr>
      </w:pPr>
      <w:r w:rsidRPr="001049A0">
        <w:rPr>
          <w:lang w:val="es-ES"/>
        </w:rPr>
        <w:t xml:space="preserve">En el plan administrativo de la etapa III de los </w:t>
      </w:r>
      <w:r w:rsidR="003F58CF" w:rsidRPr="001049A0">
        <w:rPr>
          <w:lang w:val="es-ES"/>
        </w:rPr>
        <w:t>PGEH</w:t>
      </w:r>
      <w:r w:rsidRPr="001049A0">
        <w:rPr>
          <w:lang w:val="es-ES"/>
        </w:rPr>
        <w:t xml:space="preserve"> se incluye un total de 108,39 millones de $EUA </w:t>
      </w:r>
      <w:r>
        <w:rPr>
          <w:lang w:val="es-ES"/>
        </w:rPr>
        <w:t>p</w:t>
      </w:r>
      <w:r w:rsidRPr="001049A0">
        <w:rPr>
          <w:lang w:val="es-ES"/>
        </w:rPr>
        <w:t xml:space="preserve">ara </w:t>
      </w:r>
      <w:r w:rsidR="00D57522" w:rsidRPr="001049A0">
        <w:rPr>
          <w:lang w:val="es-ES"/>
        </w:rPr>
        <w:t>10 </w:t>
      </w:r>
      <w:r>
        <w:rPr>
          <w:lang w:val="es-ES"/>
        </w:rPr>
        <w:t>países</w:t>
      </w:r>
      <w:r w:rsidR="00AB4968" w:rsidRPr="001049A0">
        <w:rPr>
          <w:lang w:val="es-ES"/>
        </w:rPr>
        <w:t xml:space="preserve"> (</w:t>
      </w:r>
      <w:r w:rsidR="00574D8F" w:rsidRPr="001049A0">
        <w:rPr>
          <w:lang w:val="es-ES"/>
        </w:rPr>
        <w:t>Bra</w:t>
      </w:r>
      <w:r>
        <w:rPr>
          <w:lang w:val="es-ES"/>
        </w:rPr>
        <w:t>s</w:t>
      </w:r>
      <w:r w:rsidR="00574D8F" w:rsidRPr="001049A0">
        <w:rPr>
          <w:lang w:val="es-ES"/>
        </w:rPr>
        <w:t>il, Colombia, India, Indonesia</w:t>
      </w:r>
      <w:r w:rsidR="00AB4968" w:rsidRPr="001049A0">
        <w:rPr>
          <w:lang w:val="es-ES"/>
        </w:rPr>
        <w:t>, L</w:t>
      </w:r>
      <w:r>
        <w:rPr>
          <w:lang w:val="es-ES"/>
        </w:rPr>
        <w:t>í</w:t>
      </w:r>
      <w:r w:rsidR="00AB4968" w:rsidRPr="001049A0">
        <w:rPr>
          <w:lang w:val="es-ES"/>
        </w:rPr>
        <w:t xml:space="preserve">bano, </w:t>
      </w:r>
      <w:r w:rsidR="00574D8F" w:rsidRPr="001049A0">
        <w:rPr>
          <w:lang w:val="es-ES"/>
        </w:rPr>
        <w:t>Malasia</w:t>
      </w:r>
      <w:r w:rsidR="00AB4968" w:rsidRPr="001049A0">
        <w:rPr>
          <w:lang w:val="es-ES"/>
        </w:rPr>
        <w:t xml:space="preserve">, </w:t>
      </w:r>
      <w:r w:rsidR="00574D8F" w:rsidRPr="001049A0">
        <w:rPr>
          <w:lang w:val="es-ES"/>
        </w:rPr>
        <w:t>M</w:t>
      </w:r>
      <w:r>
        <w:rPr>
          <w:lang w:val="es-ES"/>
        </w:rPr>
        <w:t>é</w:t>
      </w:r>
      <w:r w:rsidR="00574D8F" w:rsidRPr="001049A0">
        <w:rPr>
          <w:lang w:val="es-ES"/>
        </w:rPr>
        <w:t xml:space="preserve">xico, Nigeria, </w:t>
      </w:r>
      <w:r>
        <w:rPr>
          <w:lang w:val="es-ES"/>
        </w:rPr>
        <w:t xml:space="preserve">República Islámica del Irán y República de </w:t>
      </w:r>
      <w:r w:rsidR="00AB4968" w:rsidRPr="001049A0">
        <w:rPr>
          <w:lang w:val="es-ES"/>
        </w:rPr>
        <w:t>Moldova) (</w:t>
      </w:r>
      <w:r>
        <w:rPr>
          <w:lang w:val="es-ES"/>
        </w:rPr>
        <w:t xml:space="preserve">de ellos, </w:t>
      </w:r>
      <w:r w:rsidR="001C16E2" w:rsidRPr="001049A0">
        <w:rPr>
          <w:lang w:val="es-ES"/>
        </w:rPr>
        <w:t>40</w:t>
      </w:r>
      <w:r>
        <w:rPr>
          <w:lang w:val="es-ES"/>
        </w:rPr>
        <w:t>,</w:t>
      </w:r>
      <w:r w:rsidR="001C16E2" w:rsidRPr="001049A0">
        <w:rPr>
          <w:lang w:val="es-ES"/>
        </w:rPr>
        <w:t>51</w:t>
      </w:r>
      <w:r w:rsidR="00AB4968" w:rsidRPr="001049A0">
        <w:rPr>
          <w:lang w:val="es-ES"/>
        </w:rPr>
        <w:t xml:space="preserve"> millon</w:t>
      </w:r>
      <w:r>
        <w:rPr>
          <w:lang w:val="es-ES"/>
        </w:rPr>
        <w:t>es de $EUA</w:t>
      </w:r>
      <w:r w:rsidR="00AB4968" w:rsidRPr="001049A0">
        <w:rPr>
          <w:lang w:val="es-ES"/>
        </w:rPr>
        <w:t xml:space="preserve"> </w:t>
      </w:r>
      <w:r>
        <w:rPr>
          <w:lang w:val="es-ES"/>
        </w:rPr>
        <w:t>para</w:t>
      </w:r>
      <w:r w:rsidR="00AB4968" w:rsidRPr="001049A0">
        <w:rPr>
          <w:lang w:val="es-ES"/>
        </w:rPr>
        <w:t xml:space="preserve"> 202</w:t>
      </w:r>
      <w:r w:rsidR="001C16E2" w:rsidRPr="001049A0">
        <w:rPr>
          <w:lang w:val="es-ES"/>
        </w:rPr>
        <w:t>1</w:t>
      </w:r>
      <w:r w:rsidR="00AB4968" w:rsidRPr="001049A0">
        <w:rPr>
          <w:lang w:val="es-ES"/>
        </w:rPr>
        <w:t>–202</w:t>
      </w:r>
      <w:r w:rsidR="001C16E2" w:rsidRPr="001049A0">
        <w:rPr>
          <w:lang w:val="es-ES"/>
        </w:rPr>
        <w:t>3</w:t>
      </w:r>
      <w:r w:rsidR="00AB4968" w:rsidRPr="001049A0">
        <w:rPr>
          <w:lang w:val="es-ES"/>
        </w:rPr>
        <w:t xml:space="preserve">). </w:t>
      </w:r>
      <w:r w:rsidRPr="001049A0">
        <w:rPr>
          <w:lang w:val="es-ES"/>
        </w:rPr>
        <w:t>Se permite la inclusi</w:t>
      </w:r>
      <w:r>
        <w:rPr>
          <w:lang w:val="es-ES"/>
        </w:rPr>
        <w:t>ó</w:t>
      </w:r>
      <w:r w:rsidRPr="001049A0">
        <w:rPr>
          <w:lang w:val="es-ES"/>
        </w:rPr>
        <w:t xml:space="preserve">n de la etapa III de los </w:t>
      </w:r>
      <w:r w:rsidR="003F58CF" w:rsidRPr="001049A0">
        <w:rPr>
          <w:lang w:val="es-ES"/>
        </w:rPr>
        <w:t>PGEH</w:t>
      </w:r>
      <w:r w:rsidRPr="001049A0">
        <w:rPr>
          <w:lang w:val="es-ES"/>
        </w:rPr>
        <w:t xml:space="preserve"> en el plan administrativ</w:t>
      </w:r>
      <w:r>
        <w:rPr>
          <w:lang w:val="es-ES"/>
        </w:rPr>
        <w:t>o</w:t>
      </w:r>
      <w:r w:rsidRPr="001049A0">
        <w:rPr>
          <w:lang w:val="es-ES"/>
        </w:rPr>
        <w:t xml:space="preserve"> solo para aquellos países</w:t>
      </w:r>
      <w:r w:rsidR="001C16E2" w:rsidRPr="001049A0">
        <w:rPr>
          <w:lang w:val="es-ES"/>
        </w:rPr>
        <w:t xml:space="preserve"> </w:t>
      </w:r>
      <w:r w:rsidRPr="001049A0">
        <w:rPr>
          <w:lang w:val="es-ES"/>
        </w:rPr>
        <w:t xml:space="preserve">que tengan aprobada la etapa </w:t>
      </w:r>
      <w:r w:rsidR="001C16E2" w:rsidRPr="001049A0">
        <w:rPr>
          <w:lang w:val="es-ES"/>
        </w:rPr>
        <w:t xml:space="preserve">II </w:t>
      </w:r>
      <w:r>
        <w:rPr>
          <w:lang w:val="es-ES"/>
        </w:rPr>
        <w:t xml:space="preserve">de los </w:t>
      </w:r>
      <w:r w:rsidR="003F58CF" w:rsidRPr="001049A0">
        <w:rPr>
          <w:lang w:val="es-ES"/>
        </w:rPr>
        <w:t>PGEH</w:t>
      </w:r>
      <w:r>
        <w:rPr>
          <w:lang w:val="es-ES"/>
        </w:rPr>
        <w:t xml:space="preserve"> con metas de reducción inferiores a las metas de cumplimiento de</w:t>
      </w:r>
      <w:r w:rsidR="001C16E2" w:rsidRPr="001049A0">
        <w:rPr>
          <w:lang w:val="es-ES"/>
        </w:rPr>
        <w:t xml:space="preserve"> 2025 (decisi</w:t>
      </w:r>
      <w:r>
        <w:rPr>
          <w:lang w:val="es-ES"/>
        </w:rPr>
        <w:t>ó</w:t>
      </w:r>
      <w:r w:rsidR="001C16E2" w:rsidRPr="001049A0">
        <w:rPr>
          <w:lang w:val="es-ES"/>
        </w:rPr>
        <w:t>n 84/46</w:t>
      </w:r>
      <w:r>
        <w:rPr>
          <w:lang w:val="es-ES"/>
        </w:rPr>
        <w:t xml:space="preserve"> </w:t>
      </w:r>
      <w:r w:rsidR="001C16E2" w:rsidRPr="001049A0">
        <w:rPr>
          <w:lang w:val="es-ES"/>
        </w:rPr>
        <w:t>e)).</w:t>
      </w:r>
      <w:r w:rsidR="00A76E99" w:rsidRPr="001049A0">
        <w:rPr>
          <w:lang w:val="es-ES"/>
        </w:rPr>
        <w:t xml:space="preserve"> </w:t>
      </w:r>
    </w:p>
    <w:p w14:paraId="64BDA14C" w14:textId="0F0232B8" w:rsidR="00AB4968" w:rsidRPr="005A3A16" w:rsidRDefault="00D11899" w:rsidP="00AB4968">
      <w:pPr>
        <w:keepNext/>
        <w:keepLines/>
        <w:rPr>
          <w:u w:val="single"/>
        </w:rPr>
      </w:pPr>
      <w:r>
        <w:rPr>
          <w:u w:val="single"/>
        </w:rPr>
        <w:lastRenderedPageBreak/>
        <w:t>Actividades relativas a los H</w:t>
      </w:r>
      <w:r w:rsidR="00AB4968" w:rsidRPr="005A3A16">
        <w:rPr>
          <w:u w:val="single"/>
        </w:rPr>
        <w:t>FC</w:t>
      </w:r>
    </w:p>
    <w:p w14:paraId="59E1D545" w14:textId="77777777" w:rsidR="00AB4968" w:rsidRPr="005A3A16" w:rsidRDefault="00AB4968" w:rsidP="00AB4968">
      <w:pPr>
        <w:keepNext/>
        <w:keepLines/>
        <w:rPr>
          <w:b/>
        </w:rPr>
      </w:pPr>
    </w:p>
    <w:p w14:paraId="47BFB126" w14:textId="140B1CC1" w:rsidR="00AB4968" w:rsidRPr="004005F6" w:rsidRDefault="004005F6" w:rsidP="00017F19">
      <w:pPr>
        <w:pStyle w:val="Heading1"/>
        <w:rPr>
          <w:lang w:val="es-ES"/>
        </w:rPr>
      </w:pPr>
      <w:r w:rsidRPr="004005F6">
        <w:rPr>
          <w:lang w:val="es-ES"/>
        </w:rPr>
        <w:t xml:space="preserve">Las actividades relativas a los </w:t>
      </w:r>
      <w:r w:rsidR="00AB4968" w:rsidRPr="004005F6">
        <w:rPr>
          <w:lang w:val="es-ES"/>
        </w:rPr>
        <w:t xml:space="preserve">HFC </w:t>
      </w:r>
      <w:r w:rsidRPr="004005F6">
        <w:rPr>
          <w:lang w:val="es-ES"/>
        </w:rPr>
        <w:t xml:space="preserve">incluyen la preparación de un plan de reducción de los </w:t>
      </w:r>
      <w:r w:rsidR="00AB4968" w:rsidRPr="004005F6">
        <w:rPr>
          <w:lang w:val="es-ES"/>
        </w:rPr>
        <w:t>HFC</w:t>
      </w:r>
      <w:r w:rsidR="00EA7565" w:rsidRPr="005A3A16">
        <w:rPr>
          <w:rStyle w:val="FootnoteReference"/>
        </w:rPr>
        <w:footnoteReference w:id="3"/>
      </w:r>
      <w:r w:rsidR="00AB4968" w:rsidRPr="004005F6">
        <w:rPr>
          <w:lang w:val="es-ES"/>
        </w:rPr>
        <w:t xml:space="preserve"> </w:t>
      </w:r>
      <w:r w:rsidRPr="004005F6">
        <w:rPr>
          <w:lang w:val="es-ES"/>
        </w:rPr>
        <w:t>para</w:t>
      </w:r>
      <w:r w:rsidR="00AB4968" w:rsidRPr="004005F6">
        <w:rPr>
          <w:lang w:val="es-ES"/>
        </w:rPr>
        <w:t xml:space="preserve"> </w:t>
      </w:r>
      <w:r w:rsidR="00664476" w:rsidRPr="004005F6">
        <w:rPr>
          <w:lang w:val="es-ES"/>
        </w:rPr>
        <w:t>2</w:t>
      </w:r>
      <w:r w:rsidR="00407BE6" w:rsidRPr="004005F6">
        <w:rPr>
          <w:lang w:val="es-ES"/>
        </w:rPr>
        <w:t>6</w:t>
      </w:r>
      <w:r w:rsidR="00AB4968" w:rsidRPr="004005F6">
        <w:rPr>
          <w:lang w:val="es-ES"/>
        </w:rPr>
        <w:t xml:space="preserve"> </w:t>
      </w:r>
      <w:r w:rsidRPr="004005F6">
        <w:rPr>
          <w:lang w:val="es-ES"/>
        </w:rPr>
        <w:t xml:space="preserve">países por un monto de </w:t>
      </w:r>
      <w:r w:rsidR="00664476" w:rsidRPr="004005F6">
        <w:rPr>
          <w:lang w:val="es-ES"/>
        </w:rPr>
        <w:t>2</w:t>
      </w:r>
      <w:r w:rsidRPr="004005F6">
        <w:rPr>
          <w:lang w:val="es-ES"/>
        </w:rPr>
        <w:t>,</w:t>
      </w:r>
      <w:r w:rsidR="00407BE6" w:rsidRPr="004005F6">
        <w:rPr>
          <w:lang w:val="es-ES"/>
        </w:rPr>
        <w:t>94</w:t>
      </w:r>
      <w:r w:rsidR="0097548C" w:rsidRPr="004005F6">
        <w:rPr>
          <w:lang w:val="es-ES"/>
        </w:rPr>
        <w:t> </w:t>
      </w:r>
      <w:r>
        <w:rPr>
          <w:lang w:val="es-ES"/>
        </w:rPr>
        <w:t xml:space="preserve">millones </w:t>
      </w:r>
      <w:r w:rsidRPr="004005F6">
        <w:rPr>
          <w:lang w:val="es-ES"/>
        </w:rPr>
        <w:t>de $ EUA</w:t>
      </w:r>
      <w:r>
        <w:rPr>
          <w:lang w:val="es-ES"/>
        </w:rPr>
        <w:t xml:space="preserve"> e</w:t>
      </w:r>
      <w:r w:rsidR="00AB4968" w:rsidRPr="004005F6">
        <w:rPr>
          <w:lang w:val="es-ES"/>
        </w:rPr>
        <w:t>n 202</w:t>
      </w:r>
      <w:r w:rsidR="00664476" w:rsidRPr="004005F6">
        <w:rPr>
          <w:lang w:val="es-ES"/>
        </w:rPr>
        <w:t>1</w:t>
      </w:r>
      <w:r w:rsidR="00AB4968" w:rsidRPr="004005F6">
        <w:rPr>
          <w:lang w:val="es-ES"/>
        </w:rPr>
        <w:t>–202</w:t>
      </w:r>
      <w:r w:rsidR="00E95194" w:rsidRPr="004005F6">
        <w:rPr>
          <w:lang w:val="es-ES"/>
        </w:rPr>
        <w:t>3</w:t>
      </w:r>
      <w:r w:rsidR="00AB4968" w:rsidRPr="004005F6">
        <w:rPr>
          <w:lang w:val="es-ES"/>
        </w:rPr>
        <w:t xml:space="preserve">; </w:t>
      </w:r>
      <w:r>
        <w:rPr>
          <w:lang w:val="es-ES"/>
        </w:rPr>
        <w:t xml:space="preserve">y planes de gestión de la reducción de los </w:t>
      </w:r>
      <w:r w:rsidR="00AB4968" w:rsidRPr="004005F6">
        <w:rPr>
          <w:lang w:val="es-ES"/>
        </w:rPr>
        <w:t xml:space="preserve">HFC </w:t>
      </w:r>
      <w:r>
        <w:rPr>
          <w:lang w:val="es-ES"/>
        </w:rPr>
        <w:t xml:space="preserve">para </w:t>
      </w:r>
      <w:r w:rsidR="00664476" w:rsidRPr="004005F6">
        <w:rPr>
          <w:lang w:val="es-ES"/>
        </w:rPr>
        <w:t>39</w:t>
      </w:r>
      <w:r w:rsidR="00AB4968" w:rsidRPr="004005F6">
        <w:rPr>
          <w:lang w:val="es-ES"/>
        </w:rPr>
        <w:t xml:space="preserve"> </w:t>
      </w:r>
      <w:r>
        <w:rPr>
          <w:lang w:val="es-ES"/>
        </w:rPr>
        <w:t xml:space="preserve">países por un monto de </w:t>
      </w:r>
      <w:r w:rsidR="00664476" w:rsidRPr="004005F6">
        <w:rPr>
          <w:lang w:val="es-ES"/>
        </w:rPr>
        <w:t>63</w:t>
      </w:r>
      <w:r>
        <w:rPr>
          <w:lang w:val="es-ES"/>
        </w:rPr>
        <w:t>,</w:t>
      </w:r>
      <w:r w:rsidR="00664476" w:rsidRPr="004005F6">
        <w:rPr>
          <w:lang w:val="es-ES"/>
        </w:rPr>
        <w:t>9</w:t>
      </w:r>
      <w:r w:rsidR="0097548C" w:rsidRPr="004005F6">
        <w:rPr>
          <w:lang w:val="es-ES"/>
        </w:rPr>
        <w:t> </w:t>
      </w:r>
      <w:r w:rsidR="00664476" w:rsidRPr="004005F6">
        <w:rPr>
          <w:lang w:val="es-ES"/>
        </w:rPr>
        <w:t>mill</w:t>
      </w:r>
      <w:r>
        <w:rPr>
          <w:lang w:val="es-ES"/>
        </w:rPr>
        <w:t>ones de $ EUA</w:t>
      </w:r>
      <w:r w:rsidR="00664476" w:rsidRPr="004005F6">
        <w:rPr>
          <w:lang w:val="es-ES"/>
        </w:rPr>
        <w:t xml:space="preserve"> (</w:t>
      </w:r>
      <w:r>
        <w:rPr>
          <w:lang w:val="es-ES"/>
        </w:rPr>
        <w:t xml:space="preserve">de ellos, </w:t>
      </w:r>
      <w:r w:rsidR="00664476" w:rsidRPr="004005F6">
        <w:rPr>
          <w:lang w:val="es-ES"/>
        </w:rPr>
        <w:t>47</w:t>
      </w:r>
      <w:r>
        <w:rPr>
          <w:lang w:val="es-ES"/>
        </w:rPr>
        <w:t>,</w:t>
      </w:r>
      <w:r w:rsidR="00664476" w:rsidRPr="004005F6">
        <w:rPr>
          <w:lang w:val="es-ES"/>
        </w:rPr>
        <w:t xml:space="preserve">43 </w:t>
      </w:r>
      <w:r>
        <w:rPr>
          <w:lang w:val="es-ES"/>
        </w:rPr>
        <w:t>millones de $ EUA en</w:t>
      </w:r>
      <w:r w:rsidR="00664476" w:rsidRPr="004005F6">
        <w:rPr>
          <w:lang w:val="es-ES"/>
        </w:rPr>
        <w:t xml:space="preserve"> 2021–2023)</w:t>
      </w:r>
      <w:r w:rsidR="00AB4968" w:rsidRPr="004005F6">
        <w:rPr>
          <w:lang w:val="es-ES"/>
        </w:rPr>
        <w:t xml:space="preserve">. </w:t>
      </w:r>
    </w:p>
    <w:p w14:paraId="1FFBED07" w14:textId="61BEDF72" w:rsidR="00AB4968" w:rsidRPr="004005F6" w:rsidRDefault="001049A0" w:rsidP="00AB02E1">
      <w:pPr>
        <w:pStyle w:val="Heading1"/>
        <w:rPr>
          <w:lang w:val="es-ES"/>
        </w:rPr>
      </w:pPr>
      <w:r w:rsidRPr="001049A0">
        <w:rPr>
          <w:lang w:val="es-ES"/>
        </w:rPr>
        <w:t xml:space="preserve">Quince de los </w:t>
      </w:r>
      <w:r w:rsidR="00AB02E1" w:rsidRPr="001049A0">
        <w:rPr>
          <w:lang w:val="es-ES"/>
        </w:rPr>
        <w:t xml:space="preserve">26 </w:t>
      </w:r>
      <w:r w:rsidRPr="001049A0">
        <w:rPr>
          <w:lang w:val="es-ES"/>
        </w:rPr>
        <w:t>países para los que se han incluido actividades de preparación durante la red</w:t>
      </w:r>
      <w:r>
        <w:rPr>
          <w:lang w:val="es-ES"/>
        </w:rPr>
        <w:t>u</w:t>
      </w:r>
      <w:r w:rsidRPr="001049A0">
        <w:rPr>
          <w:lang w:val="es-ES"/>
        </w:rPr>
        <w:t xml:space="preserve">cción de los </w:t>
      </w:r>
      <w:r w:rsidR="00AB02E1" w:rsidRPr="001049A0">
        <w:rPr>
          <w:lang w:val="es-ES"/>
        </w:rPr>
        <w:t>HFC</w:t>
      </w:r>
      <w:r>
        <w:rPr>
          <w:lang w:val="es-ES"/>
        </w:rPr>
        <w:t xml:space="preserve"> no han ratificado la Enmienda de </w:t>
      </w:r>
      <w:r w:rsidR="00AB4968" w:rsidRPr="001049A0">
        <w:rPr>
          <w:lang w:val="es-ES"/>
        </w:rPr>
        <w:t xml:space="preserve">Kigali. </w:t>
      </w:r>
      <w:r w:rsidRPr="004005F6">
        <w:rPr>
          <w:lang w:val="es-ES"/>
        </w:rPr>
        <w:t xml:space="preserve">Tres de esos </w:t>
      </w:r>
      <w:r w:rsidR="000570D1" w:rsidRPr="004005F6">
        <w:rPr>
          <w:lang w:val="es-ES"/>
        </w:rPr>
        <w:t>15</w:t>
      </w:r>
      <w:r w:rsidR="00AB4968" w:rsidRPr="004005F6">
        <w:rPr>
          <w:lang w:val="es-ES"/>
        </w:rPr>
        <w:t xml:space="preserve"> </w:t>
      </w:r>
      <w:r w:rsidRPr="004005F6">
        <w:rPr>
          <w:lang w:val="es-ES"/>
        </w:rPr>
        <w:t xml:space="preserve">países no han presentada la carta </w:t>
      </w:r>
      <w:r w:rsidR="004005F6" w:rsidRPr="004005F6">
        <w:rPr>
          <w:lang w:val="es-ES"/>
        </w:rPr>
        <w:t>de</w:t>
      </w:r>
      <w:r w:rsidR="005A7267">
        <w:rPr>
          <w:lang w:val="es-ES"/>
        </w:rPr>
        <w:t xml:space="preserve"> sus</w:t>
      </w:r>
      <w:r w:rsidR="004005F6" w:rsidRPr="004005F6">
        <w:rPr>
          <w:lang w:val="es-ES"/>
        </w:rPr>
        <w:t xml:space="preserve"> gobierno</w:t>
      </w:r>
      <w:r w:rsidR="005A7267">
        <w:rPr>
          <w:lang w:val="es-ES"/>
        </w:rPr>
        <w:t>s</w:t>
      </w:r>
      <w:r w:rsidR="004005F6" w:rsidRPr="004005F6">
        <w:rPr>
          <w:lang w:val="es-ES"/>
        </w:rPr>
        <w:t xml:space="preserve"> requerida</w:t>
      </w:r>
      <w:r w:rsidR="005A7267">
        <w:rPr>
          <w:lang w:val="es-ES"/>
        </w:rPr>
        <w:t>,</w:t>
      </w:r>
      <w:r w:rsidR="004005F6" w:rsidRPr="004005F6">
        <w:rPr>
          <w:lang w:val="es-ES"/>
        </w:rPr>
        <w:t xml:space="preserve"> en que se indique su intención </w:t>
      </w:r>
      <w:r w:rsidR="004005F6">
        <w:rPr>
          <w:lang w:val="es-ES"/>
        </w:rPr>
        <w:t xml:space="preserve">de </w:t>
      </w:r>
      <w:r w:rsidR="005A7267">
        <w:rPr>
          <w:lang w:val="es-ES"/>
        </w:rPr>
        <w:t>hacer todo lo posible para</w:t>
      </w:r>
      <w:r w:rsidR="004005F6">
        <w:rPr>
          <w:lang w:val="es-ES"/>
        </w:rPr>
        <w:t xml:space="preserve"> ratificar la Enmienda de </w:t>
      </w:r>
      <w:r w:rsidR="00AB4968" w:rsidRPr="004005F6">
        <w:rPr>
          <w:lang w:val="es-ES"/>
        </w:rPr>
        <w:t>Kigali.</w:t>
      </w:r>
    </w:p>
    <w:p w14:paraId="1EC0E070" w14:textId="640AD55E" w:rsidR="00AB4968" w:rsidRPr="004005F6" w:rsidRDefault="004005F6" w:rsidP="00017F19">
      <w:pPr>
        <w:pStyle w:val="Heading1"/>
        <w:rPr>
          <w:lang w:val="es-ES"/>
        </w:rPr>
      </w:pPr>
      <w:r w:rsidRPr="004005F6">
        <w:rPr>
          <w:lang w:val="es-ES"/>
        </w:rPr>
        <w:t xml:space="preserve">Respecto de los planes de gestión de reducción de los </w:t>
      </w:r>
      <w:r w:rsidR="00AB4968" w:rsidRPr="004005F6">
        <w:rPr>
          <w:lang w:val="es-ES"/>
        </w:rPr>
        <w:t>HFC</w:t>
      </w:r>
      <w:r w:rsidR="00AD25DF" w:rsidRPr="004005F6">
        <w:rPr>
          <w:lang w:val="es-ES"/>
        </w:rPr>
        <w:t xml:space="preserve">, </w:t>
      </w:r>
      <w:r w:rsidRPr="004005F6">
        <w:rPr>
          <w:lang w:val="es-ES"/>
        </w:rPr>
        <w:t>en la decisión</w:t>
      </w:r>
      <w:r w:rsidR="00037B17" w:rsidRPr="004005F6">
        <w:rPr>
          <w:lang w:val="es-ES"/>
        </w:rPr>
        <w:t xml:space="preserve"> 84/46</w:t>
      </w:r>
      <w:r w:rsidRPr="004005F6">
        <w:rPr>
          <w:lang w:val="es-ES"/>
        </w:rPr>
        <w:t xml:space="preserve"> </w:t>
      </w:r>
      <w:r w:rsidR="00037B17" w:rsidRPr="004005F6">
        <w:rPr>
          <w:lang w:val="es-ES"/>
        </w:rPr>
        <w:t xml:space="preserve">g) </w:t>
      </w:r>
      <w:r w:rsidRPr="004005F6">
        <w:rPr>
          <w:lang w:val="es-ES"/>
        </w:rPr>
        <w:t>se per</w:t>
      </w:r>
      <w:r>
        <w:rPr>
          <w:lang w:val="es-ES"/>
        </w:rPr>
        <w:t>m</w:t>
      </w:r>
      <w:r w:rsidRPr="004005F6">
        <w:rPr>
          <w:lang w:val="es-ES"/>
        </w:rPr>
        <w:t>ite la inclusi</w:t>
      </w:r>
      <w:r>
        <w:rPr>
          <w:lang w:val="es-ES"/>
        </w:rPr>
        <w:t>ón de dichos planes en el plan administrativo</w:t>
      </w:r>
      <w:r w:rsidR="00037B17" w:rsidRPr="004005F6">
        <w:rPr>
          <w:lang w:val="es-ES"/>
        </w:rPr>
        <w:t xml:space="preserve"> </w:t>
      </w:r>
      <w:r>
        <w:rPr>
          <w:lang w:val="es-ES"/>
        </w:rPr>
        <w:t>solo en el caso de países que hayan ratificado la Enmienda de</w:t>
      </w:r>
      <w:r w:rsidR="00037B17" w:rsidRPr="004005F6">
        <w:rPr>
          <w:lang w:val="es-ES"/>
        </w:rPr>
        <w:t xml:space="preserve"> Kigali</w:t>
      </w:r>
      <w:r w:rsidR="00AB4968" w:rsidRPr="004005F6">
        <w:rPr>
          <w:lang w:val="es-ES"/>
        </w:rPr>
        <w:t>.</w:t>
      </w:r>
      <w:r w:rsidR="00AD25DF" w:rsidRPr="004005F6">
        <w:rPr>
          <w:lang w:val="es-ES"/>
        </w:rPr>
        <w:t xml:space="preserve"> </w:t>
      </w:r>
      <w:r w:rsidRPr="004005F6">
        <w:rPr>
          <w:lang w:val="es-ES"/>
        </w:rPr>
        <w:t xml:space="preserve">Quince de los </w:t>
      </w:r>
      <w:r w:rsidR="00AD25DF" w:rsidRPr="004005F6">
        <w:rPr>
          <w:lang w:val="es-ES"/>
        </w:rPr>
        <w:t xml:space="preserve">39 </w:t>
      </w:r>
      <w:r w:rsidRPr="004005F6">
        <w:rPr>
          <w:lang w:val="es-ES"/>
        </w:rPr>
        <w:t>pa</w:t>
      </w:r>
      <w:r>
        <w:rPr>
          <w:lang w:val="es-ES"/>
        </w:rPr>
        <w:t>í</w:t>
      </w:r>
      <w:r w:rsidRPr="004005F6">
        <w:rPr>
          <w:lang w:val="es-ES"/>
        </w:rPr>
        <w:t xml:space="preserve">ses incluidos en el plan </w:t>
      </w:r>
      <w:r w:rsidR="009167CF">
        <w:rPr>
          <w:lang w:val="es-ES"/>
        </w:rPr>
        <w:t>administrativo</w:t>
      </w:r>
      <w:r w:rsidRPr="004005F6">
        <w:rPr>
          <w:lang w:val="es-ES"/>
        </w:rPr>
        <w:t xml:space="preserve"> no han ratificado la Enmienda de </w:t>
      </w:r>
      <w:r w:rsidR="00AD25DF" w:rsidRPr="004005F6">
        <w:rPr>
          <w:lang w:val="es-ES"/>
        </w:rPr>
        <w:t>Kigali.</w:t>
      </w:r>
    </w:p>
    <w:p w14:paraId="686EF9AF" w14:textId="68659E72" w:rsidR="00AB4968" w:rsidRPr="00D11899" w:rsidRDefault="00D11899" w:rsidP="008253EA">
      <w:pPr>
        <w:rPr>
          <w:u w:val="single"/>
          <w:lang w:val="es-ES"/>
        </w:rPr>
      </w:pPr>
      <w:r>
        <w:rPr>
          <w:u w:val="single"/>
          <w:lang w:val="es-ES"/>
        </w:rPr>
        <w:t>C</w:t>
      </w:r>
      <w:r w:rsidRPr="00D11899">
        <w:rPr>
          <w:u w:val="single"/>
          <w:lang w:val="es-ES"/>
        </w:rPr>
        <w:t>ostos de la dependencia c</w:t>
      </w:r>
      <w:r>
        <w:rPr>
          <w:u w:val="single"/>
          <w:lang w:val="es-ES"/>
        </w:rPr>
        <w:t>e</w:t>
      </w:r>
      <w:r w:rsidRPr="00D11899">
        <w:rPr>
          <w:u w:val="single"/>
          <w:lang w:val="es-ES"/>
        </w:rPr>
        <w:t>ntral</w:t>
      </w:r>
      <w:r w:rsidR="00AB4968" w:rsidRPr="00D11899">
        <w:rPr>
          <w:u w:val="single"/>
          <w:lang w:val="es-ES"/>
        </w:rPr>
        <w:t xml:space="preserve"> </w:t>
      </w:r>
    </w:p>
    <w:p w14:paraId="046D95FB" w14:textId="77777777" w:rsidR="00AB4968" w:rsidRPr="00D11899" w:rsidRDefault="00AB4968" w:rsidP="008253EA">
      <w:pPr>
        <w:rPr>
          <w:lang w:val="es-ES"/>
        </w:rPr>
      </w:pPr>
    </w:p>
    <w:p w14:paraId="7B1F64C5" w14:textId="2556AE53" w:rsidR="00AB4968" w:rsidRPr="001049A0" w:rsidRDefault="001049A0" w:rsidP="008253EA">
      <w:pPr>
        <w:pStyle w:val="Heading1"/>
        <w:rPr>
          <w:lang w:val="es-ES"/>
        </w:rPr>
      </w:pPr>
      <w:r w:rsidRPr="001049A0">
        <w:rPr>
          <w:lang w:val="es-ES"/>
        </w:rPr>
        <w:t>Cabe prever que los costos de la dependencia central</w:t>
      </w:r>
      <w:r w:rsidR="00AB4968" w:rsidRPr="005A3A16">
        <w:rPr>
          <w:rStyle w:val="FootnoteReference"/>
        </w:rPr>
        <w:footnoteReference w:id="4"/>
      </w:r>
      <w:r w:rsidR="00AB4968" w:rsidRPr="001049A0">
        <w:rPr>
          <w:lang w:val="es-ES"/>
        </w:rPr>
        <w:t xml:space="preserve"> a</w:t>
      </w:r>
      <w:r w:rsidRPr="001049A0">
        <w:rPr>
          <w:lang w:val="es-ES"/>
        </w:rPr>
        <w:t xml:space="preserve">umenten a una tasa </w:t>
      </w:r>
      <w:r>
        <w:rPr>
          <w:lang w:val="es-ES"/>
        </w:rPr>
        <w:t>an</w:t>
      </w:r>
      <w:r w:rsidRPr="001049A0">
        <w:rPr>
          <w:lang w:val="es-ES"/>
        </w:rPr>
        <w:t xml:space="preserve">ual de </w:t>
      </w:r>
      <w:r w:rsidR="00AB4968" w:rsidRPr="001049A0">
        <w:rPr>
          <w:lang w:val="es-ES"/>
        </w:rPr>
        <w:t>0</w:t>
      </w:r>
      <w:r>
        <w:rPr>
          <w:lang w:val="es-ES"/>
        </w:rPr>
        <w:t>,</w:t>
      </w:r>
      <w:r w:rsidR="00AB4968" w:rsidRPr="001049A0">
        <w:rPr>
          <w:lang w:val="es-ES"/>
        </w:rPr>
        <w:t xml:space="preserve">7 </w:t>
      </w:r>
      <w:r>
        <w:rPr>
          <w:lang w:val="es-ES"/>
        </w:rPr>
        <w:t>%, según lo convenido</w:t>
      </w:r>
      <w:r w:rsidR="00AB4968" w:rsidRPr="001049A0">
        <w:rPr>
          <w:lang w:val="es-ES"/>
        </w:rPr>
        <w:t xml:space="preserve">. </w:t>
      </w:r>
    </w:p>
    <w:p w14:paraId="7E69C84F" w14:textId="03ADA60B" w:rsidR="00AB4968" w:rsidRPr="00846A22" w:rsidRDefault="00D11899" w:rsidP="009167CF">
      <w:pPr>
        <w:tabs>
          <w:tab w:val="left" w:pos="6308"/>
        </w:tabs>
        <w:spacing w:after="240"/>
        <w:rPr>
          <w:b/>
          <w:lang w:val="es-AR"/>
        </w:rPr>
      </w:pPr>
      <w:r w:rsidRPr="00846A22">
        <w:rPr>
          <w:b/>
          <w:bCs/>
          <w:lang w:val="es-AR"/>
        </w:rPr>
        <w:t>Ajustes propuestos por la Secretaría</w:t>
      </w:r>
      <w:r w:rsidR="009167CF" w:rsidRPr="00846A22">
        <w:rPr>
          <w:b/>
          <w:bCs/>
          <w:lang w:val="es-AR"/>
        </w:rPr>
        <w:tab/>
      </w:r>
    </w:p>
    <w:p w14:paraId="1B7DBED8" w14:textId="313A5C5F" w:rsidR="00B928AB" w:rsidRPr="009167CF" w:rsidRDefault="009167CF" w:rsidP="00095FAC">
      <w:pPr>
        <w:pStyle w:val="Heading1"/>
        <w:rPr>
          <w:lang w:val="es-ES"/>
        </w:rPr>
      </w:pPr>
      <w:r w:rsidRPr="009167CF">
        <w:rPr>
          <w:lang w:val="es-ES"/>
        </w:rPr>
        <w:t>Los ajustes al plan administrativo del PNUD para</w:t>
      </w:r>
      <w:r w:rsidR="00E763AC" w:rsidRPr="009167CF">
        <w:rPr>
          <w:lang w:val="es-ES"/>
        </w:rPr>
        <w:t xml:space="preserve"> 2021</w:t>
      </w:r>
      <w:r w:rsidR="00EA7565" w:rsidRPr="009167CF">
        <w:rPr>
          <w:lang w:val="es-ES"/>
        </w:rPr>
        <w:t>–</w:t>
      </w:r>
      <w:r w:rsidR="00E763AC" w:rsidRPr="009167CF">
        <w:rPr>
          <w:lang w:val="es-ES"/>
        </w:rPr>
        <w:t xml:space="preserve">2023 </w:t>
      </w:r>
      <w:r w:rsidRPr="009167CF">
        <w:rPr>
          <w:lang w:val="es-ES"/>
        </w:rPr>
        <w:t>se basaron en las decision</w:t>
      </w:r>
      <w:r>
        <w:rPr>
          <w:lang w:val="es-ES"/>
        </w:rPr>
        <w:t>e</w:t>
      </w:r>
      <w:r w:rsidRPr="009167CF">
        <w:rPr>
          <w:lang w:val="es-ES"/>
        </w:rPr>
        <w:t>s pertinentes del Comité Ejecutivo</w:t>
      </w:r>
      <w:r w:rsidR="00E763AC" w:rsidRPr="009167CF">
        <w:rPr>
          <w:lang w:val="es-ES"/>
        </w:rPr>
        <w:t xml:space="preserve">. </w:t>
      </w:r>
      <w:r w:rsidRPr="009167CF">
        <w:rPr>
          <w:lang w:val="es-ES"/>
        </w:rPr>
        <w:t>Tal vez sea necesario introducir nuevos ajustes cuando las Partes adopten una decisión sobre el nivel de r</w:t>
      </w:r>
      <w:r>
        <w:rPr>
          <w:lang w:val="es-ES"/>
        </w:rPr>
        <w:t>eposición del Fondo</w:t>
      </w:r>
      <w:r w:rsidR="00E763AC" w:rsidRPr="009167CF">
        <w:rPr>
          <w:lang w:val="es-ES"/>
        </w:rPr>
        <w:t xml:space="preserve"> Multilateral </w:t>
      </w:r>
      <w:r>
        <w:rPr>
          <w:lang w:val="es-ES"/>
        </w:rPr>
        <w:t>para el trienio</w:t>
      </w:r>
      <w:r w:rsidR="00E763AC" w:rsidRPr="009167CF">
        <w:rPr>
          <w:lang w:val="es-ES"/>
        </w:rPr>
        <w:t xml:space="preserve"> 2021</w:t>
      </w:r>
      <w:r w:rsidR="00095FAC" w:rsidRPr="009167CF">
        <w:rPr>
          <w:lang w:val="es-ES"/>
        </w:rPr>
        <w:t>–</w:t>
      </w:r>
      <w:r w:rsidR="00E763AC" w:rsidRPr="009167CF">
        <w:rPr>
          <w:lang w:val="es-ES"/>
        </w:rPr>
        <w:t>2023</w:t>
      </w:r>
      <w:r w:rsidR="00E763AC" w:rsidRPr="005A3A16">
        <w:rPr>
          <w:rStyle w:val="FootnoteReference"/>
        </w:rPr>
        <w:footnoteReference w:id="5"/>
      </w:r>
      <w:r>
        <w:rPr>
          <w:lang w:val="es-ES"/>
        </w:rPr>
        <w:t>.</w:t>
      </w:r>
      <w:r w:rsidR="00E763AC" w:rsidRPr="009167CF">
        <w:rPr>
          <w:lang w:val="es-ES"/>
        </w:rPr>
        <w:t xml:space="preserve"> </w:t>
      </w:r>
    </w:p>
    <w:p w14:paraId="3B366A86" w14:textId="20434C90" w:rsidR="00AB4968" w:rsidRDefault="004005F6" w:rsidP="00DB5FAE">
      <w:pPr>
        <w:pStyle w:val="Heading1"/>
        <w:rPr>
          <w:lang w:val="es-ES"/>
        </w:rPr>
      </w:pPr>
      <w:r w:rsidRPr="004005F6">
        <w:rPr>
          <w:lang w:val="es-ES"/>
        </w:rPr>
        <w:t>Al examinar el plan administrativo revisado del PNUD para</w:t>
      </w:r>
      <w:r w:rsidR="00AB4968" w:rsidRPr="004005F6">
        <w:rPr>
          <w:lang w:val="es-ES"/>
        </w:rPr>
        <w:t xml:space="preserve"> 202</w:t>
      </w:r>
      <w:r w:rsidR="00052FD3" w:rsidRPr="004005F6">
        <w:rPr>
          <w:lang w:val="es-ES"/>
        </w:rPr>
        <w:t>1</w:t>
      </w:r>
      <w:r w:rsidR="00DB5FAE" w:rsidRPr="004005F6">
        <w:rPr>
          <w:lang w:val="es-ES"/>
        </w:rPr>
        <w:t>–</w:t>
      </w:r>
      <w:r w:rsidR="00AB4968" w:rsidRPr="004005F6">
        <w:rPr>
          <w:lang w:val="es-ES"/>
        </w:rPr>
        <w:t>202</w:t>
      </w:r>
      <w:r w:rsidR="00052FD3" w:rsidRPr="004005F6">
        <w:rPr>
          <w:lang w:val="es-ES"/>
        </w:rPr>
        <w:t>3</w:t>
      </w:r>
      <w:r w:rsidR="009E5971" w:rsidRPr="004005F6">
        <w:rPr>
          <w:lang w:val="es-ES"/>
        </w:rPr>
        <w:t>, </w:t>
      </w:r>
      <w:r w:rsidRPr="004005F6">
        <w:rPr>
          <w:lang w:val="es-ES"/>
        </w:rPr>
        <w:t>la Secretaría observ</w:t>
      </w:r>
      <w:r>
        <w:rPr>
          <w:lang w:val="es-ES"/>
        </w:rPr>
        <w:t>ó</w:t>
      </w:r>
      <w:r w:rsidRPr="004005F6">
        <w:rPr>
          <w:lang w:val="es-ES"/>
        </w:rPr>
        <w:t xml:space="preserve"> que no se habían incluido los ajustes siguientes</w:t>
      </w:r>
      <w:r w:rsidR="00AB4968" w:rsidRPr="004005F6">
        <w:rPr>
          <w:lang w:val="es-ES"/>
        </w:rPr>
        <w:t xml:space="preserve">: </w:t>
      </w:r>
    </w:p>
    <w:p w14:paraId="601CB63A" w14:textId="4887C65B" w:rsidR="00AF4584" w:rsidRDefault="00AF4584">
      <w:pPr>
        <w:jc w:val="left"/>
        <w:rPr>
          <w:lang w:val="es-ES"/>
        </w:rPr>
      </w:pPr>
      <w:r>
        <w:rPr>
          <w:lang w:val="es-ES"/>
        </w:rPr>
        <w:br w:type="page"/>
      </w:r>
    </w:p>
    <w:p w14:paraId="31A158D8" w14:textId="7308F15D" w:rsidR="00AB4968" w:rsidRPr="004005F6" w:rsidRDefault="00D11899" w:rsidP="00AB4968">
      <w:pPr>
        <w:keepNext/>
        <w:rPr>
          <w:b/>
          <w:bCs/>
          <w:lang w:val="es-ES"/>
        </w:rPr>
      </w:pPr>
      <w:r w:rsidRPr="00846A22">
        <w:rPr>
          <w:b/>
          <w:lang w:val="es-AR"/>
        </w:rPr>
        <w:lastRenderedPageBreak/>
        <w:t>Cuadro</w:t>
      </w:r>
      <w:r w:rsidR="00AB4968" w:rsidRPr="00846A22">
        <w:rPr>
          <w:b/>
          <w:lang w:val="es-AR"/>
        </w:rPr>
        <w:t xml:space="preserve"> 3. </w:t>
      </w:r>
      <w:r w:rsidR="004005F6" w:rsidRPr="004005F6">
        <w:rPr>
          <w:b/>
          <w:bCs/>
          <w:lang w:val="es-ES"/>
        </w:rPr>
        <w:t>A</w:t>
      </w:r>
      <w:r w:rsidR="00AB4968" w:rsidRPr="004005F6">
        <w:rPr>
          <w:b/>
          <w:bCs/>
          <w:lang w:val="es-ES"/>
        </w:rPr>
        <w:t>just</w:t>
      </w:r>
      <w:r w:rsidR="004005F6" w:rsidRPr="004005F6">
        <w:rPr>
          <w:b/>
          <w:bCs/>
          <w:lang w:val="es-ES"/>
        </w:rPr>
        <w:t xml:space="preserve">es al plan </w:t>
      </w:r>
      <w:proofErr w:type="spellStart"/>
      <w:r w:rsidR="004005F6" w:rsidRPr="004005F6">
        <w:rPr>
          <w:b/>
          <w:bCs/>
          <w:lang w:val="es-ES"/>
        </w:rPr>
        <w:t>administativo</w:t>
      </w:r>
      <w:proofErr w:type="spellEnd"/>
      <w:r w:rsidR="004005F6" w:rsidRPr="004005F6">
        <w:rPr>
          <w:b/>
          <w:bCs/>
          <w:lang w:val="es-ES"/>
        </w:rPr>
        <w:t xml:space="preserve"> del PNUD para</w:t>
      </w:r>
      <w:r w:rsidR="00AB4968" w:rsidRPr="004005F6">
        <w:rPr>
          <w:b/>
          <w:bCs/>
          <w:lang w:val="es-ES"/>
        </w:rPr>
        <w:t xml:space="preserve"> 2021–2023 (000</w:t>
      </w:r>
      <w:r w:rsidR="004005F6">
        <w:rPr>
          <w:b/>
          <w:bCs/>
          <w:lang w:val="es-ES"/>
        </w:rPr>
        <w:t xml:space="preserve"> $ EUA</w:t>
      </w:r>
      <w:r w:rsidR="00AB4968" w:rsidRPr="004005F6">
        <w:rPr>
          <w:b/>
          <w:bCs/>
          <w:lang w:val="es-ES"/>
        </w:rPr>
        <w:t>)</w:t>
      </w:r>
    </w:p>
    <w:tbl>
      <w:tblPr>
        <w:tblStyle w:val="TableGrid"/>
        <w:tblW w:w="9356" w:type="dxa"/>
        <w:tblInd w:w="-5" w:type="dxa"/>
        <w:tblLook w:val="04A0" w:firstRow="1" w:lastRow="0" w:firstColumn="1" w:lastColumn="0" w:noHBand="0" w:noVBand="1"/>
      </w:tblPr>
      <w:tblGrid>
        <w:gridCol w:w="6096"/>
        <w:gridCol w:w="1701"/>
        <w:gridCol w:w="1559"/>
      </w:tblGrid>
      <w:tr w:rsidR="005A3A16" w:rsidRPr="005A3A16" w14:paraId="35FCD5AE" w14:textId="77777777" w:rsidTr="00E335BB">
        <w:trPr>
          <w:tblHeader/>
        </w:trPr>
        <w:tc>
          <w:tcPr>
            <w:tcW w:w="6096" w:type="dxa"/>
          </w:tcPr>
          <w:p w14:paraId="15DA18DC" w14:textId="47A810B3" w:rsidR="00AB4968" w:rsidRPr="005A3A16" w:rsidRDefault="004005F6" w:rsidP="00D11899">
            <w:pPr>
              <w:rPr>
                <w:b/>
                <w:sz w:val="21"/>
                <w:szCs w:val="21"/>
                <w:lang w:val="en-CA"/>
              </w:rPr>
            </w:pPr>
            <w:proofErr w:type="spellStart"/>
            <w:r>
              <w:rPr>
                <w:b/>
                <w:sz w:val="21"/>
                <w:szCs w:val="21"/>
                <w:lang w:val="en-CA"/>
              </w:rPr>
              <w:t>A</w:t>
            </w:r>
            <w:r w:rsidR="00AB4968" w:rsidRPr="005A3A16">
              <w:rPr>
                <w:b/>
                <w:sz w:val="21"/>
                <w:szCs w:val="21"/>
                <w:lang w:val="en-CA"/>
              </w:rPr>
              <w:t>juste</w:t>
            </w:r>
            <w:proofErr w:type="spellEnd"/>
          </w:p>
        </w:tc>
        <w:tc>
          <w:tcPr>
            <w:tcW w:w="1701" w:type="dxa"/>
          </w:tcPr>
          <w:p w14:paraId="6AF860D9" w14:textId="77777777" w:rsidR="00AB4968" w:rsidRPr="005A3A16" w:rsidRDefault="00AB4968" w:rsidP="00796BDA">
            <w:pPr>
              <w:jc w:val="center"/>
              <w:rPr>
                <w:b/>
                <w:sz w:val="21"/>
                <w:szCs w:val="21"/>
                <w:lang w:val="en-CA"/>
              </w:rPr>
            </w:pPr>
            <w:r w:rsidRPr="005A3A16">
              <w:rPr>
                <w:b/>
                <w:sz w:val="21"/>
                <w:szCs w:val="21"/>
                <w:lang w:val="en-CA"/>
              </w:rPr>
              <w:t>202</w:t>
            </w:r>
            <w:r w:rsidR="00796BDA" w:rsidRPr="005A3A16">
              <w:rPr>
                <w:b/>
                <w:sz w:val="21"/>
                <w:szCs w:val="21"/>
                <w:lang w:val="en-CA"/>
              </w:rPr>
              <w:t>1</w:t>
            </w:r>
            <w:r w:rsidRPr="005A3A16">
              <w:rPr>
                <w:b/>
                <w:sz w:val="21"/>
                <w:szCs w:val="21"/>
                <w:lang w:val="en-CA"/>
              </w:rPr>
              <w:t>–202</w:t>
            </w:r>
            <w:r w:rsidR="00796BDA" w:rsidRPr="005A3A16">
              <w:rPr>
                <w:b/>
                <w:sz w:val="21"/>
                <w:szCs w:val="21"/>
                <w:lang w:val="en-CA"/>
              </w:rPr>
              <w:t>3</w:t>
            </w:r>
            <w:r w:rsidRPr="005A3A16">
              <w:rPr>
                <w:b/>
                <w:sz w:val="21"/>
                <w:szCs w:val="21"/>
                <w:lang w:val="en-CA"/>
              </w:rPr>
              <w:t xml:space="preserve"> </w:t>
            </w:r>
          </w:p>
        </w:tc>
        <w:tc>
          <w:tcPr>
            <w:tcW w:w="1559" w:type="dxa"/>
          </w:tcPr>
          <w:p w14:paraId="55A8561F" w14:textId="60A4B3E7" w:rsidR="00AB4968" w:rsidRPr="005A3A16" w:rsidRDefault="004005F6" w:rsidP="00796BDA">
            <w:pPr>
              <w:ind w:left="-96" w:right="-108"/>
              <w:jc w:val="center"/>
              <w:rPr>
                <w:b/>
                <w:sz w:val="21"/>
                <w:szCs w:val="21"/>
                <w:lang w:val="en-CA"/>
              </w:rPr>
            </w:pPr>
            <w:r>
              <w:rPr>
                <w:b/>
                <w:sz w:val="21"/>
                <w:szCs w:val="21"/>
                <w:lang w:val="en-CA"/>
              </w:rPr>
              <w:t>Después de</w:t>
            </w:r>
            <w:r w:rsidR="00AB4968" w:rsidRPr="005A3A16">
              <w:rPr>
                <w:b/>
                <w:sz w:val="21"/>
                <w:szCs w:val="21"/>
                <w:lang w:val="en-CA"/>
              </w:rPr>
              <w:t xml:space="preserve"> 202</w:t>
            </w:r>
            <w:r w:rsidR="00796BDA" w:rsidRPr="005A3A16">
              <w:rPr>
                <w:b/>
                <w:sz w:val="21"/>
                <w:szCs w:val="21"/>
                <w:lang w:val="en-CA"/>
              </w:rPr>
              <w:t>3</w:t>
            </w:r>
          </w:p>
        </w:tc>
      </w:tr>
      <w:tr w:rsidR="005A3A16" w:rsidRPr="005A3A16" w14:paraId="021417F6" w14:textId="77777777" w:rsidTr="00E335BB">
        <w:tc>
          <w:tcPr>
            <w:tcW w:w="6096" w:type="dxa"/>
          </w:tcPr>
          <w:p w14:paraId="3F9E35B3" w14:textId="2B13B4CB" w:rsidR="00AB4968" w:rsidRPr="009167CF" w:rsidRDefault="009167CF" w:rsidP="009167CF">
            <w:pPr>
              <w:jc w:val="left"/>
              <w:rPr>
                <w:b/>
                <w:sz w:val="21"/>
                <w:szCs w:val="21"/>
                <w:lang w:val="es-ES"/>
              </w:rPr>
            </w:pPr>
            <w:r w:rsidRPr="009167CF">
              <w:rPr>
                <w:sz w:val="21"/>
                <w:szCs w:val="21"/>
                <w:lang w:val="es-ES"/>
              </w:rPr>
              <w:t xml:space="preserve">Valores de los </w:t>
            </w:r>
            <w:r w:rsidR="003F58CF" w:rsidRPr="009167CF">
              <w:rPr>
                <w:sz w:val="21"/>
                <w:szCs w:val="21"/>
                <w:lang w:val="es-ES"/>
              </w:rPr>
              <w:t>PGEH</w:t>
            </w:r>
            <w:r w:rsidR="00AB4968" w:rsidRPr="009167CF">
              <w:rPr>
                <w:sz w:val="21"/>
                <w:szCs w:val="21"/>
                <w:lang w:val="es-ES"/>
              </w:rPr>
              <w:t xml:space="preserve"> </w:t>
            </w:r>
            <w:r w:rsidRPr="009167CF">
              <w:rPr>
                <w:sz w:val="21"/>
                <w:szCs w:val="21"/>
                <w:lang w:val="es-ES"/>
              </w:rPr>
              <w:t>que reflejan las cifras reales aprobadas en el marco de los acuerdos</w:t>
            </w:r>
            <w:r w:rsidR="00AB4968" w:rsidRPr="009167CF">
              <w:rPr>
                <w:sz w:val="21"/>
                <w:szCs w:val="21"/>
                <w:lang w:val="es-ES"/>
              </w:rPr>
              <w:t xml:space="preserve"> </w:t>
            </w:r>
          </w:p>
        </w:tc>
        <w:tc>
          <w:tcPr>
            <w:tcW w:w="1701" w:type="dxa"/>
          </w:tcPr>
          <w:p w14:paraId="337EE46D" w14:textId="77777777" w:rsidR="00AB4968" w:rsidRPr="005A3A16" w:rsidRDefault="00796BDA" w:rsidP="00234CC3">
            <w:pPr>
              <w:jc w:val="right"/>
              <w:rPr>
                <w:sz w:val="21"/>
                <w:szCs w:val="21"/>
              </w:rPr>
            </w:pPr>
            <w:r w:rsidRPr="005A3A16">
              <w:rPr>
                <w:sz w:val="21"/>
                <w:szCs w:val="21"/>
              </w:rPr>
              <w:t>(279)</w:t>
            </w:r>
          </w:p>
        </w:tc>
        <w:tc>
          <w:tcPr>
            <w:tcW w:w="1559" w:type="dxa"/>
          </w:tcPr>
          <w:p w14:paraId="260DFF9E" w14:textId="77777777" w:rsidR="00AB4968" w:rsidRPr="005A3A16" w:rsidRDefault="00796BDA" w:rsidP="00234CC3">
            <w:pPr>
              <w:jc w:val="right"/>
              <w:rPr>
                <w:sz w:val="21"/>
                <w:szCs w:val="21"/>
              </w:rPr>
            </w:pPr>
            <w:r w:rsidRPr="005A3A16">
              <w:rPr>
                <w:sz w:val="21"/>
                <w:szCs w:val="21"/>
              </w:rPr>
              <w:t>0</w:t>
            </w:r>
          </w:p>
        </w:tc>
      </w:tr>
      <w:tr w:rsidR="005A3A16" w:rsidRPr="005A3A16" w14:paraId="7349D9C3" w14:textId="77777777" w:rsidTr="00E335BB">
        <w:tc>
          <w:tcPr>
            <w:tcW w:w="6096" w:type="dxa"/>
          </w:tcPr>
          <w:p w14:paraId="087DF29D" w14:textId="4F017BAF" w:rsidR="00AB4968" w:rsidRPr="005A7267" w:rsidRDefault="005A7267" w:rsidP="005A7267">
            <w:pPr>
              <w:jc w:val="left"/>
              <w:rPr>
                <w:sz w:val="21"/>
                <w:szCs w:val="21"/>
                <w:lang w:val="es-ES"/>
              </w:rPr>
            </w:pPr>
            <w:r w:rsidRPr="005A7267">
              <w:rPr>
                <w:sz w:val="21"/>
                <w:szCs w:val="21"/>
                <w:lang w:val="es-ES"/>
              </w:rPr>
              <w:t xml:space="preserve">Etapa </w:t>
            </w:r>
            <w:r w:rsidR="00AB4968" w:rsidRPr="005A7267">
              <w:rPr>
                <w:sz w:val="21"/>
                <w:szCs w:val="21"/>
                <w:lang w:val="es-ES"/>
              </w:rPr>
              <w:t xml:space="preserve">II </w:t>
            </w:r>
            <w:r w:rsidRPr="005A7267">
              <w:rPr>
                <w:sz w:val="21"/>
                <w:szCs w:val="21"/>
                <w:lang w:val="es-ES"/>
              </w:rPr>
              <w:t>de los</w:t>
            </w:r>
            <w:r w:rsidR="00AB4968" w:rsidRPr="005A7267">
              <w:rPr>
                <w:sz w:val="21"/>
                <w:szCs w:val="21"/>
                <w:lang w:val="es-ES"/>
              </w:rPr>
              <w:t xml:space="preserve"> </w:t>
            </w:r>
            <w:r w:rsidR="003F58CF" w:rsidRPr="005A7267">
              <w:rPr>
                <w:sz w:val="21"/>
                <w:szCs w:val="21"/>
                <w:lang w:val="es-ES"/>
              </w:rPr>
              <w:t>PGEH</w:t>
            </w:r>
            <w:r w:rsidRPr="005A7267">
              <w:rPr>
                <w:sz w:val="21"/>
                <w:szCs w:val="21"/>
                <w:lang w:val="es-ES"/>
              </w:rPr>
              <w:t xml:space="preserve"> para países de bajo consume al valor máximo </w:t>
            </w:r>
            <w:r>
              <w:rPr>
                <w:sz w:val="21"/>
                <w:szCs w:val="21"/>
                <w:lang w:val="es-ES"/>
              </w:rPr>
              <w:t>admis</w:t>
            </w:r>
            <w:r w:rsidRPr="005A7267">
              <w:rPr>
                <w:sz w:val="21"/>
                <w:szCs w:val="21"/>
                <w:lang w:val="es-ES"/>
              </w:rPr>
              <w:t xml:space="preserve">ible para cumplir el </w:t>
            </w:r>
            <w:r w:rsidR="00E6049E" w:rsidRPr="005A7267">
              <w:rPr>
                <w:sz w:val="21"/>
                <w:szCs w:val="21"/>
                <w:lang w:val="es-ES"/>
              </w:rPr>
              <w:t>100</w:t>
            </w:r>
            <w:r w:rsidR="00AB4968" w:rsidRPr="005A7267">
              <w:rPr>
                <w:sz w:val="21"/>
                <w:szCs w:val="21"/>
                <w:lang w:val="es-ES"/>
              </w:rPr>
              <w:t xml:space="preserve"> </w:t>
            </w:r>
            <w:r w:rsidRPr="005A7267">
              <w:rPr>
                <w:sz w:val="21"/>
                <w:szCs w:val="21"/>
                <w:lang w:val="es-ES"/>
              </w:rPr>
              <w:t>% de reducci</w:t>
            </w:r>
            <w:r>
              <w:rPr>
                <w:sz w:val="21"/>
                <w:szCs w:val="21"/>
                <w:lang w:val="es-ES"/>
              </w:rPr>
              <w:t xml:space="preserve">ón del nivel de referencia de </w:t>
            </w:r>
            <w:r w:rsidR="00AB4968" w:rsidRPr="005A7267">
              <w:rPr>
                <w:sz w:val="21"/>
                <w:szCs w:val="21"/>
                <w:lang w:val="es-ES"/>
              </w:rPr>
              <w:t>HCFC</w:t>
            </w:r>
            <w:r>
              <w:rPr>
                <w:sz w:val="21"/>
                <w:szCs w:val="21"/>
                <w:lang w:val="es-ES"/>
              </w:rPr>
              <w:t>, basado en la decisión</w:t>
            </w:r>
            <w:r w:rsidR="00AB4968" w:rsidRPr="005A7267">
              <w:rPr>
                <w:sz w:val="21"/>
                <w:szCs w:val="21"/>
                <w:lang w:val="es-ES"/>
              </w:rPr>
              <w:t> 74/50</w:t>
            </w:r>
            <w:r>
              <w:rPr>
                <w:sz w:val="21"/>
                <w:szCs w:val="21"/>
                <w:lang w:val="es-ES"/>
              </w:rPr>
              <w:t xml:space="preserve"> </w:t>
            </w:r>
            <w:r w:rsidR="00AB4968" w:rsidRPr="005A7267">
              <w:rPr>
                <w:sz w:val="21"/>
                <w:szCs w:val="21"/>
                <w:lang w:val="es-ES"/>
              </w:rPr>
              <w:t>c)</w:t>
            </w:r>
            <w:r>
              <w:rPr>
                <w:sz w:val="21"/>
                <w:szCs w:val="21"/>
                <w:lang w:val="es-ES"/>
              </w:rPr>
              <w:t xml:space="preserve"> </w:t>
            </w:r>
            <w:r w:rsidR="00AB4968" w:rsidRPr="005A7267">
              <w:rPr>
                <w:sz w:val="21"/>
                <w:szCs w:val="21"/>
                <w:lang w:val="es-ES"/>
              </w:rPr>
              <w:t>xii)</w:t>
            </w:r>
          </w:p>
        </w:tc>
        <w:tc>
          <w:tcPr>
            <w:tcW w:w="1701" w:type="dxa"/>
          </w:tcPr>
          <w:p w14:paraId="62D12AA7" w14:textId="77777777" w:rsidR="00AB4968" w:rsidRPr="005A3A16" w:rsidRDefault="00E6049E" w:rsidP="00234CC3">
            <w:pPr>
              <w:jc w:val="right"/>
              <w:rPr>
                <w:sz w:val="21"/>
                <w:szCs w:val="21"/>
              </w:rPr>
            </w:pPr>
            <w:r w:rsidRPr="005A3A16">
              <w:rPr>
                <w:sz w:val="21"/>
                <w:szCs w:val="21"/>
              </w:rPr>
              <w:t>(55)</w:t>
            </w:r>
          </w:p>
        </w:tc>
        <w:tc>
          <w:tcPr>
            <w:tcW w:w="1559" w:type="dxa"/>
          </w:tcPr>
          <w:p w14:paraId="0D5E3CA9" w14:textId="77777777" w:rsidR="00AB4968" w:rsidRPr="005A3A16" w:rsidRDefault="00E6049E" w:rsidP="00234CC3">
            <w:pPr>
              <w:jc w:val="right"/>
              <w:rPr>
                <w:sz w:val="21"/>
                <w:szCs w:val="21"/>
              </w:rPr>
            </w:pPr>
            <w:r w:rsidRPr="005A3A16">
              <w:rPr>
                <w:sz w:val="21"/>
                <w:szCs w:val="21"/>
              </w:rPr>
              <w:t>0</w:t>
            </w:r>
          </w:p>
        </w:tc>
      </w:tr>
      <w:tr w:rsidR="005A3A16" w:rsidRPr="005A3A16" w14:paraId="652E495B" w14:textId="77777777" w:rsidTr="00E335BB">
        <w:tc>
          <w:tcPr>
            <w:tcW w:w="6096" w:type="dxa"/>
          </w:tcPr>
          <w:p w14:paraId="7333FAC8" w14:textId="0B378751" w:rsidR="00352EDA" w:rsidRPr="009167CF" w:rsidRDefault="00352EDA" w:rsidP="009167CF">
            <w:pPr>
              <w:jc w:val="left"/>
              <w:rPr>
                <w:sz w:val="21"/>
                <w:szCs w:val="21"/>
                <w:lang w:val="es-ES"/>
              </w:rPr>
            </w:pPr>
            <w:r w:rsidRPr="009167CF">
              <w:rPr>
                <w:sz w:val="21"/>
                <w:szCs w:val="21"/>
                <w:lang w:val="es-ES"/>
              </w:rPr>
              <w:t xml:space="preserve">PRP </w:t>
            </w:r>
            <w:r w:rsidR="009167CF" w:rsidRPr="009167CF">
              <w:rPr>
                <w:sz w:val="21"/>
                <w:szCs w:val="21"/>
                <w:lang w:val="es-ES"/>
              </w:rPr>
              <w:t xml:space="preserve">para la etapa </w:t>
            </w:r>
            <w:r w:rsidRPr="009167CF">
              <w:rPr>
                <w:sz w:val="21"/>
                <w:szCs w:val="21"/>
                <w:lang w:val="es-ES"/>
              </w:rPr>
              <w:t xml:space="preserve">III </w:t>
            </w:r>
            <w:r w:rsidR="009167CF" w:rsidRPr="009167CF">
              <w:rPr>
                <w:sz w:val="21"/>
                <w:szCs w:val="21"/>
                <w:lang w:val="es-ES"/>
              </w:rPr>
              <w:t xml:space="preserve">de los </w:t>
            </w:r>
            <w:r w:rsidR="003F58CF" w:rsidRPr="009167CF">
              <w:rPr>
                <w:sz w:val="21"/>
                <w:szCs w:val="21"/>
                <w:lang w:val="es-ES"/>
              </w:rPr>
              <w:t>PGEH</w:t>
            </w:r>
            <w:r w:rsidR="009167CF">
              <w:rPr>
                <w:sz w:val="21"/>
                <w:szCs w:val="21"/>
                <w:lang w:val="es-ES"/>
              </w:rPr>
              <w:t xml:space="preserve"> conforme a la decisión</w:t>
            </w:r>
            <w:r w:rsidRPr="009167CF">
              <w:rPr>
                <w:sz w:val="21"/>
                <w:szCs w:val="21"/>
                <w:lang w:val="es-ES"/>
              </w:rPr>
              <w:t xml:space="preserve"> 84/46</w:t>
            </w:r>
            <w:r w:rsidR="009167CF">
              <w:rPr>
                <w:sz w:val="21"/>
                <w:szCs w:val="21"/>
                <w:lang w:val="es-ES"/>
              </w:rPr>
              <w:t xml:space="preserve"> </w:t>
            </w:r>
            <w:r w:rsidRPr="009167CF">
              <w:rPr>
                <w:sz w:val="21"/>
                <w:szCs w:val="21"/>
                <w:lang w:val="es-ES"/>
              </w:rPr>
              <w:t>e)</w:t>
            </w:r>
          </w:p>
        </w:tc>
        <w:tc>
          <w:tcPr>
            <w:tcW w:w="1701" w:type="dxa"/>
          </w:tcPr>
          <w:p w14:paraId="2C28CF0E" w14:textId="77777777" w:rsidR="00352EDA" w:rsidRPr="005A3A16" w:rsidRDefault="00352EDA" w:rsidP="00352EDA">
            <w:pPr>
              <w:jc w:val="right"/>
              <w:rPr>
                <w:sz w:val="21"/>
                <w:szCs w:val="21"/>
              </w:rPr>
            </w:pPr>
            <w:r w:rsidRPr="005A3A16">
              <w:rPr>
                <w:sz w:val="21"/>
                <w:szCs w:val="21"/>
              </w:rPr>
              <w:t>(192)</w:t>
            </w:r>
          </w:p>
        </w:tc>
        <w:tc>
          <w:tcPr>
            <w:tcW w:w="1559" w:type="dxa"/>
          </w:tcPr>
          <w:p w14:paraId="349C246D" w14:textId="77777777" w:rsidR="00352EDA" w:rsidRPr="005A3A16" w:rsidRDefault="00352EDA" w:rsidP="00352EDA">
            <w:pPr>
              <w:jc w:val="right"/>
              <w:rPr>
                <w:sz w:val="21"/>
                <w:szCs w:val="21"/>
              </w:rPr>
            </w:pPr>
            <w:r w:rsidRPr="005A3A16">
              <w:rPr>
                <w:sz w:val="21"/>
                <w:szCs w:val="21"/>
              </w:rPr>
              <w:t>0</w:t>
            </w:r>
          </w:p>
        </w:tc>
      </w:tr>
      <w:tr w:rsidR="005A3A16" w:rsidRPr="005A3A16" w14:paraId="09DDE35D" w14:textId="77777777" w:rsidTr="00E335BB">
        <w:tc>
          <w:tcPr>
            <w:tcW w:w="6096" w:type="dxa"/>
          </w:tcPr>
          <w:p w14:paraId="3BC10725" w14:textId="0F141101" w:rsidR="00423951" w:rsidRPr="005A7267" w:rsidRDefault="005A7267" w:rsidP="005A7267">
            <w:pPr>
              <w:jc w:val="left"/>
              <w:rPr>
                <w:sz w:val="21"/>
                <w:szCs w:val="21"/>
                <w:lang w:val="es-ES"/>
              </w:rPr>
            </w:pPr>
            <w:r w:rsidRPr="005A7267">
              <w:rPr>
                <w:sz w:val="21"/>
                <w:szCs w:val="21"/>
                <w:lang w:val="es-ES"/>
              </w:rPr>
              <w:t xml:space="preserve">Etapa </w:t>
            </w:r>
            <w:r w:rsidR="00423951" w:rsidRPr="005A7267">
              <w:rPr>
                <w:sz w:val="21"/>
                <w:szCs w:val="21"/>
                <w:lang w:val="es-ES"/>
              </w:rPr>
              <w:t xml:space="preserve">III </w:t>
            </w:r>
            <w:r w:rsidRPr="005A7267">
              <w:rPr>
                <w:sz w:val="21"/>
                <w:szCs w:val="21"/>
                <w:lang w:val="es-ES"/>
              </w:rPr>
              <w:t>de los</w:t>
            </w:r>
            <w:r w:rsidR="00423951" w:rsidRPr="005A7267">
              <w:rPr>
                <w:sz w:val="21"/>
                <w:szCs w:val="21"/>
                <w:lang w:val="es-ES"/>
              </w:rPr>
              <w:t xml:space="preserve"> </w:t>
            </w:r>
            <w:r w:rsidR="003F58CF" w:rsidRPr="005A7267">
              <w:rPr>
                <w:sz w:val="21"/>
                <w:szCs w:val="21"/>
                <w:lang w:val="es-ES"/>
              </w:rPr>
              <w:t>PGEH</w:t>
            </w:r>
            <w:r w:rsidRPr="005A7267">
              <w:rPr>
                <w:sz w:val="21"/>
                <w:szCs w:val="21"/>
                <w:lang w:val="es-ES"/>
              </w:rPr>
              <w:t xml:space="preserve"> para países que no tienen un bajo consum</w:t>
            </w:r>
            <w:r>
              <w:rPr>
                <w:sz w:val="21"/>
                <w:szCs w:val="21"/>
                <w:lang w:val="es-ES"/>
              </w:rPr>
              <w:t>o</w:t>
            </w:r>
            <w:r w:rsidRPr="005A7267">
              <w:rPr>
                <w:sz w:val="21"/>
                <w:szCs w:val="21"/>
                <w:lang w:val="es-ES"/>
              </w:rPr>
              <w:t xml:space="preserve"> con el sector de mantenimiento de equipos de refrigeraci</w:t>
            </w:r>
            <w:r>
              <w:rPr>
                <w:sz w:val="21"/>
                <w:szCs w:val="21"/>
                <w:lang w:val="es-ES"/>
              </w:rPr>
              <w:t>ón basado en la eficacia máxima en función de los costos de</w:t>
            </w:r>
            <w:r w:rsidR="00423951" w:rsidRPr="005A7267">
              <w:rPr>
                <w:sz w:val="21"/>
                <w:szCs w:val="21"/>
                <w:lang w:val="es-ES"/>
              </w:rPr>
              <w:t xml:space="preserve"> 4</w:t>
            </w:r>
            <w:r>
              <w:rPr>
                <w:sz w:val="21"/>
                <w:szCs w:val="21"/>
                <w:lang w:val="es-ES"/>
              </w:rPr>
              <w:t>,</w:t>
            </w:r>
            <w:r w:rsidR="00423951" w:rsidRPr="005A7267">
              <w:rPr>
                <w:sz w:val="21"/>
                <w:szCs w:val="21"/>
                <w:lang w:val="es-ES"/>
              </w:rPr>
              <w:t>80</w:t>
            </w:r>
            <w:r>
              <w:rPr>
                <w:sz w:val="21"/>
                <w:szCs w:val="21"/>
                <w:lang w:val="es-ES"/>
              </w:rPr>
              <w:t xml:space="preserve"> $ EUA</w:t>
            </w:r>
            <w:r w:rsidR="00423951" w:rsidRPr="005A7267">
              <w:rPr>
                <w:sz w:val="21"/>
                <w:szCs w:val="21"/>
                <w:lang w:val="es-ES"/>
              </w:rPr>
              <w:t>/kg</w:t>
            </w:r>
          </w:p>
        </w:tc>
        <w:tc>
          <w:tcPr>
            <w:tcW w:w="1701" w:type="dxa"/>
          </w:tcPr>
          <w:p w14:paraId="773BDD2C" w14:textId="77777777" w:rsidR="00423951" w:rsidRPr="005A3A16" w:rsidRDefault="00423951" w:rsidP="00234CC3">
            <w:pPr>
              <w:jc w:val="right"/>
              <w:rPr>
                <w:sz w:val="21"/>
                <w:szCs w:val="21"/>
              </w:rPr>
            </w:pPr>
            <w:r w:rsidRPr="005A3A16">
              <w:rPr>
                <w:sz w:val="21"/>
                <w:szCs w:val="21"/>
              </w:rPr>
              <w:t>(84)</w:t>
            </w:r>
          </w:p>
        </w:tc>
        <w:tc>
          <w:tcPr>
            <w:tcW w:w="1559" w:type="dxa"/>
          </w:tcPr>
          <w:p w14:paraId="4EA0CCCE" w14:textId="77777777" w:rsidR="00423951" w:rsidRPr="005A3A16" w:rsidRDefault="00423951" w:rsidP="00234CC3">
            <w:pPr>
              <w:jc w:val="right"/>
              <w:rPr>
                <w:sz w:val="21"/>
                <w:szCs w:val="21"/>
              </w:rPr>
            </w:pPr>
            <w:r w:rsidRPr="005A3A16">
              <w:rPr>
                <w:sz w:val="21"/>
                <w:szCs w:val="21"/>
              </w:rPr>
              <w:t>(103)</w:t>
            </w:r>
          </w:p>
        </w:tc>
      </w:tr>
      <w:tr w:rsidR="005A3A16" w:rsidRPr="005A3A16" w14:paraId="26456F43" w14:textId="77777777" w:rsidTr="00E335BB">
        <w:tc>
          <w:tcPr>
            <w:tcW w:w="6096" w:type="dxa"/>
          </w:tcPr>
          <w:p w14:paraId="2068292D" w14:textId="47924EFF" w:rsidR="00AB4968" w:rsidRPr="005A7267" w:rsidRDefault="005A7267" w:rsidP="005A7267">
            <w:pPr>
              <w:jc w:val="left"/>
              <w:rPr>
                <w:sz w:val="21"/>
                <w:szCs w:val="21"/>
                <w:lang w:val="es-ES"/>
              </w:rPr>
            </w:pPr>
            <w:r>
              <w:rPr>
                <w:sz w:val="21"/>
                <w:szCs w:val="21"/>
                <w:lang w:val="es-ES"/>
              </w:rPr>
              <w:t xml:space="preserve">Preparación de planes de reducción de los </w:t>
            </w:r>
            <w:r w:rsidR="00AB4968" w:rsidRPr="005A7267">
              <w:rPr>
                <w:sz w:val="21"/>
                <w:szCs w:val="21"/>
                <w:lang w:val="es-ES"/>
              </w:rPr>
              <w:t xml:space="preserve">HFC </w:t>
            </w:r>
            <w:r w:rsidRPr="005A7267">
              <w:rPr>
                <w:sz w:val="21"/>
                <w:szCs w:val="21"/>
                <w:lang w:val="es-ES"/>
              </w:rPr>
              <w:t>conforme a la decisión</w:t>
            </w:r>
            <w:r w:rsidR="00AB4968" w:rsidRPr="005A7267">
              <w:rPr>
                <w:sz w:val="21"/>
                <w:szCs w:val="21"/>
                <w:lang w:val="es-ES"/>
              </w:rPr>
              <w:t xml:space="preserve"> 56/16</w:t>
            </w:r>
            <w:r w:rsidRPr="005A7267">
              <w:rPr>
                <w:sz w:val="21"/>
                <w:szCs w:val="21"/>
                <w:lang w:val="es-ES"/>
              </w:rPr>
              <w:t xml:space="preserve"> </w:t>
            </w:r>
            <w:r w:rsidR="00AB4968" w:rsidRPr="005A7267">
              <w:rPr>
                <w:sz w:val="21"/>
                <w:szCs w:val="21"/>
                <w:lang w:val="es-ES"/>
              </w:rPr>
              <w:t xml:space="preserve">c) o </w:t>
            </w:r>
            <w:r w:rsidRPr="005A7267">
              <w:rPr>
                <w:sz w:val="21"/>
                <w:szCs w:val="21"/>
                <w:lang w:val="es-ES"/>
              </w:rPr>
              <w:t xml:space="preserve">la </w:t>
            </w:r>
            <w:r w:rsidR="001B375E" w:rsidRPr="005A7267">
              <w:rPr>
                <w:sz w:val="21"/>
                <w:szCs w:val="21"/>
                <w:lang w:val="es-ES"/>
              </w:rPr>
              <w:t>decisi</w:t>
            </w:r>
            <w:r w:rsidRPr="005A7267">
              <w:rPr>
                <w:sz w:val="21"/>
                <w:szCs w:val="21"/>
                <w:lang w:val="es-ES"/>
              </w:rPr>
              <w:t>ó</w:t>
            </w:r>
            <w:r w:rsidR="001B375E" w:rsidRPr="005A7267">
              <w:rPr>
                <w:sz w:val="21"/>
                <w:szCs w:val="21"/>
                <w:lang w:val="es-ES"/>
              </w:rPr>
              <w:t>n</w:t>
            </w:r>
            <w:r w:rsidR="007526F3" w:rsidRPr="005A7267">
              <w:rPr>
                <w:sz w:val="21"/>
                <w:szCs w:val="21"/>
                <w:lang w:val="es-ES"/>
              </w:rPr>
              <w:t> </w:t>
            </w:r>
            <w:r w:rsidR="00F80A26" w:rsidRPr="005A7267">
              <w:rPr>
                <w:sz w:val="21"/>
                <w:szCs w:val="21"/>
                <w:lang w:val="es-ES"/>
              </w:rPr>
              <w:t>84/46</w:t>
            </w:r>
            <w:r>
              <w:rPr>
                <w:sz w:val="21"/>
                <w:szCs w:val="21"/>
                <w:lang w:val="es-ES"/>
              </w:rPr>
              <w:t xml:space="preserve"> </w:t>
            </w:r>
            <w:r w:rsidR="00F80A26" w:rsidRPr="005A7267">
              <w:rPr>
                <w:sz w:val="21"/>
                <w:szCs w:val="21"/>
                <w:lang w:val="es-ES"/>
              </w:rPr>
              <w:t>f)</w:t>
            </w:r>
          </w:p>
        </w:tc>
        <w:tc>
          <w:tcPr>
            <w:tcW w:w="1701" w:type="dxa"/>
          </w:tcPr>
          <w:p w14:paraId="57005446" w14:textId="77777777" w:rsidR="00AB4968" w:rsidRPr="005A3A16" w:rsidRDefault="00E6049E" w:rsidP="00762482">
            <w:pPr>
              <w:jc w:val="right"/>
              <w:rPr>
                <w:sz w:val="21"/>
                <w:szCs w:val="21"/>
              </w:rPr>
            </w:pPr>
            <w:r w:rsidRPr="005A3A16">
              <w:rPr>
                <w:sz w:val="21"/>
                <w:szCs w:val="21"/>
              </w:rPr>
              <w:t>(</w:t>
            </w:r>
            <w:r w:rsidR="00762482" w:rsidRPr="005A3A16">
              <w:rPr>
                <w:sz w:val="21"/>
                <w:szCs w:val="21"/>
              </w:rPr>
              <w:t>917</w:t>
            </w:r>
            <w:r w:rsidRPr="005A3A16">
              <w:rPr>
                <w:sz w:val="21"/>
                <w:szCs w:val="21"/>
              </w:rPr>
              <w:t>)</w:t>
            </w:r>
          </w:p>
        </w:tc>
        <w:tc>
          <w:tcPr>
            <w:tcW w:w="1559" w:type="dxa"/>
          </w:tcPr>
          <w:p w14:paraId="42ADF2B9" w14:textId="77777777" w:rsidR="00AB4968" w:rsidRPr="005A3A16" w:rsidRDefault="00E6049E" w:rsidP="00234CC3">
            <w:pPr>
              <w:jc w:val="right"/>
              <w:rPr>
                <w:sz w:val="21"/>
                <w:szCs w:val="21"/>
              </w:rPr>
            </w:pPr>
            <w:r w:rsidRPr="005A3A16">
              <w:rPr>
                <w:sz w:val="21"/>
                <w:szCs w:val="21"/>
              </w:rPr>
              <w:t>0</w:t>
            </w:r>
          </w:p>
        </w:tc>
      </w:tr>
      <w:tr w:rsidR="005A3A16" w:rsidRPr="005A3A16" w14:paraId="58446D99" w14:textId="77777777" w:rsidTr="00E335BB">
        <w:tc>
          <w:tcPr>
            <w:tcW w:w="6096" w:type="dxa"/>
          </w:tcPr>
          <w:p w14:paraId="50CA1ED4" w14:textId="1C9A9C51" w:rsidR="00796BDA" w:rsidRPr="005A7267" w:rsidRDefault="005A7267" w:rsidP="005A7267">
            <w:pPr>
              <w:jc w:val="left"/>
              <w:rPr>
                <w:sz w:val="21"/>
                <w:szCs w:val="21"/>
                <w:lang w:val="es-ES"/>
              </w:rPr>
            </w:pPr>
            <w:r>
              <w:rPr>
                <w:sz w:val="21"/>
                <w:szCs w:val="21"/>
                <w:lang w:val="es-ES"/>
              </w:rPr>
              <w:t>Planes de gesti</w:t>
            </w:r>
            <w:r w:rsidR="00AE567F">
              <w:rPr>
                <w:sz w:val="21"/>
                <w:szCs w:val="21"/>
                <w:lang w:val="es-ES"/>
              </w:rPr>
              <w:t>ón de reducc</w:t>
            </w:r>
            <w:r w:rsidRPr="005A7267">
              <w:rPr>
                <w:sz w:val="21"/>
                <w:szCs w:val="21"/>
                <w:lang w:val="es-ES"/>
              </w:rPr>
              <w:t xml:space="preserve">ión de los </w:t>
            </w:r>
            <w:r w:rsidR="00796BDA" w:rsidRPr="005A7267">
              <w:rPr>
                <w:sz w:val="21"/>
                <w:szCs w:val="21"/>
                <w:lang w:val="es-ES"/>
              </w:rPr>
              <w:t xml:space="preserve">HFC </w:t>
            </w:r>
            <w:r w:rsidRPr="005A7267">
              <w:rPr>
                <w:sz w:val="21"/>
                <w:szCs w:val="21"/>
                <w:lang w:val="es-ES"/>
              </w:rPr>
              <w:t>conforme a la decisi</w:t>
            </w:r>
            <w:r>
              <w:rPr>
                <w:sz w:val="21"/>
                <w:szCs w:val="21"/>
                <w:lang w:val="es-ES"/>
              </w:rPr>
              <w:t>ón</w:t>
            </w:r>
            <w:r w:rsidR="00796BDA" w:rsidRPr="005A7267">
              <w:rPr>
                <w:sz w:val="21"/>
                <w:szCs w:val="21"/>
                <w:lang w:val="es-ES"/>
              </w:rPr>
              <w:t xml:space="preserve"> 84/46</w:t>
            </w:r>
            <w:r>
              <w:rPr>
                <w:sz w:val="21"/>
                <w:szCs w:val="21"/>
                <w:lang w:val="es-ES"/>
              </w:rPr>
              <w:t xml:space="preserve"> </w:t>
            </w:r>
            <w:r w:rsidR="00796BDA" w:rsidRPr="005A7267">
              <w:rPr>
                <w:sz w:val="21"/>
                <w:szCs w:val="21"/>
                <w:lang w:val="es-ES"/>
              </w:rPr>
              <w:t>g)</w:t>
            </w:r>
          </w:p>
        </w:tc>
        <w:tc>
          <w:tcPr>
            <w:tcW w:w="1701" w:type="dxa"/>
          </w:tcPr>
          <w:p w14:paraId="750D7B69" w14:textId="21758A7F" w:rsidR="00796BDA" w:rsidRPr="005A3A16" w:rsidRDefault="00796BDA" w:rsidP="00AE567F">
            <w:pPr>
              <w:jc w:val="right"/>
              <w:rPr>
                <w:sz w:val="21"/>
                <w:szCs w:val="21"/>
              </w:rPr>
            </w:pPr>
            <w:r w:rsidRPr="005A3A16">
              <w:rPr>
                <w:sz w:val="21"/>
                <w:szCs w:val="21"/>
              </w:rPr>
              <w:t>(21</w:t>
            </w:r>
            <w:r w:rsidR="00AE567F">
              <w:rPr>
                <w:sz w:val="21"/>
                <w:szCs w:val="21"/>
              </w:rPr>
              <w:t xml:space="preserve"> </w:t>
            </w:r>
            <w:r w:rsidRPr="005A3A16">
              <w:rPr>
                <w:sz w:val="21"/>
                <w:szCs w:val="21"/>
              </w:rPr>
              <w:t>895)</w:t>
            </w:r>
          </w:p>
        </w:tc>
        <w:tc>
          <w:tcPr>
            <w:tcW w:w="1559" w:type="dxa"/>
          </w:tcPr>
          <w:p w14:paraId="21446787" w14:textId="678844B7" w:rsidR="00796BDA" w:rsidRPr="005A3A16" w:rsidRDefault="00796BDA" w:rsidP="00AE567F">
            <w:pPr>
              <w:jc w:val="right"/>
              <w:rPr>
                <w:sz w:val="21"/>
                <w:szCs w:val="21"/>
              </w:rPr>
            </w:pPr>
            <w:r w:rsidRPr="005A3A16">
              <w:rPr>
                <w:sz w:val="21"/>
                <w:szCs w:val="21"/>
              </w:rPr>
              <w:t>(6</w:t>
            </w:r>
            <w:r w:rsidR="00AE567F">
              <w:rPr>
                <w:sz w:val="21"/>
                <w:szCs w:val="21"/>
              </w:rPr>
              <w:t xml:space="preserve"> </w:t>
            </w:r>
            <w:r w:rsidRPr="005A3A16">
              <w:rPr>
                <w:sz w:val="21"/>
                <w:szCs w:val="21"/>
              </w:rPr>
              <w:t>620)</w:t>
            </w:r>
          </w:p>
        </w:tc>
      </w:tr>
      <w:tr w:rsidR="005A3A16" w:rsidRPr="005A3A16" w14:paraId="0BA75E2D" w14:textId="77777777" w:rsidTr="00E335BB">
        <w:tc>
          <w:tcPr>
            <w:tcW w:w="6096" w:type="dxa"/>
          </w:tcPr>
          <w:p w14:paraId="542D7254" w14:textId="44C6544B" w:rsidR="007F28D1" w:rsidRPr="00AE567F" w:rsidRDefault="00AE567F" w:rsidP="00AE567F">
            <w:pPr>
              <w:jc w:val="left"/>
              <w:rPr>
                <w:sz w:val="21"/>
                <w:szCs w:val="21"/>
                <w:lang w:val="es-ES"/>
              </w:rPr>
            </w:pPr>
            <w:r w:rsidRPr="00AE567F">
              <w:rPr>
                <w:sz w:val="21"/>
                <w:szCs w:val="21"/>
                <w:lang w:val="es-ES"/>
              </w:rPr>
              <w:t>Fortalecimiento institucional de conformidad con la decisi</w:t>
            </w:r>
            <w:r>
              <w:rPr>
                <w:sz w:val="21"/>
                <w:szCs w:val="21"/>
                <w:lang w:val="es-ES"/>
              </w:rPr>
              <w:t>ón</w:t>
            </w:r>
            <w:r w:rsidR="007F28D1" w:rsidRPr="00AE567F">
              <w:rPr>
                <w:sz w:val="21"/>
                <w:szCs w:val="21"/>
                <w:lang w:val="es-ES"/>
              </w:rPr>
              <w:t xml:space="preserve"> 74/51c)</w:t>
            </w:r>
          </w:p>
        </w:tc>
        <w:tc>
          <w:tcPr>
            <w:tcW w:w="1701" w:type="dxa"/>
          </w:tcPr>
          <w:p w14:paraId="6E87E1FF" w14:textId="31DCF090" w:rsidR="007F28D1" w:rsidRPr="005A3A16" w:rsidRDefault="007F28D1" w:rsidP="00AE567F">
            <w:pPr>
              <w:jc w:val="right"/>
              <w:rPr>
                <w:sz w:val="21"/>
                <w:szCs w:val="21"/>
              </w:rPr>
            </w:pPr>
            <w:r w:rsidRPr="005A3A16">
              <w:rPr>
                <w:sz w:val="21"/>
                <w:szCs w:val="21"/>
              </w:rPr>
              <w:t>1</w:t>
            </w:r>
            <w:r w:rsidR="00AE567F">
              <w:rPr>
                <w:sz w:val="21"/>
                <w:szCs w:val="21"/>
              </w:rPr>
              <w:t xml:space="preserve"> </w:t>
            </w:r>
            <w:r w:rsidRPr="005A3A16">
              <w:rPr>
                <w:sz w:val="21"/>
                <w:szCs w:val="21"/>
              </w:rPr>
              <w:t>068</w:t>
            </w:r>
          </w:p>
        </w:tc>
        <w:tc>
          <w:tcPr>
            <w:tcW w:w="1559" w:type="dxa"/>
          </w:tcPr>
          <w:p w14:paraId="6DF5D989" w14:textId="77777777" w:rsidR="007F28D1" w:rsidRPr="005A3A16" w:rsidRDefault="007F28D1" w:rsidP="007F28D1">
            <w:pPr>
              <w:jc w:val="right"/>
              <w:rPr>
                <w:sz w:val="21"/>
                <w:szCs w:val="21"/>
              </w:rPr>
            </w:pPr>
            <w:r w:rsidRPr="005A3A16">
              <w:rPr>
                <w:sz w:val="21"/>
                <w:szCs w:val="21"/>
              </w:rPr>
              <w:t>0</w:t>
            </w:r>
          </w:p>
        </w:tc>
      </w:tr>
    </w:tbl>
    <w:p w14:paraId="2ED48C23" w14:textId="77777777" w:rsidR="00AB4968" w:rsidRPr="005A3A16" w:rsidRDefault="00AB4968" w:rsidP="00AB4968">
      <w:pPr>
        <w:rPr>
          <w:lang w:val="en-CA"/>
        </w:rPr>
      </w:pPr>
    </w:p>
    <w:p w14:paraId="2B10DF80" w14:textId="5AB56232" w:rsidR="00AB4968" w:rsidRPr="003C5BA5" w:rsidRDefault="003C5BA5" w:rsidP="00AB4968">
      <w:pPr>
        <w:pStyle w:val="Heading1"/>
        <w:rPr>
          <w:lang w:val="es-ES"/>
        </w:rPr>
      </w:pPr>
      <w:r w:rsidRPr="003C5BA5">
        <w:rPr>
          <w:lang w:val="es-ES"/>
        </w:rPr>
        <w:t xml:space="preserve">En el cuadro </w:t>
      </w:r>
      <w:r w:rsidR="00AB4968" w:rsidRPr="003C5BA5">
        <w:rPr>
          <w:lang w:val="es-ES"/>
        </w:rPr>
        <w:t xml:space="preserve">4 </w:t>
      </w:r>
      <w:r w:rsidRPr="003C5BA5">
        <w:rPr>
          <w:lang w:val="es-ES"/>
        </w:rPr>
        <w:t xml:space="preserve">se </w:t>
      </w:r>
      <w:r w:rsidR="00AB4968" w:rsidRPr="003C5BA5">
        <w:rPr>
          <w:lang w:val="es-ES"/>
        </w:rPr>
        <w:t>present</w:t>
      </w:r>
      <w:r w:rsidRPr="003C5BA5">
        <w:rPr>
          <w:lang w:val="es-ES"/>
        </w:rPr>
        <w:t>an los resultados de los ajustes propuestos por la Secretaría al plan administrativo del PNUD para</w:t>
      </w:r>
      <w:r w:rsidR="00AB4968" w:rsidRPr="003C5BA5">
        <w:rPr>
          <w:lang w:val="es-ES"/>
        </w:rPr>
        <w:t xml:space="preserve"> 202</w:t>
      </w:r>
      <w:r w:rsidR="00930ED0" w:rsidRPr="003C5BA5">
        <w:rPr>
          <w:lang w:val="es-ES"/>
        </w:rPr>
        <w:t>1</w:t>
      </w:r>
      <w:r w:rsidR="00AB4968" w:rsidRPr="003C5BA5">
        <w:rPr>
          <w:lang w:val="es-ES"/>
        </w:rPr>
        <w:t>–202</w:t>
      </w:r>
      <w:r w:rsidR="00930ED0" w:rsidRPr="003C5BA5">
        <w:rPr>
          <w:lang w:val="es-ES"/>
        </w:rPr>
        <w:t>3</w:t>
      </w:r>
      <w:r w:rsidR="00AB4968" w:rsidRPr="003C5BA5">
        <w:rPr>
          <w:lang w:val="es-ES"/>
        </w:rPr>
        <w:t xml:space="preserve">, </w:t>
      </w:r>
      <w:r w:rsidRPr="003C5BA5">
        <w:rPr>
          <w:lang w:val="es-ES"/>
        </w:rPr>
        <w:t>que se abordan tambi</w:t>
      </w:r>
      <w:r>
        <w:rPr>
          <w:lang w:val="es-ES"/>
        </w:rPr>
        <w:t xml:space="preserve">én en el contexto del Plan administrativo consolidado del Fondo </w:t>
      </w:r>
      <w:r w:rsidR="00E8680F" w:rsidRPr="003C5BA5">
        <w:rPr>
          <w:lang w:val="es-ES"/>
        </w:rPr>
        <w:t xml:space="preserve">Multilateral </w:t>
      </w:r>
      <w:r>
        <w:rPr>
          <w:lang w:val="es-ES"/>
        </w:rPr>
        <w:t>para</w:t>
      </w:r>
      <w:r w:rsidR="00E8680F" w:rsidRPr="003C5BA5">
        <w:rPr>
          <w:lang w:val="es-ES"/>
        </w:rPr>
        <w:t xml:space="preserve"> 2021–2023</w:t>
      </w:r>
      <w:r w:rsidR="00AB4968" w:rsidRPr="005A3A16">
        <w:rPr>
          <w:rStyle w:val="FootnoteReference"/>
        </w:rPr>
        <w:footnoteReference w:id="6"/>
      </w:r>
      <w:r>
        <w:rPr>
          <w:lang w:val="es-ES"/>
        </w:rPr>
        <w:t>.</w:t>
      </w:r>
    </w:p>
    <w:p w14:paraId="415B0199" w14:textId="64561878" w:rsidR="00AB4968" w:rsidRPr="003C5BA5" w:rsidRDefault="003C5BA5" w:rsidP="00AB4968">
      <w:pPr>
        <w:keepNext/>
        <w:rPr>
          <w:b/>
          <w:lang w:val="es-ES"/>
        </w:rPr>
      </w:pPr>
      <w:r w:rsidRPr="00846A22">
        <w:rPr>
          <w:b/>
          <w:lang w:val="es-AR"/>
        </w:rPr>
        <w:t>Cuadro</w:t>
      </w:r>
      <w:r w:rsidR="00AB4968" w:rsidRPr="00846A22">
        <w:rPr>
          <w:b/>
          <w:lang w:val="es-AR"/>
        </w:rPr>
        <w:t xml:space="preserve"> 4. </w:t>
      </w:r>
      <w:r w:rsidRPr="003C5BA5">
        <w:rPr>
          <w:b/>
          <w:lang w:val="es-ES"/>
        </w:rPr>
        <w:t>Asignación de recursos en el plan administrativ</w:t>
      </w:r>
      <w:r>
        <w:rPr>
          <w:b/>
          <w:lang w:val="es-ES"/>
        </w:rPr>
        <w:t>o</w:t>
      </w:r>
      <w:r w:rsidRPr="003C5BA5">
        <w:rPr>
          <w:b/>
          <w:lang w:val="es-ES"/>
        </w:rPr>
        <w:t xml:space="preserve"> ajustado del PNUD </w:t>
      </w:r>
      <w:r>
        <w:rPr>
          <w:b/>
          <w:lang w:val="es-ES"/>
        </w:rPr>
        <w:t>p</w:t>
      </w:r>
      <w:r w:rsidRPr="003C5BA5">
        <w:rPr>
          <w:b/>
          <w:lang w:val="es-ES"/>
        </w:rPr>
        <w:t>ara</w:t>
      </w:r>
      <w:r w:rsidR="00AB4968" w:rsidRPr="003C5BA5">
        <w:rPr>
          <w:b/>
          <w:lang w:val="es-ES"/>
        </w:rPr>
        <w:t xml:space="preserve"> 2021–2023 </w:t>
      </w:r>
      <w:r w:rsidR="00E335BB">
        <w:rPr>
          <w:b/>
          <w:lang w:val="es-ES"/>
        </w:rPr>
        <w:br/>
      </w:r>
      <w:r w:rsidR="00AB4968" w:rsidRPr="003C5BA5">
        <w:rPr>
          <w:b/>
          <w:lang w:val="es-ES"/>
        </w:rPr>
        <w:t>(000</w:t>
      </w:r>
      <w:r>
        <w:rPr>
          <w:b/>
          <w:lang w:val="es-ES"/>
        </w:rPr>
        <w:t xml:space="preserve"> $ EUA</w:t>
      </w:r>
      <w:r w:rsidR="00AB4968" w:rsidRPr="003C5BA5">
        <w:rPr>
          <w:b/>
          <w:lang w:val="es-ES"/>
        </w:rPr>
        <w:t>)*</w:t>
      </w:r>
    </w:p>
    <w:tbl>
      <w:tblPr>
        <w:tblW w:w="9340" w:type="dxa"/>
        <w:tblInd w:w="-5" w:type="dxa"/>
        <w:tblLayout w:type="fixed"/>
        <w:tblLook w:val="04A0" w:firstRow="1" w:lastRow="0" w:firstColumn="1" w:lastColumn="0" w:noHBand="0" w:noVBand="1"/>
      </w:tblPr>
      <w:tblGrid>
        <w:gridCol w:w="3353"/>
        <w:gridCol w:w="1106"/>
        <w:gridCol w:w="1219"/>
        <w:gridCol w:w="1219"/>
        <w:gridCol w:w="1219"/>
        <w:gridCol w:w="1224"/>
      </w:tblGrid>
      <w:tr w:rsidR="005A3A16" w:rsidRPr="005A3A16" w14:paraId="39BB6E4D" w14:textId="77777777" w:rsidTr="003C5BA5">
        <w:trPr>
          <w:trHeight w:val="276"/>
          <w:tblHeader/>
        </w:trPr>
        <w:tc>
          <w:tcPr>
            <w:tcW w:w="3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92B17" w14:textId="5CB62BAF" w:rsidR="00F47993" w:rsidRPr="005A3A16" w:rsidRDefault="00F47993" w:rsidP="003C5BA5">
            <w:pPr>
              <w:jc w:val="left"/>
              <w:rPr>
                <w:b/>
                <w:bCs/>
                <w:sz w:val="20"/>
                <w:szCs w:val="20"/>
                <w:lang w:val="en-CA" w:eastAsia="en-CA"/>
              </w:rPr>
            </w:pPr>
            <w:r w:rsidRPr="005A3A16">
              <w:rPr>
                <w:b/>
                <w:bCs/>
                <w:sz w:val="20"/>
                <w:szCs w:val="20"/>
                <w:lang w:val="en-CA" w:eastAsia="en-CA"/>
              </w:rPr>
              <w:t>Descrip</w:t>
            </w:r>
            <w:r w:rsidR="003C5BA5">
              <w:rPr>
                <w:b/>
                <w:bCs/>
                <w:sz w:val="20"/>
                <w:szCs w:val="20"/>
                <w:lang w:val="en-CA" w:eastAsia="en-CA"/>
              </w:rPr>
              <w:t>c</w:t>
            </w:r>
            <w:r w:rsidRPr="005A3A16">
              <w:rPr>
                <w:b/>
                <w:bCs/>
                <w:sz w:val="20"/>
                <w:szCs w:val="20"/>
                <w:lang w:val="en-CA" w:eastAsia="en-CA"/>
              </w:rPr>
              <w:t>i</w:t>
            </w:r>
            <w:r w:rsidR="003C5BA5">
              <w:rPr>
                <w:b/>
                <w:bCs/>
                <w:sz w:val="20"/>
                <w:szCs w:val="20"/>
                <w:lang w:val="en-CA" w:eastAsia="en-CA"/>
              </w:rPr>
              <w:t>ó</w:t>
            </w:r>
            <w:r w:rsidRPr="005A3A16">
              <w:rPr>
                <w:b/>
                <w:bCs/>
                <w:sz w:val="20"/>
                <w:szCs w:val="20"/>
                <w:lang w:val="en-CA" w:eastAsia="en-CA"/>
              </w:rPr>
              <w:t>n </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06D6E966" w14:textId="77777777" w:rsidR="00F47993" w:rsidRPr="005A3A16" w:rsidRDefault="00F47993" w:rsidP="00F47993">
            <w:pPr>
              <w:jc w:val="center"/>
              <w:rPr>
                <w:b/>
                <w:bCs/>
                <w:sz w:val="20"/>
                <w:szCs w:val="20"/>
                <w:lang w:val="en-CA" w:eastAsia="en-CA"/>
              </w:rPr>
            </w:pPr>
            <w:r w:rsidRPr="005A3A16">
              <w:rPr>
                <w:b/>
                <w:bCs/>
                <w:sz w:val="20"/>
                <w:szCs w:val="20"/>
                <w:lang w:val="en-CA" w:eastAsia="en-CA"/>
              </w:rPr>
              <w:t>2021</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7DC4B1F0" w14:textId="77777777" w:rsidR="00F47993" w:rsidRPr="005A3A16" w:rsidRDefault="00F47993" w:rsidP="00F47993">
            <w:pPr>
              <w:jc w:val="center"/>
              <w:rPr>
                <w:b/>
                <w:bCs/>
                <w:sz w:val="20"/>
                <w:szCs w:val="20"/>
                <w:lang w:val="en-CA" w:eastAsia="en-CA"/>
              </w:rPr>
            </w:pPr>
            <w:r w:rsidRPr="005A3A16">
              <w:rPr>
                <w:b/>
                <w:bCs/>
                <w:sz w:val="20"/>
                <w:szCs w:val="20"/>
                <w:lang w:val="en-CA" w:eastAsia="en-CA"/>
              </w:rPr>
              <w:t>2022</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7DEB33C1" w14:textId="77777777" w:rsidR="00F47993" w:rsidRPr="005A3A16" w:rsidRDefault="00F47993" w:rsidP="00F47993">
            <w:pPr>
              <w:jc w:val="center"/>
              <w:rPr>
                <w:b/>
                <w:bCs/>
                <w:sz w:val="20"/>
                <w:szCs w:val="20"/>
                <w:lang w:val="en-CA" w:eastAsia="en-CA"/>
              </w:rPr>
            </w:pPr>
            <w:r w:rsidRPr="005A3A16">
              <w:rPr>
                <w:b/>
                <w:bCs/>
                <w:sz w:val="20"/>
                <w:szCs w:val="20"/>
                <w:lang w:val="en-CA" w:eastAsia="en-CA"/>
              </w:rPr>
              <w:t>2023</w:t>
            </w:r>
          </w:p>
        </w:tc>
        <w:tc>
          <w:tcPr>
            <w:tcW w:w="121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32D5EC9" w14:textId="4354DB68" w:rsidR="00F47993" w:rsidRPr="005A3A16" w:rsidRDefault="00F47993" w:rsidP="00F47993">
            <w:pPr>
              <w:jc w:val="center"/>
              <w:rPr>
                <w:b/>
                <w:bCs/>
                <w:sz w:val="20"/>
                <w:szCs w:val="20"/>
                <w:lang w:val="en-CA" w:eastAsia="en-CA"/>
              </w:rPr>
            </w:pPr>
            <w:r w:rsidRPr="005A3A16">
              <w:rPr>
                <w:b/>
                <w:bCs/>
                <w:sz w:val="20"/>
                <w:szCs w:val="20"/>
                <w:lang w:val="en-CA" w:eastAsia="en-CA"/>
              </w:rPr>
              <w:t xml:space="preserve">Total </w:t>
            </w:r>
            <w:r w:rsidR="00E335BB">
              <w:rPr>
                <w:b/>
                <w:bCs/>
                <w:sz w:val="20"/>
                <w:szCs w:val="20"/>
                <w:lang w:val="en-CA" w:eastAsia="en-CA"/>
              </w:rPr>
              <w:br/>
            </w:r>
            <w:r w:rsidRPr="005A3A16">
              <w:rPr>
                <w:b/>
                <w:bCs/>
                <w:sz w:val="20"/>
                <w:szCs w:val="20"/>
                <w:lang w:val="en-CA" w:eastAsia="en-CA"/>
              </w:rPr>
              <w:t>(2021–2023)</w:t>
            </w:r>
          </w:p>
        </w:tc>
        <w:tc>
          <w:tcPr>
            <w:tcW w:w="12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E9A1F9C" w14:textId="2D9E99BE" w:rsidR="00F47993" w:rsidRPr="005A3A16" w:rsidRDefault="00F47993" w:rsidP="003C5BA5">
            <w:pPr>
              <w:jc w:val="center"/>
              <w:rPr>
                <w:b/>
                <w:bCs/>
                <w:sz w:val="20"/>
                <w:szCs w:val="20"/>
                <w:lang w:val="en-CA" w:eastAsia="en-CA"/>
              </w:rPr>
            </w:pPr>
            <w:r w:rsidRPr="005A3A16">
              <w:rPr>
                <w:b/>
                <w:bCs/>
                <w:sz w:val="20"/>
                <w:szCs w:val="20"/>
                <w:lang w:val="en-CA" w:eastAsia="en-CA"/>
              </w:rPr>
              <w:t xml:space="preserve">Total </w:t>
            </w:r>
            <w:r w:rsidR="003C5BA5">
              <w:rPr>
                <w:b/>
                <w:bCs/>
                <w:sz w:val="20"/>
                <w:szCs w:val="20"/>
                <w:lang w:val="en-CA" w:eastAsia="en-CA"/>
              </w:rPr>
              <w:t>después de</w:t>
            </w:r>
            <w:r w:rsidRPr="005A3A16">
              <w:rPr>
                <w:b/>
                <w:bCs/>
                <w:sz w:val="20"/>
                <w:szCs w:val="20"/>
                <w:lang w:val="en-CA" w:eastAsia="en-CA"/>
              </w:rPr>
              <w:t xml:space="preserve"> 2023</w:t>
            </w:r>
          </w:p>
        </w:tc>
      </w:tr>
      <w:tr w:rsidR="005A3A16" w:rsidRPr="00846A22" w14:paraId="579AD7EC" w14:textId="77777777" w:rsidTr="00B928AB">
        <w:trPr>
          <w:trHeight w:val="176"/>
        </w:trPr>
        <w:tc>
          <w:tcPr>
            <w:tcW w:w="934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66835683" w14:textId="24882B6E" w:rsidR="00F47993" w:rsidRPr="003C5BA5" w:rsidRDefault="003C5BA5" w:rsidP="003C5BA5">
            <w:pPr>
              <w:jc w:val="left"/>
              <w:rPr>
                <w:b/>
                <w:bCs/>
                <w:sz w:val="20"/>
                <w:szCs w:val="20"/>
                <w:lang w:val="es-ES" w:eastAsia="en-CA"/>
              </w:rPr>
            </w:pPr>
            <w:r w:rsidRPr="003C5BA5">
              <w:rPr>
                <w:b/>
                <w:bCs/>
                <w:sz w:val="20"/>
                <w:szCs w:val="20"/>
                <w:lang w:val="es-ES" w:eastAsia="en-CA"/>
              </w:rPr>
              <w:t xml:space="preserve">Actividades relativas a los </w:t>
            </w:r>
            <w:r w:rsidR="00F47993" w:rsidRPr="003C5BA5">
              <w:rPr>
                <w:b/>
                <w:bCs/>
                <w:sz w:val="20"/>
                <w:szCs w:val="20"/>
                <w:lang w:val="es-ES" w:eastAsia="en-CA"/>
              </w:rPr>
              <w:t xml:space="preserve">HCFC </w:t>
            </w:r>
          </w:p>
        </w:tc>
      </w:tr>
      <w:tr w:rsidR="005A3A16" w:rsidRPr="005A3A16" w14:paraId="73C64121" w14:textId="77777777" w:rsidTr="003C5BA5">
        <w:trPr>
          <w:trHeight w:val="209"/>
        </w:trPr>
        <w:tc>
          <w:tcPr>
            <w:tcW w:w="3353" w:type="dxa"/>
            <w:tcBorders>
              <w:top w:val="nil"/>
              <w:left w:val="single" w:sz="4" w:space="0" w:color="auto"/>
              <w:bottom w:val="single" w:sz="4" w:space="0" w:color="auto"/>
              <w:right w:val="single" w:sz="4" w:space="0" w:color="auto"/>
            </w:tcBorders>
            <w:shd w:val="clear" w:color="auto" w:fill="auto"/>
            <w:noWrap/>
            <w:hideMark/>
          </w:tcPr>
          <w:p w14:paraId="6A5A6DFF" w14:textId="49E1B05A" w:rsidR="00F47993" w:rsidRPr="007B63DE" w:rsidRDefault="007B63DE" w:rsidP="007B63DE">
            <w:pPr>
              <w:jc w:val="left"/>
              <w:rPr>
                <w:sz w:val="20"/>
                <w:szCs w:val="20"/>
                <w:lang w:val="es-ES" w:eastAsia="en-CA"/>
              </w:rPr>
            </w:pPr>
            <w:r w:rsidRPr="007B63DE">
              <w:rPr>
                <w:sz w:val="20"/>
                <w:szCs w:val="20"/>
                <w:lang w:val="es-ES" w:eastAsia="en-CA"/>
              </w:rPr>
              <w:t xml:space="preserve">Planes de gestión de eliminación de los </w:t>
            </w:r>
            <w:r w:rsidR="00F47993" w:rsidRPr="007B63DE">
              <w:rPr>
                <w:sz w:val="20"/>
                <w:szCs w:val="20"/>
                <w:lang w:val="es-ES" w:eastAsia="en-CA"/>
              </w:rPr>
              <w:t>HCFC (</w:t>
            </w:r>
            <w:r w:rsidR="003F58CF" w:rsidRPr="007B63DE">
              <w:rPr>
                <w:sz w:val="20"/>
                <w:szCs w:val="20"/>
                <w:lang w:val="es-ES" w:eastAsia="en-CA"/>
              </w:rPr>
              <w:t>PGEH</w:t>
            </w:r>
            <w:r w:rsidR="00F47993" w:rsidRPr="007B63DE">
              <w:rPr>
                <w:sz w:val="20"/>
                <w:szCs w:val="20"/>
                <w:lang w:val="es-ES" w:eastAsia="en-CA"/>
              </w:rPr>
              <w:t>)</w:t>
            </w:r>
            <w:r>
              <w:rPr>
                <w:sz w:val="20"/>
                <w:szCs w:val="20"/>
                <w:lang w:val="es-ES" w:eastAsia="en-CA"/>
              </w:rPr>
              <w:t xml:space="preserve"> aprobados</w:t>
            </w:r>
          </w:p>
        </w:tc>
        <w:tc>
          <w:tcPr>
            <w:tcW w:w="1106" w:type="dxa"/>
            <w:tcBorders>
              <w:top w:val="nil"/>
              <w:left w:val="nil"/>
              <w:bottom w:val="single" w:sz="4" w:space="0" w:color="auto"/>
              <w:right w:val="single" w:sz="4" w:space="0" w:color="auto"/>
            </w:tcBorders>
            <w:shd w:val="clear" w:color="auto" w:fill="auto"/>
            <w:noWrap/>
            <w:hideMark/>
          </w:tcPr>
          <w:p w14:paraId="2A3AB3BE" w14:textId="44957D7D" w:rsidR="00F47993" w:rsidRPr="005A3A16" w:rsidRDefault="00F47993" w:rsidP="00F47993">
            <w:pPr>
              <w:jc w:val="right"/>
              <w:rPr>
                <w:sz w:val="20"/>
                <w:szCs w:val="20"/>
                <w:lang w:val="en-CA" w:eastAsia="en-CA"/>
              </w:rPr>
            </w:pPr>
            <w:r w:rsidRPr="005A3A16">
              <w:rPr>
                <w:sz w:val="20"/>
                <w:szCs w:val="20"/>
                <w:lang w:val="en-CA" w:eastAsia="en-CA"/>
              </w:rPr>
              <w:t>23</w:t>
            </w:r>
            <w:r w:rsidR="00AF4584">
              <w:rPr>
                <w:sz w:val="20"/>
                <w:szCs w:val="20"/>
                <w:lang w:val="en-CA" w:eastAsia="en-CA"/>
              </w:rPr>
              <w:t xml:space="preserve"> </w:t>
            </w:r>
            <w:r w:rsidRPr="005A3A16">
              <w:rPr>
                <w:sz w:val="20"/>
                <w:szCs w:val="20"/>
                <w:lang w:val="en-CA" w:eastAsia="en-CA"/>
              </w:rPr>
              <w:t>908</w:t>
            </w:r>
          </w:p>
        </w:tc>
        <w:tc>
          <w:tcPr>
            <w:tcW w:w="1219" w:type="dxa"/>
            <w:tcBorders>
              <w:top w:val="nil"/>
              <w:left w:val="nil"/>
              <w:bottom w:val="single" w:sz="4" w:space="0" w:color="auto"/>
              <w:right w:val="single" w:sz="4" w:space="0" w:color="auto"/>
            </w:tcBorders>
            <w:shd w:val="clear" w:color="auto" w:fill="auto"/>
            <w:noWrap/>
            <w:hideMark/>
          </w:tcPr>
          <w:p w14:paraId="290E4D47" w14:textId="1F5E4E89" w:rsidR="00F47993" w:rsidRPr="005A3A16" w:rsidRDefault="00F47993" w:rsidP="00F47993">
            <w:pPr>
              <w:jc w:val="right"/>
              <w:rPr>
                <w:sz w:val="20"/>
                <w:szCs w:val="20"/>
                <w:lang w:val="en-CA" w:eastAsia="en-CA"/>
              </w:rPr>
            </w:pPr>
            <w:r w:rsidRPr="005A3A16">
              <w:rPr>
                <w:sz w:val="20"/>
                <w:szCs w:val="20"/>
                <w:lang w:val="en-CA" w:eastAsia="en-CA"/>
              </w:rPr>
              <w:t>9</w:t>
            </w:r>
            <w:r w:rsidR="00AF4584">
              <w:rPr>
                <w:sz w:val="20"/>
                <w:szCs w:val="20"/>
                <w:lang w:val="en-CA" w:eastAsia="en-CA"/>
              </w:rPr>
              <w:t xml:space="preserve"> </w:t>
            </w:r>
            <w:r w:rsidRPr="005A3A16">
              <w:rPr>
                <w:sz w:val="20"/>
                <w:szCs w:val="20"/>
                <w:lang w:val="en-CA" w:eastAsia="en-CA"/>
              </w:rPr>
              <w:t>128</w:t>
            </w:r>
          </w:p>
        </w:tc>
        <w:tc>
          <w:tcPr>
            <w:tcW w:w="1219" w:type="dxa"/>
            <w:tcBorders>
              <w:top w:val="nil"/>
              <w:left w:val="nil"/>
              <w:bottom w:val="single" w:sz="4" w:space="0" w:color="auto"/>
              <w:right w:val="single" w:sz="4" w:space="0" w:color="auto"/>
            </w:tcBorders>
            <w:shd w:val="clear" w:color="auto" w:fill="auto"/>
            <w:noWrap/>
            <w:hideMark/>
          </w:tcPr>
          <w:p w14:paraId="24B75AB0" w14:textId="5B602375" w:rsidR="00F47993" w:rsidRPr="005A3A16" w:rsidRDefault="00F47993" w:rsidP="00F47993">
            <w:pPr>
              <w:jc w:val="right"/>
              <w:rPr>
                <w:sz w:val="20"/>
                <w:szCs w:val="20"/>
                <w:lang w:val="en-CA" w:eastAsia="en-CA"/>
              </w:rPr>
            </w:pPr>
            <w:r w:rsidRPr="005A3A16">
              <w:rPr>
                <w:sz w:val="20"/>
                <w:szCs w:val="20"/>
                <w:lang w:val="en-CA" w:eastAsia="en-CA"/>
              </w:rPr>
              <w:t>16</w:t>
            </w:r>
            <w:r w:rsidR="00AF4584">
              <w:rPr>
                <w:sz w:val="20"/>
                <w:szCs w:val="20"/>
                <w:lang w:val="en-CA" w:eastAsia="en-CA"/>
              </w:rPr>
              <w:t xml:space="preserve"> </w:t>
            </w:r>
            <w:r w:rsidRPr="005A3A16">
              <w:rPr>
                <w:sz w:val="20"/>
                <w:szCs w:val="20"/>
                <w:lang w:val="en-CA" w:eastAsia="en-CA"/>
              </w:rPr>
              <w:t>945</w:t>
            </w:r>
          </w:p>
        </w:tc>
        <w:tc>
          <w:tcPr>
            <w:tcW w:w="1219" w:type="dxa"/>
            <w:tcBorders>
              <w:top w:val="nil"/>
              <w:left w:val="nil"/>
              <w:bottom w:val="single" w:sz="4" w:space="0" w:color="auto"/>
              <w:right w:val="single" w:sz="4" w:space="0" w:color="auto"/>
            </w:tcBorders>
            <w:shd w:val="clear" w:color="auto" w:fill="auto"/>
            <w:noWrap/>
            <w:hideMark/>
          </w:tcPr>
          <w:p w14:paraId="291EC6C4" w14:textId="4F12FED8" w:rsidR="00F47993" w:rsidRPr="005A3A16" w:rsidRDefault="00F47993" w:rsidP="00F47993">
            <w:pPr>
              <w:jc w:val="right"/>
              <w:rPr>
                <w:sz w:val="20"/>
                <w:szCs w:val="20"/>
                <w:lang w:val="en-CA" w:eastAsia="en-CA"/>
              </w:rPr>
            </w:pPr>
            <w:r w:rsidRPr="005A3A16">
              <w:rPr>
                <w:sz w:val="20"/>
                <w:szCs w:val="20"/>
                <w:lang w:val="en-CA" w:eastAsia="en-CA"/>
              </w:rPr>
              <w:t>49</w:t>
            </w:r>
            <w:r w:rsidR="00AF4584">
              <w:rPr>
                <w:sz w:val="20"/>
                <w:szCs w:val="20"/>
                <w:lang w:val="en-CA" w:eastAsia="en-CA"/>
              </w:rPr>
              <w:t xml:space="preserve"> </w:t>
            </w:r>
            <w:r w:rsidRPr="005A3A16">
              <w:rPr>
                <w:sz w:val="20"/>
                <w:szCs w:val="20"/>
                <w:lang w:val="en-CA" w:eastAsia="en-CA"/>
              </w:rPr>
              <w:t>981</w:t>
            </w:r>
          </w:p>
        </w:tc>
        <w:tc>
          <w:tcPr>
            <w:tcW w:w="1224" w:type="dxa"/>
            <w:tcBorders>
              <w:top w:val="nil"/>
              <w:left w:val="nil"/>
              <w:bottom w:val="single" w:sz="4" w:space="0" w:color="auto"/>
              <w:right w:val="single" w:sz="4" w:space="0" w:color="auto"/>
            </w:tcBorders>
            <w:shd w:val="clear" w:color="auto" w:fill="auto"/>
            <w:noWrap/>
            <w:hideMark/>
          </w:tcPr>
          <w:p w14:paraId="1CBC02DB" w14:textId="4F8D1FA1" w:rsidR="00F47993" w:rsidRPr="005A3A16" w:rsidRDefault="00F47993" w:rsidP="00F47993">
            <w:pPr>
              <w:jc w:val="right"/>
              <w:rPr>
                <w:sz w:val="20"/>
                <w:szCs w:val="20"/>
                <w:lang w:val="en-CA" w:eastAsia="en-CA"/>
              </w:rPr>
            </w:pPr>
            <w:r w:rsidRPr="005A3A16">
              <w:rPr>
                <w:sz w:val="20"/>
                <w:szCs w:val="20"/>
                <w:lang w:val="en-CA" w:eastAsia="en-CA"/>
              </w:rPr>
              <w:t>22</w:t>
            </w:r>
            <w:r w:rsidR="00AF4584">
              <w:rPr>
                <w:sz w:val="20"/>
                <w:szCs w:val="20"/>
                <w:lang w:val="en-CA" w:eastAsia="en-CA"/>
              </w:rPr>
              <w:t xml:space="preserve"> </w:t>
            </w:r>
            <w:r w:rsidRPr="005A3A16">
              <w:rPr>
                <w:sz w:val="20"/>
                <w:szCs w:val="20"/>
                <w:lang w:val="en-CA" w:eastAsia="en-CA"/>
              </w:rPr>
              <w:t>371</w:t>
            </w:r>
          </w:p>
        </w:tc>
      </w:tr>
      <w:tr w:rsidR="005A3A16" w:rsidRPr="005A3A16" w14:paraId="42AA8FCE" w14:textId="77777777" w:rsidTr="003C5BA5">
        <w:trPr>
          <w:trHeight w:val="264"/>
        </w:trPr>
        <w:tc>
          <w:tcPr>
            <w:tcW w:w="3353" w:type="dxa"/>
            <w:tcBorders>
              <w:top w:val="nil"/>
              <w:left w:val="single" w:sz="4" w:space="0" w:color="auto"/>
              <w:bottom w:val="single" w:sz="4" w:space="0" w:color="auto"/>
              <w:right w:val="single" w:sz="4" w:space="0" w:color="auto"/>
            </w:tcBorders>
            <w:shd w:val="clear" w:color="auto" w:fill="auto"/>
            <w:noWrap/>
            <w:hideMark/>
          </w:tcPr>
          <w:p w14:paraId="17BD8A53" w14:textId="6EDD24E4" w:rsidR="00F47993" w:rsidRPr="007B63DE" w:rsidRDefault="007B63DE" w:rsidP="007B63DE">
            <w:pPr>
              <w:jc w:val="left"/>
              <w:rPr>
                <w:sz w:val="20"/>
                <w:szCs w:val="20"/>
                <w:lang w:val="es-ES" w:eastAsia="en-CA"/>
              </w:rPr>
            </w:pPr>
            <w:r w:rsidRPr="007B63DE">
              <w:rPr>
                <w:sz w:val="20"/>
                <w:szCs w:val="20"/>
                <w:lang w:val="es-ES" w:eastAsia="en-CA"/>
              </w:rPr>
              <w:t>Etapa II de preparaci</w:t>
            </w:r>
            <w:r>
              <w:rPr>
                <w:sz w:val="20"/>
                <w:szCs w:val="20"/>
                <w:lang w:val="es-ES" w:eastAsia="en-CA"/>
              </w:rPr>
              <w:t>ón de proye</w:t>
            </w:r>
            <w:r w:rsidRPr="007B63DE">
              <w:rPr>
                <w:sz w:val="20"/>
                <w:szCs w:val="20"/>
                <w:lang w:val="es-ES" w:eastAsia="en-CA"/>
              </w:rPr>
              <w:t xml:space="preserve">ctos de </w:t>
            </w:r>
            <w:r w:rsidR="003F58CF" w:rsidRPr="007B63DE">
              <w:rPr>
                <w:sz w:val="20"/>
                <w:szCs w:val="20"/>
                <w:lang w:val="es-ES" w:eastAsia="en-CA"/>
              </w:rPr>
              <w:t>PGEH</w:t>
            </w:r>
          </w:p>
        </w:tc>
        <w:tc>
          <w:tcPr>
            <w:tcW w:w="1106" w:type="dxa"/>
            <w:tcBorders>
              <w:top w:val="nil"/>
              <w:left w:val="nil"/>
              <w:bottom w:val="single" w:sz="4" w:space="0" w:color="auto"/>
              <w:right w:val="single" w:sz="4" w:space="0" w:color="auto"/>
            </w:tcBorders>
            <w:shd w:val="clear" w:color="auto" w:fill="auto"/>
            <w:noWrap/>
            <w:hideMark/>
          </w:tcPr>
          <w:p w14:paraId="5D704507" w14:textId="77777777" w:rsidR="00F47993" w:rsidRPr="005A3A16" w:rsidRDefault="00F47993" w:rsidP="00F47993">
            <w:pPr>
              <w:jc w:val="right"/>
              <w:rPr>
                <w:sz w:val="20"/>
                <w:szCs w:val="20"/>
                <w:lang w:val="en-CA" w:eastAsia="en-CA"/>
              </w:rPr>
            </w:pPr>
            <w:r w:rsidRPr="005A3A16">
              <w:rPr>
                <w:sz w:val="20"/>
                <w:szCs w:val="20"/>
                <w:lang w:val="en-CA" w:eastAsia="en-CA"/>
              </w:rPr>
              <w:t>10</w:t>
            </w:r>
          </w:p>
        </w:tc>
        <w:tc>
          <w:tcPr>
            <w:tcW w:w="1219" w:type="dxa"/>
            <w:tcBorders>
              <w:top w:val="nil"/>
              <w:left w:val="nil"/>
              <w:bottom w:val="single" w:sz="4" w:space="0" w:color="auto"/>
              <w:right w:val="single" w:sz="4" w:space="0" w:color="auto"/>
            </w:tcBorders>
            <w:shd w:val="clear" w:color="auto" w:fill="auto"/>
            <w:noWrap/>
            <w:hideMark/>
          </w:tcPr>
          <w:p w14:paraId="37150432" w14:textId="77777777" w:rsidR="00F47993" w:rsidRPr="005A3A16" w:rsidRDefault="00F47993" w:rsidP="00F47993">
            <w:pPr>
              <w:jc w:val="right"/>
              <w:rPr>
                <w:sz w:val="20"/>
                <w:szCs w:val="20"/>
                <w:lang w:val="en-CA" w:eastAsia="en-CA"/>
              </w:rPr>
            </w:pPr>
            <w:r w:rsidRPr="005A3A1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14:paraId="3C4EC629" w14:textId="77777777" w:rsidR="00F47993" w:rsidRPr="005A3A16" w:rsidRDefault="00F47993" w:rsidP="00F47993">
            <w:pPr>
              <w:jc w:val="right"/>
              <w:rPr>
                <w:sz w:val="20"/>
                <w:szCs w:val="20"/>
                <w:lang w:val="en-CA" w:eastAsia="en-CA"/>
              </w:rPr>
            </w:pPr>
            <w:r w:rsidRPr="005A3A1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14:paraId="3514DE20" w14:textId="77777777" w:rsidR="00F47993" w:rsidRPr="005A3A16" w:rsidRDefault="00F47993" w:rsidP="00F47993">
            <w:pPr>
              <w:jc w:val="right"/>
              <w:rPr>
                <w:sz w:val="20"/>
                <w:szCs w:val="20"/>
                <w:lang w:val="en-CA" w:eastAsia="en-CA"/>
              </w:rPr>
            </w:pPr>
            <w:r w:rsidRPr="005A3A16">
              <w:rPr>
                <w:sz w:val="20"/>
                <w:szCs w:val="20"/>
                <w:lang w:val="en-CA" w:eastAsia="en-CA"/>
              </w:rPr>
              <w:t>10</w:t>
            </w:r>
          </w:p>
        </w:tc>
        <w:tc>
          <w:tcPr>
            <w:tcW w:w="1224" w:type="dxa"/>
            <w:tcBorders>
              <w:top w:val="nil"/>
              <w:left w:val="nil"/>
              <w:bottom w:val="single" w:sz="4" w:space="0" w:color="auto"/>
              <w:right w:val="single" w:sz="4" w:space="0" w:color="auto"/>
            </w:tcBorders>
            <w:shd w:val="clear" w:color="auto" w:fill="auto"/>
            <w:noWrap/>
            <w:hideMark/>
          </w:tcPr>
          <w:p w14:paraId="7C9A332F" w14:textId="77777777" w:rsidR="00F47993" w:rsidRPr="005A3A16" w:rsidRDefault="00F47993" w:rsidP="00F47993">
            <w:pPr>
              <w:jc w:val="right"/>
              <w:rPr>
                <w:sz w:val="20"/>
                <w:szCs w:val="20"/>
                <w:lang w:val="en-CA" w:eastAsia="en-CA"/>
              </w:rPr>
            </w:pPr>
            <w:r w:rsidRPr="005A3A16">
              <w:rPr>
                <w:sz w:val="20"/>
                <w:szCs w:val="20"/>
                <w:lang w:val="en-CA" w:eastAsia="en-CA"/>
              </w:rPr>
              <w:t>0</w:t>
            </w:r>
          </w:p>
        </w:tc>
      </w:tr>
      <w:tr w:rsidR="005A3A16" w:rsidRPr="005A3A16" w14:paraId="40B92BF3" w14:textId="77777777" w:rsidTr="003C5BA5">
        <w:trPr>
          <w:trHeight w:val="122"/>
        </w:trPr>
        <w:tc>
          <w:tcPr>
            <w:tcW w:w="3353" w:type="dxa"/>
            <w:tcBorders>
              <w:top w:val="nil"/>
              <w:left w:val="single" w:sz="4" w:space="0" w:color="auto"/>
              <w:bottom w:val="single" w:sz="4" w:space="0" w:color="auto"/>
              <w:right w:val="single" w:sz="4" w:space="0" w:color="auto"/>
            </w:tcBorders>
            <w:shd w:val="clear" w:color="auto" w:fill="auto"/>
            <w:noWrap/>
            <w:hideMark/>
          </w:tcPr>
          <w:p w14:paraId="245BA3E2" w14:textId="23BCEAA1" w:rsidR="00F47993" w:rsidRPr="007B63DE" w:rsidRDefault="007B63DE" w:rsidP="007B63DE">
            <w:pPr>
              <w:jc w:val="left"/>
              <w:rPr>
                <w:sz w:val="20"/>
                <w:szCs w:val="20"/>
                <w:lang w:val="es-ES" w:eastAsia="en-CA"/>
              </w:rPr>
            </w:pPr>
            <w:r w:rsidRPr="007B63DE">
              <w:rPr>
                <w:sz w:val="20"/>
                <w:szCs w:val="20"/>
                <w:lang w:val="es-ES" w:eastAsia="en-CA"/>
              </w:rPr>
              <w:t xml:space="preserve">Etapa II de los </w:t>
            </w:r>
            <w:r w:rsidR="003F58CF" w:rsidRPr="007B63DE">
              <w:rPr>
                <w:sz w:val="20"/>
                <w:szCs w:val="20"/>
                <w:lang w:val="es-ES" w:eastAsia="en-CA"/>
              </w:rPr>
              <w:t>PGEH</w:t>
            </w:r>
            <w:r w:rsidR="00F47993" w:rsidRPr="007B63DE">
              <w:rPr>
                <w:sz w:val="20"/>
                <w:szCs w:val="20"/>
                <w:lang w:val="es-ES" w:eastAsia="en-CA"/>
              </w:rPr>
              <w:t xml:space="preserve"> </w:t>
            </w:r>
          </w:p>
        </w:tc>
        <w:tc>
          <w:tcPr>
            <w:tcW w:w="1106" w:type="dxa"/>
            <w:tcBorders>
              <w:top w:val="nil"/>
              <w:left w:val="nil"/>
              <w:bottom w:val="single" w:sz="4" w:space="0" w:color="auto"/>
              <w:right w:val="single" w:sz="4" w:space="0" w:color="auto"/>
            </w:tcBorders>
            <w:shd w:val="clear" w:color="auto" w:fill="auto"/>
            <w:noWrap/>
            <w:hideMark/>
          </w:tcPr>
          <w:p w14:paraId="6AAAEAF8" w14:textId="39D92242" w:rsidR="00F47993" w:rsidRPr="005A3A16" w:rsidRDefault="00F47993" w:rsidP="00F47993">
            <w:pPr>
              <w:jc w:val="right"/>
              <w:rPr>
                <w:sz w:val="20"/>
                <w:szCs w:val="20"/>
                <w:lang w:val="en-CA" w:eastAsia="en-CA"/>
              </w:rPr>
            </w:pPr>
            <w:r w:rsidRPr="005A3A16">
              <w:rPr>
                <w:sz w:val="20"/>
                <w:szCs w:val="20"/>
                <w:lang w:val="en-CA" w:eastAsia="en-CA"/>
              </w:rPr>
              <w:t>1</w:t>
            </w:r>
            <w:r w:rsidR="00AF4584">
              <w:rPr>
                <w:sz w:val="20"/>
                <w:szCs w:val="20"/>
                <w:lang w:val="en-CA" w:eastAsia="en-CA"/>
              </w:rPr>
              <w:t xml:space="preserve"> </w:t>
            </w:r>
            <w:r w:rsidRPr="005A3A16">
              <w:rPr>
                <w:sz w:val="20"/>
                <w:szCs w:val="20"/>
                <w:lang w:val="en-CA" w:eastAsia="en-CA"/>
              </w:rPr>
              <w:t>157</w:t>
            </w:r>
          </w:p>
        </w:tc>
        <w:tc>
          <w:tcPr>
            <w:tcW w:w="1219" w:type="dxa"/>
            <w:tcBorders>
              <w:top w:val="nil"/>
              <w:left w:val="nil"/>
              <w:bottom w:val="single" w:sz="4" w:space="0" w:color="auto"/>
              <w:right w:val="single" w:sz="4" w:space="0" w:color="auto"/>
            </w:tcBorders>
            <w:shd w:val="clear" w:color="auto" w:fill="auto"/>
            <w:noWrap/>
            <w:hideMark/>
          </w:tcPr>
          <w:p w14:paraId="3A050C14" w14:textId="77777777" w:rsidR="00F47993" w:rsidRPr="005A3A16" w:rsidRDefault="00F47993" w:rsidP="00F47993">
            <w:pPr>
              <w:jc w:val="right"/>
              <w:rPr>
                <w:sz w:val="20"/>
                <w:szCs w:val="20"/>
                <w:lang w:val="en-CA" w:eastAsia="en-CA"/>
              </w:rPr>
            </w:pPr>
            <w:r w:rsidRPr="005A3A16">
              <w:rPr>
                <w:sz w:val="20"/>
                <w:szCs w:val="20"/>
                <w:lang w:val="en-CA" w:eastAsia="en-CA"/>
              </w:rPr>
              <w:t>199</w:t>
            </w:r>
          </w:p>
        </w:tc>
        <w:tc>
          <w:tcPr>
            <w:tcW w:w="1219" w:type="dxa"/>
            <w:tcBorders>
              <w:top w:val="nil"/>
              <w:left w:val="nil"/>
              <w:bottom w:val="single" w:sz="4" w:space="0" w:color="auto"/>
              <w:right w:val="single" w:sz="4" w:space="0" w:color="auto"/>
            </w:tcBorders>
            <w:shd w:val="clear" w:color="auto" w:fill="auto"/>
            <w:noWrap/>
            <w:hideMark/>
          </w:tcPr>
          <w:p w14:paraId="6EAD28E4" w14:textId="77777777" w:rsidR="00F47993" w:rsidRPr="005A3A16" w:rsidRDefault="00F47993" w:rsidP="00F47993">
            <w:pPr>
              <w:jc w:val="right"/>
              <w:rPr>
                <w:sz w:val="20"/>
                <w:szCs w:val="20"/>
                <w:lang w:val="en-CA" w:eastAsia="en-CA"/>
              </w:rPr>
            </w:pPr>
            <w:r w:rsidRPr="005A3A16">
              <w:rPr>
                <w:sz w:val="20"/>
                <w:szCs w:val="20"/>
                <w:lang w:val="en-CA" w:eastAsia="en-CA"/>
              </w:rPr>
              <w:t>825</w:t>
            </w:r>
          </w:p>
        </w:tc>
        <w:tc>
          <w:tcPr>
            <w:tcW w:w="1219" w:type="dxa"/>
            <w:tcBorders>
              <w:top w:val="nil"/>
              <w:left w:val="nil"/>
              <w:bottom w:val="single" w:sz="4" w:space="0" w:color="auto"/>
              <w:right w:val="single" w:sz="4" w:space="0" w:color="auto"/>
            </w:tcBorders>
            <w:shd w:val="clear" w:color="auto" w:fill="auto"/>
            <w:noWrap/>
            <w:hideMark/>
          </w:tcPr>
          <w:p w14:paraId="04069391" w14:textId="6B0F7337" w:rsidR="00F47993" w:rsidRPr="005A3A16" w:rsidRDefault="00F47993" w:rsidP="00F47993">
            <w:pPr>
              <w:jc w:val="right"/>
              <w:rPr>
                <w:sz w:val="20"/>
                <w:szCs w:val="20"/>
                <w:lang w:val="en-CA" w:eastAsia="en-CA"/>
              </w:rPr>
            </w:pPr>
            <w:r w:rsidRPr="005A3A16">
              <w:rPr>
                <w:sz w:val="20"/>
                <w:szCs w:val="20"/>
                <w:lang w:val="en-CA" w:eastAsia="en-CA"/>
              </w:rPr>
              <w:t>2</w:t>
            </w:r>
            <w:r w:rsidR="00AF4584">
              <w:rPr>
                <w:sz w:val="20"/>
                <w:szCs w:val="20"/>
                <w:lang w:val="en-CA" w:eastAsia="en-CA"/>
              </w:rPr>
              <w:t xml:space="preserve"> </w:t>
            </w:r>
            <w:r w:rsidRPr="005A3A16">
              <w:rPr>
                <w:sz w:val="20"/>
                <w:szCs w:val="20"/>
                <w:lang w:val="en-CA" w:eastAsia="en-CA"/>
              </w:rPr>
              <w:t>182</w:t>
            </w:r>
          </w:p>
        </w:tc>
        <w:tc>
          <w:tcPr>
            <w:tcW w:w="1224" w:type="dxa"/>
            <w:tcBorders>
              <w:top w:val="nil"/>
              <w:left w:val="nil"/>
              <w:bottom w:val="single" w:sz="4" w:space="0" w:color="auto"/>
              <w:right w:val="single" w:sz="4" w:space="0" w:color="auto"/>
            </w:tcBorders>
            <w:shd w:val="clear" w:color="auto" w:fill="auto"/>
            <w:noWrap/>
            <w:hideMark/>
          </w:tcPr>
          <w:p w14:paraId="0B57C1F9" w14:textId="77777777" w:rsidR="00F47993" w:rsidRPr="005A3A16" w:rsidRDefault="00F47993" w:rsidP="00F47993">
            <w:pPr>
              <w:jc w:val="right"/>
              <w:rPr>
                <w:sz w:val="20"/>
                <w:szCs w:val="20"/>
                <w:lang w:val="en-CA" w:eastAsia="en-CA"/>
              </w:rPr>
            </w:pPr>
            <w:r w:rsidRPr="005A3A16">
              <w:rPr>
                <w:sz w:val="20"/>
                <w:szCs w:val="20"/>
                <w:lang w:val="en-CA" w:eastAsia="en-CA"/>
              </w:rPr>
              <w:t>188</w:t>
            </w:r>
          </w:p>
        </w:tc>
      </w:tr>
      <w:tr w:rsidR="005A3A16" w:rsidRPr="005A3A16" w14:paraId="7F56C17C" w14:textId="77777777" w:rsidTr="003C5BA5">
        <w:trPr>
          <w:trHeight w:val="58"/>
        </w:trPr>
        <w:tc>
          <w:tcPr>
            <w:tcW w:w="3353" w:type="dxa"/>
            <w:tcBorders>
              <w:top w:val="nil"/>
              <w:left w:val="single" w:sz="4" w:space="0" w:color="auto"/>
              <w:bottom w:val="single" w:sz="4" w:space="0" w:color="auto"/>
              <w:right w:val="single" w:sz="4" w:space="0" w:color="auto"/>
            </w:tcBorders>
            <w:shd w:val="clear" w:color="auto" w:fill="auto"/>
            <w:noWrap/>
            <w:hideMark/>
          </w:tcPr>
          <w:p w14:paraId="1AD7CF7D" w14:textId="6E0CFF3B" w:rsidR="00F47993" w:rsidRPr="007B63DE" w:rsidRDefault="007B63DE" w:rsidP="007B63DE">
            <w:pPr>
              <w:jc w:val="left"/>
              <w:rPr>
                <w:sz w:val="20"/>
                <w:szCs w:val="20"/>
                <w:lang w:val="es-ES" w:eastAsia="en-CA"/>
              </w:rPr>
            </w:pPr>
            <w:r w:rsidRPr="007B63DE">
              <w:rPr>
                <w:sz w:val="20"/>
                <w:szCs w:val="20"/>
                <w:lang w:val="es-ES" w:eastAsia="en-CA"/>
              </w:rPr>
              <w:t xml:space="preserve">Etapa II de preparación de proyectos de </w:t>
            </w:r>
            <w:r w:rsidR="003F58CF" w:rsidRPr="007B63DE">
              <w:rPr>
                <w:sz w:val="20"/>
                <w:szCs w:val="20"/>
                <w:lang w:val="es-ES" w:eastAsia="en-CA"/>
              </w:rPr>
              <w:t>PGEH</w:t>
            </w:r>
            <w:r w:rsidR="00F47993" w:rsidRPr="007B63DE">
              <w:rPr>
                <w:sz w:val="20"/>
                <w:szCs w:val="20"/>
                <w:lang w:val="es-ES" w:eastAsia="en-CA"/>
              </w:rPr>
              <w:t xml:space="preserve"> </w:t>
            </w:r>
          </w:p>
        </w:tc>
        <w:tc>
          <w:tcPr>
            <w:tcW w:w="1106" w:type="dxa"/>
            <w:tcBorders>
              <w:top w:val="nil"/>
              <w:left w:val="nil"/>
              <w:bottom w:val="single" w:sz="4" w:space="0" w:color="auto"/>
              <w:right w:val="single" w:sz="4" w:space="0" w:color="auto"/>
            </w:tcBorders>
            <w:shd w:val="clear" w:color="auto" w:fill="auto"/>
            <w:noWrap/>
            <w:hideMark/>
          </w:tcPr>
          <w:p w14:paraId="643FA974" w14:textId="77777777" w:rsidR="00F47993" w:rsidRPr="005A3A16" w:rsidRDefault="00F47993" w:rsidP="00F47993">
            <w:pPr>
              <w:jc w:val="right"/>
              <w:rPr>
                <w:sz w:val="20"/>
                <w:szCs w:val="20"/>
                <w:lang w:val="en-CA" w:eastAsia="en-CA"/>
              </w:rPr>
            </w:pPr>
            <w:r w:rsidRPr="005A3A16">
              <w:rPr>
                <w:sz w:val="20"/>
                <w:szCs w:val="20"/>
                <w:lang w:val="en-CA" w:eastAsia="en-CA"/>
              </w:rPr>
              <w:t>563</w:t>
            </w:r>
          </w:p>
        </w:tc>
        <w:tc>
          <w:tcPr>
            <w:tcW w:w="1219" w:type="dxa"/>
            <w:tcBorders>
              <w:top w:val="nil"/>
              <w:left w:val="nil"/>
              <w:bottom w:val="single" w:sz="4" w:space="0" w:color="auto"/>
              <w:right w:val="single" w:sz="4" w:space="0" w:color="auto"/>
            </w:tcBorders>
            <w:shd w:val="clear" w:color="auto" w:fill="auto"/>
            <w:noWrap/>
            <w:hideMark/>
          </w:tcPr>
          <w:p w14:paraId="7954A612" w14:textId="77777777" w:rsidR="00F47993" w:rsidRPr="005A3A16" w:rsidRDefault="00F47993" w:rsidP="00F47993">
            <w:pPr>
              <w:jc w:val="right"/>
              <w:rPr>
                <w:sz w:val="20"/>
                <w:szCs w:val="20"/>
                <w:lang w:val="en-CA" w:eastAsia="en-CA"/>
              </w:rPr>
            </w:pPr>
            <w:r w:rsidRPr="005A3A16">
              <w:rPr>
                <w:sz w:val="20"/>
                <w:szCs w:val="20"/>
                <w:lang w:val="en-CA" w:eastAsia="en-CA"/>
              </w:rPr>
              <w:t>399</w:t>
            </w:r>
          </w:p>
        </w:tc>
        <w:tc>
          <w:tcPr>
            <w:tcW w:w="1219" w:type="dxa"/>
            <w:tcBorders>
              <w:top w:val="nil"/>
              <w:left w:val="nil"/>
              <w:bottom w:val="single" w:sz="4" w:space="0" w:color="auto"/>
              <w:right w:val="single" w:sz="4" w:space="0" w:color="auto"/>
            </w:tcBorders>
            <w:shd w:val="clear" w:color="auto" w:fill="auto"/>
            <w:noWrap/>
            <w:hideMark/>
          </w:tcPr>
          <w:p w14:paraId="3F740610" w14:textId="77777777" w:rsidR="00F47993" w:rsidRPr="005A3A16" w:rsidRDefault="00F47993" w:rsidP="00F47993">
            <w:pPr>
              <w:jc w:val="right"/>
              <w:rPr>
                <w:sz w:val="20"/>
                <w:szCs w:val="20"/>
                <w:lang w:val="en-CA" w:eastAsia="en-CA"/>
              </w:rPr>
            </w:pPr>
            <w:r w:rsidRPr="005A3A1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14:paraId="611961A9" w14:textId="77777777" w:rsidR="00F47993" w:rsidRPr="005A3A16" w:rsidRDefault="00F47993" w:rsidP="00F47993">
            <w:pPr>
              <w:jc w:val="right"/>
              <w:rPr>
                <w:sz w:val="20"/>
                <w:szCs w:val="20"/>
                <w:lang w:val="en-CA" w:eastAsia="en-CA"/>
              </w:rPr>
            </w:pPr>
            <w:r w:rsidRPr="005A3A16">
              <w:rPr>
                <w:sz w:val="20"/>
                <w:szCs w:val="20"/>
                <w:lang w:val="en-CA" w:eastAsia="en-CA"/>
              </w:rPr>
              <w:t>962</w:t>
            </w:r>
          </w:p>
        </w:tc>
        <w:tc>
          <w:tcPr>
            <w:tcW w:w="1224" w:type="dxa"/>
            <w:tcBorders>
              <w:top w:val="nil"/>
              <w:left w:val="nil"/>
              <w:bottom w:val="single" w:sz="4" w:space="0" w:color="auto"/>
              <w:right w:val="single" w:sz="4" w:space="0" w:color="auto"/>
            </w:tcBorders>
            <w:shd w:val="clear" w:color="auto" w:fill="auto"/>
            <w:noWrap/>
            <w:hideMark/>
          </w:tcPr>
          <w:p w14:paraId="25C48609" w14:textId="77777777" w:rsidR="00F47993" w:rsidRPr="005A3A16" w:rsidRDefault="00F47993" w:rsidP="00F47993">
            <w:pPr>
              <w:jc w:val="right"/>
              <w:rPr>
                <w:sz w:val="20"/>
                <w:szCs w:val="20"/>
                <w:lang w:val="en-CA" w:eastAsia="en-CA"/>
              </w:rPr>
            </w:pPr>
            <w:r w:rsidRPr="005A3A16">
              <w:rPr>
                <w:sz w:val="20"/>
                <w:szCs w:val="20"/>
                <w:lang w:val="en-CA" w:eastAsia="en-CA"/>
              </w:rPr>
              <w:t> </w:t>
            </w:r>
          </w:p>
        </w:tc>
      </w:tr>
      <w:tr w:rsidR="005A3A16" w:rsidRPr="005A3A16" w14:paraId="69B13B27" w14:textId="77777777" w:rsidTr="003C5BA5">
        <w:trPr>
          <w:trHeight w:val="73"/>
        </w:trPr>
        <w:tc>
          <w:tcPr>
            <w:tcW w:w="3353" w:type="dxa"/>
            <w:tcBorders>
              <w:top w:val="nil"/>
              <w:left w:val="single" w:sz="4" w:space="0" w:color="auto"/>
              <w:bottom w:val="single" w:sz="4" w:space="0" w:color="auto"/>
              <w:right w:val="single" w:sz="4" w:space="0" w:color="auto"/>
            </w:tcBorders>
            <w:shd w:val="clear" w:color="auto" w:fill="auto"/>
            <w:noWrap/>
            <w:hideMark/>
          </w:tcPr>
          <w:p w14:paraId="3E49B76B" w14:textId="5940C4C3" w:rsidR="00F47993" w:rsidRPr="007B63DE" w:rsidRDefault="007B63DE" w:rsidP="007B63DE">
            <w:pPr>
              <w:jc w:val="left"/>
              <w:rPr>
                <w:sz w:val="20"/>
                <w:szCs w:val="20"/>
                <w:lang w:val="es-ES" w:eastAsia="en-CA"/>
              </w:rPr>
            </w:pPr>
            <w:r w:rsidRPr="007B63DE">
              <w:rPr>
                <w:sz w:val="20"/>
                <w:szCs w:val="20"/>
                <w:lang w:val="es-ES" w:eastAsia="en-CA"/>
              </w:rPr>
              <w:t xml:space="preserve">Etapa III del </w:t>
            </w:r>
            <w:r w:rsidR="003F58CF" w:rsidRPr="007B63DE">
              <w:rPr>
                <w:sz w:val="20"/>
                <w:szCs w:val="20"/>
                <w:lang w:val="es-ES" w:eastAsia="en-CA"/>
              </w:rPr>
              <w:t>PGEH</w:t>
            </w:r>
            <w:r w:rsidR="00F47993" w:rsidRPr="007B63DE">
              <w:rPr>
                <w:sz w:val="20"/>
                <w:szCs w:val="20"/>
                <w:lang w:val="es-ES" w:eastAsia="en-CA"/>
              </w:rPr>
              <w:t xml:space="preserve"> </w:t>
            </w:r>
          </w:p>
        </w:tc>
        <w:tc>
          <w:tcPr>
            <w:tcW w:w="1106" w:type="dxa"/>
            <w:tcBorders>
              <w:top w:val="nil"/>
              <w:left w:val="nil"/>
              <w:bottom w:val="single" w:sz="4" w:space="0" w:color="auto"/>
              <w:right w:val="single" w:sz="4" w:space="0" w:color="auto"/>
            </w:tcBorders>
            <w:shd w:val="clear" w:color="auto" w:fill="auto"/>
            <w:noWrap/>
            <w:hideMark/>
          </w:tcPr>
          <w:p w14:paraId="2D0E6A00" w14:textId="77777777" w:rsidR="00F47993" w:rsidRPr="005A3A16" w:rsidRDefault="00F47993" w:rsidP="00F47993">
            <w:pPr>
              <w:jc w:val="right"/>
              <w:rPr>
                <w:sz w:val="20"/>
                <w:szCs w:val="20"/>
                <w:lang w:val="en-CA" w:eastAsia="en-CA"/>
              </w:rPr>
            </w:pPr>
            <w:r w:rsidRPr="005A3A16">
              <w:rPr>
                <w:sz w:val="20"/>
                <w:szCs w:val="20"/>
                <w:lang w:val="en-CA" w:eastAsia="en-CA"/>
              </w:rPr>
              <w:t>75</w:t>
            </w:r>
          </w:p>
        </w:tc>
        <w:tc>
          <w:tcPr>
            <w:tcW w:w="1219" w:type="dxa"/>
            <w:tcBorders>
              <w:top w:val="nil"/>
              <w:left w:val="nil"/>
              <w:bottom w:val="single" w:sz="4" w:space="0" w:color="auto"/>
              <w:right w:val="single" w:sz="4" w:space="0" w:color="auto"/>
            </w:tcBorders>
            <w:shd w:val="clear" w:color="auto" w:fill="auto"/>
            <w:noWrap/>
            <w:hideMark/>
          </w:tcPr>
          <w:p w14:paraId="1D054B95" w14:textId="5A5B8C99" w:rsidR="00F47993" w:rsidRPr="005A3A16" w:rsidRDefault="00F47993" w:rsidP="00F47993">
            <w:pPr>
              <w:jc w:val="right"/>
              <w:rPr>
                <w:sz w:val="20"/>
                <w:szCs w:val="20"/>
                <w:lang w:val="en-CA" w:eastAsia="en-CA"/>
              </w:rPr>
            </w:pPr>
            <w:r w:rsidRPr="005A3A16">
              <w:rPr>
                <w:sz w:val="20"/>
                <w:szCs w:val="20"/>
                <w:lang w:val="en-CA" w:eastAsia="en-CA"/>
              </w:rPr>
              <w:t>6</w:t>
            </w:r>
            <w:r w:rsidR="00AF4584">
              <w:rPr>
                <w:sz w:val="20"/>
                <w:szCs w:val="20"/>
                <w:lang w:val="en-CA" w:eastAsia="en-CA"/>
              </w:rPr>
              <w:t xml:space="preserve"> </w:t>
            </w:r>
            <w:r w:rsidRPr="005A3A16">
              <w:rPr>
                <w:sz w:val="20"/>
                <w:szCs w:val="20"/>
                <w:lang w:val="en-CA" w:eastAsia="en-CA"/>
              </w:rPr>
              <w:t>957</w:t>
            </w:r>
          </w:p>
        </w:tc>
        <w:tc>
          <w:tcPr>
            <w:tcW w:w="1219" w:type="dxa"/>
            <w:tcBorders>
              <w:top w:val="nil"/>
              <w:left w:val="nil"/>
              <w:bottom w:val="single" w:sz="4" w:space="0" w:color="auto"/>
              <w:right w:val="single" w:sz="4" w:space="0" w:color="auto"/>
            </w:tcBorders>
            <w:shd w:val="clear" w:color="auto" w:fill="auto"/>
            <w:noWrap/>
            <w:hideMark/>
          </w:tcPr>
          <w:p w14:paraId="6F3154D7" w14:textId="471EE726" w:rsidR="00F47993" w:rsidRPr="005A3A16" w:rsidRDefault="00F47993" w:rsidP="00F47993">
            <w:pPr>
              <w:jc w:val="right"/>
              <w:rPr>
                <w:sz w:val="20"/>
                <w:szCs w:val="20"/>
                <w:lang w:val="en-CA" w:eastAsia="en-CA"/>
              </w:rPr>
            </w:pPr>
            <w:r w:rsidRPr="005A3A16">
              <w:rPr>
                <w:sz w:val="20"/>
                <w:szCs w:val="20"/>
                <w:lang w:val="en-CA" w:eastAsia="en-CA"/>
              </w:rPr>
              <w:t>33</w:t>
            </w:r>
            <w:r w:rsidR="00AF4584">
              <w:rPr>
                <w:sz w:val="20"/>
                <w:szCs w:val="20"/>
                <w:lang w:val="en-CA" w:eastAsia="en-CA"/>
              </w:rPr>
              <w:t xml:space="preserve"> </w:t>
            </w:r>
            <w:r w:rsidRPr="005A3A16">
              <w:rPr>
                <w:sz w:val="20"/>
                <w:szCs w:val="20"/>
                <w:lang w:val="en-CA" w:eastAsia="en-CA"/>
              </w:rPr>
              <w:t>390</w:t>
            </w:r>
          </w:p>
        </w:tc>
        <w:tc>
          <w:tcPr>
            <w:tcW w:w="1219" w:type="dxa"/>
            <w:tcBorders>
              <w:top w:val="nil"/>
              <w:left w:val="nil"/>
              <w:bottom w:val="single" w:sz="4" w:space="0" w:color="auto"/>
              <w:right w:val="single" w:sz="4" w:space="0" w:color="auto"/>
            </w:tcBorders>
            <w:shd w:val="clear" w:color="auto" w:fill="auto"/>
            <w:noWrap/>
            <w:hideMark/>
          </w:tcPr>
          <w:p w14:paraId="5290A168" w14:textId="3523E927" w:rsidR="00F47993" w:rsidRPr="005A3A16" w:rsidRDefault="00F47993" w:rsidP="00F47993">
            <w:pPr>
              <w:jc w:val="right"/>
              <w:rPr>
                <w:sz w:val="20"/>
                <w:szCs w:val="20"/>
                <w:lang w:val="en-CA" w:eastAsia="en-CA"/>
              </w:rPr>
            </w:pPr>
            <w:r w:rsidRPr="005A3A16">
              <w:rPr>
                <w:sz w:val="20"/>
                <w:szCs w:val="20"/>
                <w:lang w:val="en-CA" w:eastAsia="en-CA"/>
              </w:rPr>
              <w:t>40</w:t>
            </w:r>
            <w:r w:rsidR="00AF4584">
              <w:rPr>
                <w:sz w:val="20"/>
                <w:szCs w:val="20"/>
                <w:lang w:val="en-CA" w:eastAsia="en-CA"/>
              </w:rPr>
              <w:t xml:space="preserve"> </w:t>
            </w:r>
            <w:r w:rsidRPr="005A3A16">
              <w:rPr>
                <w:sz w:val="20"/>
                <w:szCs w:val="20"/>
                <w:lang w:val="en-CA" w:eastAsia="en-CA"/>
              </w:rPr>
              <w:t>421</w:t>
            </w:r>
          </w:p>
        </w:tc>
        <w:tc>
          <w:tcPr>
            <w:tcW w:w="1224" w:type="dxa"/>
            <w:tcBorders>
              <w:top w:val="nil"/>
              <w:left w:val="nil"/>
              <w:bottom w:val="single" w:sz="4" w:space="0" w:color="auto"/>
              <w:right w:val="single" w:sz="4" w:space="0" w:color="auto"/>
            </w:tcBorders>
            <w:shd w:val="clear" w:color="auto" w:fill="auto"/>
            <w:noWrap/>
            <w:hideMark/>
          </w:tcPr>
          <w:p w14:paraId="118D02CD" w14:textId="4AA017B8" w:rsidR="00F47993" w:rsidRPr="005A3A16" w:rsidRDefault="00F47993" w:rsidP="00F47993">
            <w:pPr>
              <w:jc w:val="right"/>
              <w:rPr>
                <w:sz w:val="20"/>
                <w:szCs w:val="20"/>
                <w:lang w:val="en-CA" w:eastAsia="en-CA"/>
              </w:rPr>
            </w:pPr>
            <w:r w:rsidRPr="005A3A16">
              <w:rPr>
                <w:sz w:val="20"/>
                <w:szCs w:val="20"/>
                <w:lang w:val="en-CA" w:eastAsia="en-CA"/>
              </w:rPr>
              <w:t>67</w:t>
            </w:r>
            <w:r w:rsidR="00AF4584">
              <w:rPr>
                <w:sz w:val="20"/>
                <w:szCs w:val="20"/>
                <w:lang w:val="en-CA" w:eastAsia="en-CA"/>
              </w:rPr>
              <w:t xml:space="preserve"> </w:t>
            </w:r>
            <w:r w:rsidRPr="005A3A16">
              <w:rPr>
                <w:sz w:val="20"/>
                <w:szCs w:val="20"/>
                <w:lang w:val="en-CA" w:eastAsia="en-CA"/>
              </w:rPr>
              <w:t>780</w:t>
            </w:r>
          </w:p>
        </w:tc>
      </w:tr>
      <w:tr w:rsidR="005A3A16" w:rsidRPr="005A3A16" w14:paraId="0F027095" w14:textId="77777777" w:rsidTr="003C5BA5">
        <w:trPr>
          <w:trHeight w:val="58"/>
        </w:trPr>
        <w:tc>
          <w:tcPr>
            <w:tcW w:w="3353" w:type="dxa"/>
            <w:tcBorders>
              <w:top w:val="nil"/>
              <w:left w:val="single" w:sz="4" w:space="0" w:color="auto"/>
              <w:bottom w:val="single" w:sz="4" w:space="0" w:color="auto"/>
              <w:right w:val="single" w:sz="4" w:space="0" w:color="auto"/>
            </w:tcBorders>
            <w:shd w:val="clear" w:color="auto" w:fill="auto"/>
            <w:noWrap/>
            <w:hideMark/>
          </w:tcPr>
          <w:p w14:paraId="4F372859" w14:textId="29736AFF" w:rsidR="00F47993" w:rsidRPr="003C5BA5" w:rsidRDefault="00A76E99" w:rsidP="003C5BA5">
            <w:pPr>
              <w:jc w:val="left"/>
              <w:rPr>
                <w:b/>
                <w:bCs/>
                <w:sz w:val="20"/>
                <w:szCs w:val="20"/>
                <w:lang w:val="es-ES" w:eastAsia="en-CA"/>
              </w:rPr>
            </w:pPr>
            <w:r w:rsidRPr="003C5BA5">
              <w:rPr>
                <w:b/>
                <w:bCs/>
                <w:sz w:val="20"/>
                <w:szCs w:val="20"/>
                <w:lang w:val="es-ES" w:eastAsia="en-CA"/>
              </w:rPr>
              <w:t xml:space="preserve"> </w:t>
            </w:r>
            <w:r w:rsidR="003C5BA5" w:rsidRPr="003C5BA5">
              <w:rPr>
                <w:b/>
                <w:bCs/>
                <w:sz w:val="20"/>
                <w:szCs w:val="20"/>
                <w:lang w:val="es-ES" w:eastAsia="en-CA"/>
              </w:rPr>
              <w:t xml:space="preserve">Subtotal para actividades relativas a los </w:t>
            </w:r>
            <w:r w:rsidR="00F47993" w:rsidRPr="003C5BA5">
              <w:rPr>
                <w:b/>
                <w:bCs/>
                <w:sz w:val="20"/>
                <w:szCs w:val="20"/>
                <w:lang w:val="es-ES" w:eastAsia="en-CA"/>
              </w:rPr>
              <w:t>HCFC</w:t>
            </w:r>
          </w:p>
        </w:tc>
        <w:tc>
          <w:tcPr>
            <w:tcW w:w="1106" w:type="dxa"/>
            <w:tcBorders>
              <w:top w:val="nil"/>
              <w:left w:val="nil"/>
              <w:bottom w:val="single" w:sz="4" w:space="0" w:color="auto"/>
              <w:right w:val="single" w:sz="4" w:space="0" w:color="auto"/>
            </w:tcBorders>
            <w:shd w:val="clear" w:color="auto" w:fill="auto"/>
            <w:noWrap/>
            <w:hideMark/>
          </w:tcPr>
          <w:p w14:paraId="1213CEBA" w14:textId="68329146" w:rsidR="00F47993" w:rsidRPr="005A3A16" w:rsidRDefault="00F47993" w:rsidP="00F47993">
            <w:pPr>
              <w:jc w:val="right"/>
              <w:rPr>
                <w:b/>
                <w:bCs/>
                <w:sz w:val="20"/>
                <w:szCs w:val="20"/>
                <w:lang w:val="en-CA" w:eastAsia="en-CA"/>
              </w:rPr>
            </w:pPr>
            <w:r w:rsidRPr="005A3A16">
              <w:rPr>
                <w:b/>
                <w:bCs/>
                <w:sz w:val="20"/>
                <w:szCs w:val="20"/>
                <w:lang w:val="en-CA" w:eastAsia="en-CA"/>
              </w:rPr>
              <w:t>25</w:t>
            </w:r>
            <w:r w:rsidR="00AF4584">
              <w:rPr>
                <w:b/>
                <w:bCs/>
                <w:sz w:val="20"/>
                <w:szCs w:val="20"/>
                <w:lang w:val="en-CA" w:eastAsia="en-CA"/>
              </w:rPr>
              <w:t xml:space="preserve"> </w:t>
            </w:r>
            <w:r w:rsidRPr="005A3A16">
              <w:rPr>
                <w:b/>
                <w:bCs/>
                <w:sz w:val="20"/>
                <w:szCs w:val="20"/>
                <w:lang w:val="en-CA" w:eastAsia="en-CA"/>
              </w:rPr>
              <w:t>713</w:t>
            </w:r>
          </w:p>
        </w:tc>
        <w:tc>
          <w:tcPr>
            <w:tcW w:w="1219" w:type="dxa"/>
            <w:tcBorders>
              <w:top w:val="nil"/>
              <w:left w:val="nil"/>
              <w:bottom w:val="single" w:sz="4" w:space="0" w:color="auto"/>
              <w:right w:val="single" w:sz="4" w:space="0" w:color="auto"/>
            </w:tcBorders>
            <w:shd w:val="clear" w:color="auto" w:fill="auto"/>
            <w:noWrap/>
            <w:hideMark/>
          </w:tcPr>
          <w:p w14:paraId="1CEE7ABB" w14:textId="3FC63F83" w:rsidR="00F47993" w:rsidRPr="005A3A16" w:rsidRDefault="00F47993" w:rsidP="00F47993">
            <w:pPr>
              <w:jc w:val="right"/>
              <w:rPr>
                <w:b/>
                <w:bCs/>
                <w:sz w:val="20"/>
                <w:szCs w:val="20"/>
                <w:lang w:val="en-CA" w:eastAsia="en-CA"/>
              </w:rPr>
            </w:pPr>
            <w:r w:rsidRPr="005A3A16">
              <w:rPr>
                <w:b/>
                <w:bCs/>
                <w:sz w:val="20"/>
                <w:szCs w:val="20"/>
                <w:lang w:val="en-CA" w:eastAsia="en-CA"/>
              </w:rPr>
              <w:t>16</w:t>
            </w:r>
            <w:r w:rsidR="00AF4584">
              <w:rPr>
                <w:b/>
                <w:bCs/>
                <w:sz w:val="20"/>
                <w:szCs w:val="20"/>
                <w:lang w:val="en-CA" w:eastAsia="en-CA"/>
              </w:rPr>
              <w:t xml:space="preserve"> </w:t>
            </w:r>
            <w:r w:rsidRPr="005A3A16">
              <w:rPr>
                <w:b/>
                <w:bCs/>
                <w:sz w:val="20"/>
                <w:szCs w:val="20"/>
                <w:lang w:val="en-CA" w:eastAsia="en-CA"/>
              </w:rPr>
              <w:t>683</w:t>
            </w:r>
          </w:p>
        </w:tc>
        <w:tc>
          <w:tcPr>
            <w:tcW w:w="1219" w:type="dxa"/>
            <w:tcBorders>
              <w:top w:val="nil"/>
              <w:left w:val="nil"/>
              <w:bottom w:val="single" w:sz="4" w:space="0" w:color="auto"/>
              <w:right w:val="single" w:sz="4" w:space="0" w:color="auto"/>
            </w:tcBorders>
            <w:shd w:val="clear" w:color="auto" w:fill="auto"/>
            <w:noWrap/>
            <w:hideMark/>
          </w:tcPr>
          <w:p w14:paraId="03E72484" w14:textId="36AD06C6" w:rsidR="00F47993" w:rsidRPr="005A3A16" w:rsidRDefault="00F47993" w:rsidP="00F47993">
            <w:pPr>
              <w:jc w:val="right"/>
              <w:rPr>
                <w:b/>
                <w:bCs/>
                <w:sz w:val="20"/>
                <w:szCs w:val="20"/>
                <w:lang w:val="en-CA" w:eastAsia="en-CA"/>
              </w:rPr>
            </w:pPr>
            <w:r w:rsidRPr="005A3A16">
              <w:rPr>
                <w:b/>
                <w:bCs/>
                <w:sz w:val="20"/>
                <w:szCs w:val="20"/>
                <w:lang w:val="en-CA" w:eastAsia="en-CA"/>
              </w:rPr>
              <w:t>51</w:t>
            </w:r>
            <w:r w:rsidR="00AF4584">
              <w:rPr>
                <w:b/>
                <w:bCs/>
                <w:sz w:val="20"/>
                <w:szCs w:val="20"/>
                <w:lang w:val="en-CA" w:eastAsia="en-CA"/>
              </w:rPr>
              <w:t xml:space="preserve"> </w:t>
            </w:r>
            <w:r w:rsidRPr="005A3A16">
              <w:rPr>
                <w:b/>
                <w:bCs/>
                <w:sz w:val="20"/>
                <w:szCs w:val="20"/>
                <w:lang w:val="en-CA" w:eastAsia="en-CA"/>
              </w:rPr>
              <w:t>160</w:t>
            </w:r>
          </w:p>
        </w:tc>
        <w:tc>
          <w:tcPr>
            <w:tcW w:w="1219" w:type="dxa"/>
            <w:tcBorders>
              <w:top w:val="nil"/>
              <w:left w:val="nil"/>
              <w:bottom w:val="single" w:sz="4" w:space="0" w:color="auto"/>
              <w:right w:val="single" w:sz="4" w:space="0" w:color="auto"/>
            </w:tcBorders>
            <w:shd w:val="clear" w:color="auto" w:fill="auto"/>
            <w:noWrap/>
            <w:hideMark/>
          </w:tcPr>
          <w:p w14:paraId="5570817E" w14:textId="6DFBA5BD" w:rsidR="00F47993" w:rsidRPr="005A3A16" w:rsidRDefault="00F47993" w:rsidP="00F47993">
            <w:pPr>
              <w:jc w:val="right"/>
              <w:rPr>
                <w:b/>
                <w:bCs/>
                <w:sz w:val="20"/>
                <w:szCs w:val="20"/>
                <w:lang w:val="en-CA" w:eastAsia="en-CA"/>
              </w:rPr>
            </w:pPr>
            <w:r w:rsidRPr="005A3A16">
              <w:rPr>
                <w:b/>
                <w:bCs/>
                <w:sz w:val="20"/>
                <w:szCs w:val="20"/>
                <w:lang w:val="en-CA" w:eastAsia="en-CA"/>
              </w:rPr>
              <w:t>93</w:t>
            </w:r>
            <w:r w:rsidR="00AF4584">
              <w:rPr>
                <w:b/>
                <w:bCs/>
                <w:sz w:val="20"/>
                <w:szCs w:val="20"/>
                <w:lang w:val="en-CA" w:eastAsia="en-CA"/>
              </w:rPr>
              <w:t xml:space="preserve"> </w:t>
            </w:r>
            <w:r w:rsidRPr="005A3A16">
              <w:rPr>
                <w:b/>
                <w:bCs/>
                <w:sz w:val="20"/>
                <w:szCs w:val="20"/>
                <w:lang w:val="en-CA" w:eastAsia="en-CA"/>
              </w:rPr>
              <w:t>556</w:t>
            </w:r>
          </w:p>
        </w:tc>
        <w:tc>
          <w:tcPr>
            <w:tcW w:w="1224" w:type="dxa"/>
            <w:tcBorders>
              <w:top w:val="nil"/>
              <w:left w:val="nil"/>
              <w:bottom w:val="single" w:sz="4" w:space="0" w:color="auto"/>
              <w:right w:val="single" w:sz="4" w:space="0" w:color="auto"/>
            </w:tcBorders>
            <w:shd w:val="clear" w:color="auto" w:fill="auto"/>
            <w:noWrap/>
            <w:hideMark/>
          </w:tcPr>
          <w:p w14:paraId="582498B0" w14:textId="55447AC3" w:rsidR="00F47993" w:rsidRPr="005A3A16" w:rsidRDefault="00F47993" w:rsidP="00F47993">
            <w:pPr>
              <w:jc w:val="right"/>
              <w:rPr>
                <w:b/>
                <w:bCs/>
                <w:sz w:val="20"/>
                <w:szCs w:val="20"/>
                <w:lang w:val="en-CA" w:eastAsia="en-CA"/>
              </w:rPr>
            </w:pPr>
            <w:r w:rsidRPr="005A3A16">
              <w:rPr>
                <w:b/>
                <w:bCs/>
                <w:sz w:val="20"/>
                <w:szCs w:val="20"/>
                <w:lang w:val="en-CA" w:eastAsia="en-CA"/>
              </w:rPr>
              <w:t>90</w:t>
            </w:r>
            <w:r w:rsidR="00AF4584">
              <w:rPr>
                <w:b/>
                <w:bCs/>
                <w:sz w:val="20"/>
                <w:szCs w:val="20"/>
                <w:lang w:val="en-CA" w:eastAsia="en-CA"/>
              </w:rPr>
              <w:t xml:space="preserve"> </w:t>
            </w:r>
            <w:r w:rsidRPr="005A3A16">
              <w:rPr>
                <w:b/>
                <w:bCs/>
                <w:sz w:val="20"/>
                <w:szCs w:val="20"/>
                <w:lang w:val="en-CA" w:eastAsia="en-CA"/>
              </w:rPr>
              <w:t>339</w:t>
            </w:r>
          </w:p>
        </w:tc>
      </w:tr>
      <w:tr w:rsidR="005A3A16" w:rsidRPr="00846A22" w14:paraId="4ED22EDE" w14:textId="77777777" w:rsidTr="00B928AB">
        <w:trPr>
          <w:trHeight w:val="58"/>
        </w:trPr>
        <w:tc>
          <w:tcPr>
            <w:tcW w:w="934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6BA5B308" w14:textId="63F291C6" w:rsidR="00F47993" w:rsidRPr="003C5BA5" w:rsidRDefault="003C5BA5" w:rsidP="003C5BA5">
            <w:pPr>
              <w:jc w:val="left"/>
              <w:rPr>
                <w:b/>
                <w:bCs/>
                <w:sz w:val="20"/>
                <w:szCs w:val="20"/>
                <w:lang w:val="es-ES" w:eastAsia="en-CA"/>
              </w:rPr>
            </w:pPr>
            <w:r w:rsidRPr="003C5BA5">
              <w:rPr>
                <w:b/>
                <w:bCs/>
                <w:sz w:val="20"/>
                <w:szCs w:val="20"/>
                <w:lang w:val="es-ES" w:eastAsia="en-CA"/>
              </w:rPr>
              <w:t xml:space="preserve">Actividades relativas a los </w:t>
            </w:r>
            <w:r w:rsidR="00F47993" w:rsidRPr="003C5BA5">
              <w:rPr>
                <w:b/>
                <w:bCs/>
                <w:sz w:val="20"/>
                <w:szCs w:val="20"/>
                <w:lang w:val="es-ES" w:eastAsia="en-CA"/>
              </w:rPr>
              <w:t>HFC</w:t>
            </w:r>
          </w:p>
        </w:tc>
      </w:tr>
      <w:tr w:rsidR="005A3A16" w:rsidRPr="005A3A16" w14:paraId="3B030364" w14:textId="77777777" w:rsidTr="003C5BA5">
        <w:trPr>
          <w:trHeight w:val="79"/>
        </w:trPr>
        <w:tc>
          <w:tcPr>
            <w:tcW w:w="3353" w:type="dxa"/>
            <w:tcBorders>
              <w:top w:val="nil"/>
              <w:left w:val="single" w:sz="4" w:space="0" w:color="auto"/>
              <w:bottom w:val="single" w:sz="4" w:space="0" w:color="auto"/>
              <w:right w:val="single" w:sz="4" w:space="0" w:color="auto"/>
            </w:tcBorders>
            <w:shd w:val="clear" w:color="auto" w:fill="auto"/>
            <w:noWrap/>
            <w:hideMark/>
          </w:tcPr>
          <w:p w14:paraId="705CE951" w14:textId="6A320327" w:rsidR="00F47993" w:rsidRPr="007B63DE" w:rsidRDefault="007B63DE" w:rsidP="007B63DE">
            <w:pPr>
              <w:jc w:val="left"/>
              <w:rPr>
                <w:sz w:val="20"/>
                <w:szCs w:val="20"/>
                <w:lang w:val="es-ES" w:eastAsia="en-CA"/>
              </w:rPr>
            </w:pPr>
            <w:r w:rsidRPr="007B63DE">
              <w:rPr>
                <w:sz w:val="20"/>
                <w:szCs w:val="20"/>
                <w:lang w:val="es-ES" w:eastAsia="en-CA"/>
              </w:rPr>
              <w:t>P</w:t>
            </w:r>
            <w:r>
              <w:rPr>
                <w:sz w:val="20"/>
                <w:szCs w:val="20"/>
                <w:lang w:val="es-ES" w:eastAsia="en-CA"/>
              </w:rPr>
              <w:t>reparación de proyectos de p</w:t>
            </w:r>
            <w:r w:rsidRPr="007B63DE">
              <w:rPr>
                <w:sz w:val="20"/>
                <w:szCs w:val="20"/>
                <w:lang w:val="es-ES" w:eastAsia="en-CA"/>
              </w:rPr>
              <w:t>lan</w:t>
            </w:r>
            <w:r>
              <w:rPr>
                <w:sz w:val="20"/>
                <w:szCs w:val="20"/>
                <w:lang w:val="es-ES" w:eastAsia="en-CA"/>
              </w:rPr>
              <w:t>es</w:t>
            </w:r>
            <w:r w:rsidRPr="007B63DE">
              <w:rPr>
                <w:sz w:val="20"/>
                <w:szCs w:val="20"/>
                <w:lang w:val="es-ES" w:eastAsia="en-CA"/>
              </w:rPr>
              <w:t xml:space="preserve"> de reducción de los </w:t>
            </w:r>
            <w:r w:rsidR="00F47993" w:rsidRPr="007B63DE">
              <w:rPr>
                <w:sz w:val="20"/>
                <w:szCs w:val="20"/>
                <w:lang w:val="es-ES" w:eastAsia="en-CA"/>
              </w:rPr>
              <w:t>HFC</w:t>
            </w:r>
          </w:p>
        </w:tc>
        <w:tc>
          <w:tcPr>
            <w:tcW w:w="1106" w:type="dxa"/>
            <w:tcBorders>
              <w:top w:val="nil"/>
              <w:left w:val="nil"/>
              <w:bottom w:val="single" w:sz="4" w:space="0" w:color="auto"/>
              <w:right w:val="single" w:sz="4" w:space="0" w:color="auto"/>
            </w:tcBorders>
            <w:shd w:val="clear" w:color="auto" w:fill="auto"/>
            <w:noWrap/>
            <w:hideMark/>
          </w:tcPr>
          <w:p w14:paraId="376FAD21" w14:textId="3FBD4FB3" w:rsidR="00F47993" w:rsidRPr="005A3A16" w:rsidRDefault="00F47993" w:rsidP="00F47993">
            <w:pPr>
              <w:jc w:val="right"/>
              <w:rPr>
                <w:sz w:val="20"/>
                <w:szCs w:val="20"/>
                <w:lang w:val="en-CA" w:eastAsia="en-CA"/>
              </w:rPr>
            </w:pPr>
            <w:r w:rsidRPr="005A3A16">
              <w:rPr>
                <w:sz w:val="20"/>
                <w:szCs w:val="20"/>
                <w:lang w:val="en-CA" w:eastAsia="en-CA"/>
              </w:rPr>
              <w:t>1</w:t>
            </w:r>
            <w:r w:rsidR="00AF4584">
              <w:rPr>
                <w:sz w:val="20"/>
                <w:szCs w:val="20"/>
                <w:lang w:val="en-CA" w:eastAsia="en-CA"/>
              </w:rPr>
              <w:t xml:space="preserve"> </w:t>
            </w:r>
            <w:r w:rsidRPr="005A3A16">
              <w:rPr>
                <w:sz w:val="20"/>
                <w:szCs w:val="20"/>
                <w:lang w:val="en-CA" w:eastAsia="en-CA"/>
              </w:rPr>
              <w:t>099</w:t>
            </w:r>
          </w:p>
        </w:tc>
        <w:tc>
          <w:tcPr>
            <w:tcW w:w="1219" w:type="dxa"/>
            <w:tcBorders>
              <w:top w:val="nil"/>
              <w:left w:val="nil"/>
              <w:bottom w:val="single" w:sz="4" w:space="0" w:color="auto"/>
              <w:right w:val="single" w:sz="4" w:space="0" w:color="auto"/>
            </w:tcBorders>
            <w:shd w:val="clear" w:color="auto" w:fill="auto"/>
            <w:noWrap/>
            <w:hideMark/>
          </w:tcPr>
          <w:p w14:paraId="5251A99F" w14:textId="77777777" w:rsidR="00F47993" w:rsidRPr="005A3A16" w:rsidRDefault="00F47993" w:rsidP="00F47993">
            <w:pPr>
              <w:jc w:val="right"/>
              <w:rPr>
                <w:sz w:val="20"/>
                <w:szCs w:val="20"/>
                <w:lang w:val="en-CA" w:eastAsia="en-CA"/>
              </w:rPr>
            </w:pPr>
            <w:r w:rsidRPr="005A3A16">
              <w:rPr>
                <w:sz w:val="20"/>
                <w:szCs w:val="20"/>
                <w:lang w:val="en-CA" w:eastAsia="en-CA"/>
              </w:rPr>
              <w:t>814</w:t>
            </w:r>
          </w:p>
        </w:tc>
        <w:tc>
          <w:tcPr>
            <w:tcW w:w="1219" w:type="dxa"/>
            <w:tcBorders>
              <w:top w:val="nil"/>
              <w:left w:val="nil"/>
              <w:bottom w:val="single" w:sz="4" w:space="0" w:color="auto"/>
              <w:right w:val="single" w:sz="4" w:space="0" w:color="auto"/>
            </w:tcBorders>
            <w:shd w:val="clear" w:color="auto" w:fill="auto"/>
            <w:noWrap/>
            <w:hideMark/>
          </w:tcPr>
          <w:p w14:paraId="21E5226A" w14:textId="77777777" w:rsidR="00F47993" w:rsidRPr="005A3A16" w:rsidRDefault="00F47993" w:rsidP="00F47993">
            <w:pPr>
              <w:jc w:val="right"/>
              <w:rPr>
                <w:sz w:val="20"/>
                <w:szCs w:val="20"/>
                <w:lang w:val="en-CA" w:eastAsia="en-CA"/>
              </w:rPr>
            </w:pPr>
            <w:r w:rsidRPr="005A3A16">
              <w:rPr>
                <w:sz w:val="20"/>
                <w:szCs w:val="20"/>
                <w:lang w:val="en-CA" w:eastAsia="en-CA"/>
              </w:rPr>
              <w:t>112</w:t>
            </w:r>
          </w:p>
        </w:tc>
        <w:tc>
          <w:tcPr>
            <w:tcW w:w="1219" w:type="dxa"/>
            <w:tcBorders>
              <w:top w:val="nil"/>
              <w:left w:val="nil"/>
              <w:bottom w:val="single" w:sz="4" w:space="0" w:color="auto"/>
              <w:right w:val="single" w:sz="4" w:space="0" w:color="auto"/>
            </w:tcBorders>
            <w:shd w:val="clear" w:color="auto" w:fill="auto"/>
            <w:noWrap/>
            <w:hideMark/>
          </w:tcPr>
          <w:p w14:paraId="6E65F454" w14:textId="1E296166" w:rsidR="00F47993" w:rsidRPr="005A3A16" w:rsidRDefault="00F47993" w:rsidP="00F47993">
            <w:pPr>
              <w:jc w:val="right"/>
              <w:rPr>
                <w:sz w:val="20"/>
                <w:szCs w:val="20"/>
                <w:lang w:val="en-CA" w:eastAsia="en-CA"/>
              </w:rPr>
            </w:pPr>
            <w:r w:rsidRPr="005A3A16">
              <w:rPr>
                <w:sz w:val="20"/>
                <w:szCs w:val="20"/>
                <w:lang w:val="en-CA" w:eastAsia="en-CA"/>
              </w:rPr>
              <w:t>2</w:t>
            </w:r>
            <w:r w:rsidR="00AF4584">
              <w:rPr>
                <w:sz w:val="20"/>
                <w:szCs w:val="20"/>
                <w:lang w:val="en-CA" w:eastAsia="en-CA"/>
              </w:rPr>
              <w:t xml:space="preserve"> </w:t>
            </w:r>
            <w:r w:rsidRPr="005A3A16">
              <w:rPr>
                <w:sz w:val="20"/>
                <w:szCs w:val="20"/>
                <w:lang w:val="en-CA" w:eastAsia="en-CA"/>
              </w:rPr>
              <w:t>025</w:t>
            </w:r>
          </w:p>
        </w:tc>
        <w:tc>
          <w:tcPr>
            <w:tcW w:w="1224" w:type="dxa"/>
            <w:tcBorders>
              <w:top w:val="nil"/>
              <w:left w:val="nil"/>
              <w:bottom w:val="single" w:sz="4" w:space="0" w:color="auto"/>
              <w:right w:val="single" w:sz="4" w:space="0" w:color="auto"/>
            </w:tcBorders>
            <w:shd w:val="clear" w:color="auto" w:fill="auto"/>
            <w:noWrap/>
            <w:hideMark/>
          </w:tcPr>
          <w:p w14:paraId="585B20B7" w14:textId="77777777" w:rsidR="00F47993" w:rsidRPr="005A3A16" w:rsidRDefault="00F47993" w:rsidP="00F47993">
            <w:pPr>
              <w:jc w:val="right"/>
              <w:rPr>
                <w:sz w:val="20"/>
                <w:szCs w:val="20"/>
                <w:lang w:val="en-CA" w:eastAsia="en-CA"/>
              </w:rPr>
            </w:pPr>
            <w:r w:rsidRPr="005A3A16">
              <w:rPr>
                <w:sz w:val="20"/>
                <w:szCs w:val="20"/>
                <w:lang w:val="en-CA" w:eastAsia="en-CA"/>
              </w:rPr>
              <w:t>0</w:t>
            </w:r>
          </w:p>
        </w:tc>
      </w:tr>
      <w:tr w:rsidR="005A3A16" w:rsidRPr="005A3A16" w14:paraId="2BA34DAB" w14:textId="77777777" w:rsidTr="003C5BA5">
        <w:trPr>
          <w:trHeight w:val="139"/>
        </w:trPr>
        <w:tc>
          <w:tcPr>
            <w:tcW w:w="3353" w:type="dxa"/>
            <w:tcBorders>
              <w:top w:val="nil"/>
              <w:left w:val="single" w:sz="4" w:space="0" w:color="auto"/>
              <w:bottom w:val="single" w:sz="4" w:space="0" w:color="auto"/>
              <w:right w:val="single" w:sz="4" w:space="0" w:color="auto"/>
            </w:tcBorders>
            <w:shd w:val="clear" w:color="auto" w:fill="auto"/>
            <w:noWrap/>
            <w:hideMark/>
          </w:tcPr>
          <w:p w14:paraId="7DA5F747" w14:textId="4246387C" w:rsidR="00F47993" w:rsidRPr="007B63DE" w:rsidRDefault="007B63DE" w:rsidP="007B63DE">
            <w:pPr>
              <w:jc w:val="left"/>
              <w:rPr>
                <w:sz w:val="20"/>
                <w:szCs w:val="20"/>
                <w:lang w:val="es-ES" w:eastAsia="en-CA"/>
              </w:rPr>
            </w:pPr>
            <w:r w:rsidRPr="007B63DE">
              <w:rPr>
                <w:sz w:val="20"/>
                <w:szCs w:val="20"/>
                <w:lang w:val="es-ES" w:eastAsia="en-CA"/>
              </w:rPr>
              <w:t xml:space="preserve">Planes de reducción de los </w:t>
            </w:r>
            <w:r w:rsidR="00F47993" w:rsidRPr="007B63DE">
              <w:rPr>
                <w:sz w:val="20"/>
                <w:szCs w:val="20"/>
                <w:lang w:val="es-ES" w:eastAsia="en-CA"/>
              </w:rPr>
              <w:t>HFC</w:t>
            </w:r>
          </w:p>
        </w:tc>
        <w:tc>
          <w:tcPr>
            <w:tcW w:w="1106" w:type="dxa"/>
            <w:tcBorders>
              <w:top w:val="nil"/>
              <w:left w:val="nil"/>
              <w:bottom w:val="single" w:sz="4" w:space="0" w:color="auto"/>
              <w:right w:val="single" w:sz="4" w:space="0" w:color="auto"/>
            </w:tcBorders>
            <w:shd w:val="clear" w:color="auto" w:fill="auto"/>
            <w:noWrap/>
            <w:hideMark/>
          </w:tcPr>
          <w:p w14:paraId="630C6AD5" w14:textId="77777777" w:rsidR="00F47993" w:rsidRPr="005A3A16" w:rsidRDefault="00F47993" w:rsidP="00F47993">
            <w:pPr>
              <w:jc w:val="right"/>
              <w:rPr>
                <w:sz w:val="20"/>
                <w:szCs w:val="20"/>
                <w:lang w:val="en-CA" w:eastAsia="en-CA"/>
              </w:rPr>
            </w:pPr>
            <w:r w:rsidRPr="005A3A16">
              <w:rPr>
                <w:sz w:val="20"/>
                <w:szCs w:val="20"/>
                <w:lang w:val="en-CA" w:eastAsia="en-CA"/>
              </w:rPr>
              <w:t>0</w:t>
            </w:r>
          </w:p>
        </w:tc>
        <w:tc>
          <w:tcPr>
            <w:tcW w:w="1219" w:type="dxa"/>
            <w:tcBorders>
              <w:top w:val="nil"/>
              <w:left w:val="nil"/>
              <w:bottom w:val="single" w:sz="4" w:space="0" w:color="auto"/>
              <w:right w:val="single" w:sz="4" w:space="0" w:color="auto"/>
            </w:tcBorders>
            <w:shd w:val="clear" w:color="auto" w:fill="auto"/>
            <w:noWrap/>
            <w:hideMark/>
          </w:tcPr>
          <w:p w14:paraId="6E6B59F3" w14:textId="36778073" w:rsidR="00F47993" w:rsidRPr="005A3A16" w:rsidRDefault="00F47993" w:rsidP="00F47993">
            <w:pPr>
              <w:jc w:val="right"/>
              <w:rPr>
                <w:sz w:val="20"/>
                <w:szCs w:val="20"/>
                <w:lang w:val="en-CA" w:eastAsia="en-CA"/>
              </w:rPr>
            </w:pPr>
            <w:r w:rsidRPr="005A3A16">
              <w:rPr>
                <w:sz w:val="20"/>
                <w:szCs w:val="20"/>
                <w:lang w:val="en-CA" w:eastAsia="en-CA"/>
              </w:rPr>
              <w:t>22</w:t>
            </w:r>
            <w:r w:rsidR="00AF4584">
              <w:rPr>
                <w:sz w:val="20"/>
                <w:szCs w:val="20"/>
                <w:lang w:val="en-CA" w:eastAsia="en-CA"/>
              </w:rPr>
              <w:t xml:space="preserve"> </w:t>
            </w:r>
            <w:r w:rsidRPr="005A3A16">
              <w:rPr>
                <w:sz w:val="20"/>
                <w:szCs w:val="20"/>
                <w:lang w:val="en-CA" w:eastAsia="en-CA"/>
              </w:rPr>
              <w:t>918</w:t>
            </w:r>
          </w:p>
        </w:tc>
        <w:tc>
          <w:tcPr>
            <w:tcW w:w="1219" w:type="dxa"/>
            <w:tcBorders>
              <w:top w:val="nil"/>
              <w:left w:val="nil"/>
              <w:bottom w:val="single" w:sz="4" w:space="0" w:color="auto"/>
              <w:right w:val="single" w:sz="4" w:space="0" w:color="auto"/>
            </w:tcBorders>
            <w:shd w:val="clear" w:color="auto" w:fill="auto"/>
            <w:noWrap/>
            <w:hideMark/>
          </w:tcPr>
          <w:p w14:paraId="2766A0B0" w14:textId="67811738" w:rsidR="00F47993" w:rsidRPr="005A3A16" w:rsidRDefault="00F47993" w:rsidP="00F47993">
            <w:pPr>
              <w:jc w:val="right"/>
              <w:rPr>
                <w:sz w:val="20"/>
                <w:szCs w:val="20"/>
                <w:lang w:val="en-CA" w:eastAsia="en-CA"/>
              </w:rPr>
            </w:pPr>
            <w:r w:rsidRPr="005A3A16">
              <w:rPr>
                <w:sz w:val="20"/>
                <w:szCs w:val="20"/>
                <w:lang w:val="en-CA" w:eastAsia="en-CA"/>
              </w:rPr>
              <w:t>2</w:t>
            </w:r>
            <w:r w:rsidR="00AF4584">
              <w:rPr>
                <w:sz w:val="20"/>
                <w:szCs w:val="20"/>
                <w:lang w:val="en-CA" w:eastAsia="en-CA"/>
              </w:rPr>
              <w:t xml:space="preserve"> </w:t>
            </w:r>
            <w:r w:rsidRPr="005A3A16">
              <w:rPr>
                <w:sz w:val="20"/>
                <w:szCs w:val="20"/>
                <w:lang w:val="en-CA" w:eastAsia="en-CA"/>
              </w:rPr>
              <w:t>617</w:t>
            </w:r>
          </w:p>
        </w:tc>
        <w:tc>
          <w:tcPr>
            <w:tcW w:w="1219" w:type="dxa"/>
            <w:tcBorders>
              <w:top w:val="nil"/>
              <w:left w:val="nil"/>
              <w:bottom w:val="single" w:sz="4" w:space="0" w:color="auto"/>
              <w:right w:val="single" w:sz="4" w:space="0" w:color="auto"/>
            </w:tcBorders>
            <w:shd w:val="clear" w:color="auto" w:fill="auto"/>
            <w:noWrap/>
            <w:hideMark/>
          </w:tcPr>
          <w:p w14:paraId="272F3883" w14:textId="55948364" w:rsidR="00F47993" w:rsidRPr="005A3A16" w:rsidRDefault="00F47993" w:rsidP="00F47993">
            <w:pPr>
              <w:jc w:val="right"/>
              <w:rPr>
                <w:sz w:val="20"/>
                <w:szCs w:val="20"/>
                <w:lang w:val="en-CA" w:eastAsia="en-CA"/>
              </w:rPr>
            </w:pPr>
            <w:r w:rsidRPr="005A3A16">
              <w:rPr>
                <w:sz w:val="20"/>
                <w:szCs w:val="20"/>
                <w:lang w:val="en-CA" w:eastAsia="en-CA"/>
              </w:rPr>
              <w:t>25</w:t>
            </w:r>
            <w:r w:rsidR="00AF4584">
              <w:rPr>
                <w:sz w:val="20"/>
                <w:szCs w:val="20"/>
                <w:lang w:val="en-CA" w:eastAsia="en-CA"/>
              </w:rPr>
              <w:t xml:space="preserve"> </w:t>
            </w:r>
            <w:r w:rsidRPr="005A3A16">
              <w:rPr>
                <w:sz w:val="20"/>
                <w:szCs w:val="20"/>
                <w:lang w:val="en-CA" w:eastAsia="en-CA"/>
              </w:rPr>
              <w:t>535</w:t>
            </w:r>
          </w:p>
        </w:tc>
        <w:tc>
          <w:tcPr>
            <w:tcW w:w="1224" w:type="dxa"/>
            <w:tcBorders>
              <w:top w:val="nil"/>
              <w:left w:val="nil"/>
              <w:bottom w:val="single" w:sz="4" w:space="0" w:color="auto"/>
              <w:right w:val="single" w:sz="4" w:space="0" w:color="auto"/>
            </w:tcBorders>
            <w:shd w:val="clear" w:color="auto" w:fill="auto"/>
            <w:noWrap/>
            <w:hideMark/>
          </w:tcPr>
          <w:p w14:paraId="5997B262" w14:textId="29A4B807" w:rsidR="00F47993" w:rsidRPr="005A3A16" w:rsidRDefault="00F47993" w:rsidP="00F47993">
            <w:pPr>
              <w:jc w:val="right"/>
              <w:rPr>
                <w:sz w:val="20"/>
                <w:szCs w:val="20"/>
                <w:lang w:val="en-CA" w:eastAsia="en-CA"/>
              </w:rPr>
            </w:pPr>
            <w:r w:rsidRPr="005A3A16">
              <w:rPr>
                <w:sz w:val="20"/>
                <w:szCs w:val="20"/>
                <w:lang w:val="en-CA" w:eastAsia="en-CA"/>
              </w:rPr>
              <w:t>9</w:t>
            </w:r>
            <w:r w:rsidR="00AF4584">
              <w:rPr>
                <w:sz w:val="20"/>
                <w:szCs w:val="20"/>
                <w:lang w:val="en-CA" w:eastAsia="en-CA"/>
              </w:rPr>
              <w:t xml:space="preserve"> </w:t>
            </w:r>
            <w:r w:rsidRPr="005A3A16">
              <w:rPr>
                <w:sz w:val="20"/>
                <w:szCs w:val="20"/>
                <w:lang w:val="en-CA" w:eastAsia="en-CA"/>
              </w:rPr>
              <w:t>847</w:t>
            </w:r>
          </w:p>
        </w:tc>
      </w:tr>
      <w:tr w:rsidR="005A3A16" w:rsidRPr="005A3A16" w14:paraId="42BA502B" w14:textId="77777777" w:rsidTr="003C5BA5">
        <w:trPr>
          <w:trHeight w:val="58"/>
        </w:trPr>
        <w:tc>
          <w:tcPr>
            <w:tcW w:w="3353" w:type="dxa"/>
            <w:tcBorders>
              <w:top w:val="nil"/>
              <w:left w:val="single" w:sz="4" w:space="0" w:color="auto"/>
              <w:bottom w:val="single" w:sz="4" w:space="0" w:color="auto"/>
              <w:right w:val="single" w:sz="4" w:space="0" w:color="auto"/>
            </w:tcBorders>
            <w:shd w:val="clear" w:color="auto" w:fill="auto"/>
            <w:noWrap/>
            <w:hideMark/>
          </w:tcPr>
          <w:p w14:paraId="32E75A76" w14:textId="5746498B" w:rsidR="00F47993" w:rsidRPr="007B63DE" w:rsidRDefault="00A76E99" w:rsidP="007B63DE">
            <w:pPr>
              <w:jc w:val="left"/>
              <w:rPr>
                <w:b/>
                <w:bCs/>
                <w:sz w:val="20"/>
                <w:szCs w:val="20"/>
                <w:lang w:val="es-ES" w:eastAsia="en-CA"/>
              </w:rPr>
            </w:pPr>
            <w:r w:rsidRPr="007B63DE">
              <w:rPr>
                <w:b/>
                <w:bCs/>
                <w:sz w:val="20"/>
                <w:szCs w:val="20"/>
                <w:lang w:val="es-ES" w:eastAsia="en-CA"/>
              </w:rPr>
              <w:t xml:space="preserve"> </w:t>
            </w:r>
            <w:r w:rsidR="007B63DE" w:rsidRPr="007B63DE">
              <w:rPr>
                <w:b/>
                <w:bCs/>
                <w:sz w:val="20"/>
                <w:szCs w:val="20"/>
                <w:lang w:val="es-ES" w:eastAsia="en-CA"/>
              </w:rPr>
              <w:t>Subtotal para actividades rela</w:t>
            </w:r>
            <w:r w:rsidR="007B63DE">
              <w:rPr>
                <w:b/>
                <w:bCs/>
                <w:sz w:val="20"/>
                <w:szCs w:val="20"/>
                <w:lang w:val="es-ES" w:eastAsia="en-CA"/>
              </w:rPr>
              <w:t xml:space="preserve">tivas a </w:t>
            </w:r>
            <w:r w:rsidR="007B63DE" w:rsidRPr="007B63DE">
              <w:rPr>
                <w:b/>
                <w:bCs/>
                <w:sz w:val="20"/>
                <w:szCs w:val="20"/>
                <w:lang w:val="es-ES" w:eastAsia="en-CA"/>
              </w:rPr>
              <w:t xml:space="preserve">los </w:t>
            </w:r>
            <w:r w:rsidR="00F47993" w:rsidRPr="007B63DE">
              <w:rPr>
                <w:b/>
                <w:bCs/>
                <w:sz w:val="20"/>
                <w:szCs w:val="20"/>
                <w:lang w:val="es-ES" w:eastAsia="en-CA"/>
              </w:rPr>
              <w:t>HFC</w:t>
            </w:r>
          </w:p>
        </w:tc>
        <w:tc>
          <w:tcPr>
            <w:tcW w:w="1106" w:type="dxa"/>
            <w:tcBorders>
              <w:top w:val="nil"/>
              <w:left w:val="nil"/>
              <w:bottom w:val="single" w:sz="4" w:space="0" w:color="auto"/>
              <w:right w:val="single" w:sz="4" w:space="0" w:color="auto"/>
            </w:tcBorders>
            <w:shd w:val="clear" w:color="auto" w:fill="auto"/>
            <w:noWrap/>
            <w:hideMark/>
          </w:tcPr>
          <w:p w14:paraId="70862353" w14:textId="12454C22" w:rsidR="00F47993" w:rsidRPr="005A3A16" w:rsidRDefault="00F47993" w:rsidP="00F47993">
            <w:pPr>
              <w:jc w:val="right"/>
              <w:rPr>
                <w:b/>
                <w:bCs/>
                <w:sz w:val="20"/>
                <w:szCs w:val="20"/>
                <w:lang w:val="en-CA" w:eastAsia="en-CA"/>
              </w:rPr>
            </w:pPr>
            <w:r w:rsidRPr="005A3A16">
              <w:rPr>
                <w:b/>
                <w:bCs/>
                <w:sz w:val="20"/>
                <w:szCs w:val="20"/>
                <w:lang w:val="en-CA" w:eastAsia="en-CA"/>
              </w:rPr>
              <w:t>1</w:t>
            </w:r>
            <w:r w:rsidR="00AF4584">
              <w:rPr>
                <w:b/>
                <w:bCs/>
                <w:sz w:val="20"/>
                <w:szCs w:val="20"/>
                <w:lang w:val="en-CA" w:eastAsia="en-CA"/>
              </w:rPr>
              <w:t xml:space="preserve"> </w:t>
            </w:r>
            <w:r w:rsidRPr="005A3A16">
              <w:rPr>
                <w:b/>
                <w:bCs/>
                <w:sz w:val="20"/>
                <w:szCs w:val="20"/>
                <w:lang w:val="en-CA" w:eastAsia="en-CA"/>
              </w:rPr>
              <w:t>099</w:t>
            </w:r>
          </w:p>
        </w:tc>
        <w:tc>
          <w:tcPr>
            <w:tcW w:w="1219" w:type="dxa"/>
            <w:tcBorders>
              <w:top w:val="nil"/>
              <w:left w:val="nil"/>
              <w:bottom w:val="single" w:sz="4" w:space="0" w:color="auto"/>
              <w:right w:val="single" w:sz="4" w:space="0" w:color="auto"/>
            </w:tcBorders>
            <w:shd w:val="clear" w:color="auto" w:fill="auto"/>
            <w:noWrap/>
            <w:hideMark/>
          </w:tcPr>
          <w:p w14:paraId="65062BC6" w14:textId="4DC239BA" w:rsidR="00F47993" w:rsidRPr="005A3A16" w:rsidRDefault="00F47993" w:rsidP="00F47993">
            <w:pPr>
              <w:jc w:val="right"/>
              <w:rPr>
                <w:b/>
                <w:bCs/>
                <w:sz w:val="20"/>
                <w:szCs w:val="20"/>
                <w:lang w:val="en-CA" w:eastAsia="en-CA"/>
              </w:rPr>
            </w:pPr>
            <w:r w:rsidRPr="005A3A16">
              <w:rPr>
                <w:b/>
                <w:bCs/>
                <w:sz w:val="20"/>
                <w:szCs w:val="20"/>
                <w:lang w:val="en-CA" w:eastAsia="en-CA"/>
              </w:rPr>
              <w:t>23</w:t>
            </w:r>
            <w:r w:rsidR="00AF4584">
              <w:rPr>
                <w:b/>
                <w:bCs/>
                <w:sz w:val="20"/>
                <w:szCs w:val="20"/>
                <w:lang w:val="en-CA" w:eastAsia="en-CA"/>
              </w:rPr>
              <w:t xml:space="preserve"> </w:t>
            </w:r>
            <w:r w:rsidRPr="005A3A16">
              <w:rPr>
                <w:b/>
                <w:bCs/>
                <w:sz w:val="20"/>
                <w:szCs w:val="20"/>
                <w:lang w:val="en-CA" w:eastAsia="en-CA"/>
              </w:rPr>
              <w:t>732</w:t>
            </w:r>
          </w:p>
        </w:tc>
        <w:tc>
          <w:tcPr>
            <w:tcW w:w="1219" w:type="dxa"/>
            <w:tcBorders>
              <w:top w:val="nil"/>
              <w:left w:val="nil"/>
              <w:bottom w:val="single" w:sz="4" w:space="0" w:color="auto"/>
              <w:right w:val="single" w:sz="4" w:space="0" w:color="auto"/>
            </w:tcBorders>
            <w:shd w:val="clear" w:color="auto" w:fill="auto"/>
            <w:noWrap/>
            <w:hideMark/>
          </w:tcPr>
          <w:p w14:paraId="38CA3840" w14:textId="7BC3B164" w:rsidR="00F47993" w:rsidRPr="005A3A16" w:rsidRDefault="00F47993" w:rsidP="00F47993">
            <w:pPr>
              <w:jc w:val="right"/>
              <w:rPr>
                <w:b/>
                <w:bCs/>
                <w:sz w:val="20"/>
                <w:szCs w:val="20"/>
                <w:lang w:val="en-CA" w:eastAsia="en-CA"/>
              </w:rPr>
            </w:pPr>
            <w:r w:rsidRPr="005A3A16">
              <w:rPr>
                <w:b/>
                <w:bCs/>
                <w:sz w:val="20"/>
                <w:szCs w:val="20"/>
                <w:lang w:val="en-CA" w:eastAsia="en-CA"/>
              </w:rPr>
              <w:t>2</w:t>
            </w:r>
            <w:r w:rsidR="00AF4584">
              <w:rPr>
                <w:b/>
                <w:bCs/>
                <w:sz w:val="20"/>
                <w:szCs w:val="20"/>
                <w:lang w:val="en-CA" w:eastAsia="en-CA"/>
              </w:rPr>
              <w:t xml:space="preserve"> </w:t>
            </w:r>
            <w:r w:rsidRPr="005A3A16">
              <w:rPr>
                <w:b/>
                <w:bCs/>
                <w:sz w:val="20"/>
                <w:szCs w:val="20"/>
                <w:lang w:val="en-CA" w:eastAsia="en-CA"/>
              </w:rPr>
              <w:t>729</w:t>
            </w:r>
          </w:p>
        </w:tc>
        <w:tc>
          <w:tcPr>
            <w:tcW w:w="1219" w:type="dxa"/>
            <w:tcBorders>
              <w:top w:val="nil"/>
              <w:left w:val="nil"/>
              <w:bottom w:val="single" w:sz="4" w:space="0" w:color="auto"/>
              <w:right w:val="single" w:sz="4" w:space="0" w:color="auto"/>
            </w:tcBorders>
            <w:shd w:val="clear" w:color="auto" w:fill="auto"/>
            <w:noWrap/>
            <w:hideMark/>
          </w:tcPr>
          <w:p w14:paraId="40DCC99D" w14:textId="5290865C" w:rsidR="00F47993" w:rsidRPr="005A3A16" w:rsidRDefault="00F47993" w:rsidP="00F47993">
            <w:pPr>
              <w:jc w:val="right"/>
              <w:rPr>
                <w:b/>
                <w:bCs/>
                <w:sz w:val="20"/>
                <w:szCs w:val="20"/>
                <w:lang w:val="en-CA" w:eastAsia="en-CA"/>
              </w:rPr>
            </w:pPr>
            <w:r w:rsidRPr="005A3A16">
              <w:rPr>
                <w:b/>
                <w:bCs/>
                <w:sz w:val="20"/>
                <w:szCs w:val="20"/>
                <w:lang w:val="en-CA" w:eastAsia="en-CA"/>
              </w:rPr>
              <w:t>27</w:t>
            </w:r>
            <w:r w:rsidR="00AF4584">
              <w:rPr>
                <w:b/>
                <w:bCs/>
                <w:sz w:val="20"/>
                <w:szCs w:val="20"/>
                <w:lang w:val="en-CA" w:eastAsia="en-CA"/>
              </w:rPr>
              <w:t xml:space="preserve"> </w:t>
            </w:r>
            <w:r w:rsidRPr="005A3A16">
              <w:rPr>
                <w:b/>
                <w:bCs/>
                <w:sz w:val="20"/>
                <w:szCs w:val="20"/>
                <w:lang w:val="en-CA" w:eastAsia="en-CA"/>
              </w:rPr>
              <w:t>560</w:t>
            </w:r>
          </w:p>
        </w:tc>
        <w:tc>
          <w:tcPr>
            <w:tcW w:w="1224" w:type="dxa"/>
            <w:tcBorders>
              <w:top w:val="nil"/>
              <w:left w:val="nil"/>
              <w:bottom w:val="single" w:sz="4" w:space="0" w:color="auto"/>
              <w:right w:val="single" w:sz="4" w:space="0" w:color="auto"/>
            </w:tcBorders>
            <w:shd w:val="clear" w:color="auto" w:fill="auto"/>
            <w:noWrap/>
            <w:hideMark/>
          </w:tcPr>
          <w:p w14:paraId="712F681F" w14:textId="69ECD708" w:rsidR="00F47993" w:rsidRPr="005A3A16" w:rsidRDefault="00F47993" w:rsidP="00F47993">
            <w:pPr>
              <w:jc w:val="right"/>
              <w:rPr>
                <w:b/>
                <w:bCs/>
                <w:sz w:val="20"/>
                <w:szCs w:val="20"/>
                <w:lang w:val="en-CA" w:eastAsia="en-CA"/>
              </w:rPr>
            </w:pPr>
            <w:r w:rsidRPr="005A3A16">
              <w:rPr>
                <w:b/>
                <w:bCs/>
                <w:sz w:val="20"/>
                <w:szCs w:val="20"/>
                <w:lang w:val="en-CA" w:eastAsia="en-CA"/>
              </w:rPr>
              <w:t>9</w:t>
            </w:r>
            <w:r w:rsidR="00AF4584">
              <w:rPr>
                <w:b/>
                <w:bCs/>
                <w:sz w:val="20"/>
                <w:szCs w:val="20"/>
                <w:lang w:val="en-CA" w:eastAsia="en-CA"/>
              </w:rPr>
              <w:t xml:space="preserve"> </w:t>
            </w:r>
            <w:r w:rsidRPr="005A3A16">
              <w:rPr>
                <w:b/>
                <w:bCs/>
                <w:sz w:val="20"/>
                <w:szCs w:val="20"/>
                <w:lang w:val="en-CA" w:eastAsia="en-CA"/>
              </w:rPr>
              <w:t>847</w:t>
            </w:r>
          </w:p>
        </w:tc>
      </w:tr>
      <w:tr w:rsidR="005A3A16" w:rsidRPr="005A3A16" w14:paraId="6E429F0E" w14:textId="77777777" w:rsidTr="00B928AB">
        <w:trPr>
          <w:trHeight w:val="89"/>
        </w:trPr>
        <w:tc>
          <w:tcPr>
            <w:tcW w:w="934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0A25279" w14:textId="2627591E" w:rsidR="00F47993" w:rsidRPr="005A3A16" w:rsidRDefault="003C5BA5" w:rsidP="003C5BA5">
            <w:pPr>
              <w:jc w:val="left"/>
              <w:rPr>
                <w:b/>
                <w:bCs/>
                <w:sz w:val="20"/>
                <w:szCs w:val="20"/>
                <w:lang w:val="en-CA" w:eastAsia="en-CA"/>
              </w:rPr>
            </w:pPr>
            <w:r>
              <w:rPr>
                <w:b/>
                <w:bCs/>
                <w:sz w:val="20"/>
                <w:szCs w:val="20"/>
                <w:lang w:val="en-CA" w:eastAsia="en-CA"/>
              </w:rPr>
              <w:t>Actividades corrientes</w:t>
            </w:r>
          </w:p>
        </w:tc>
      </w:tr>
      <w:tr w:rsidR="005A3A16" w:rsidRPr="005A3A16" w14:paraId="51B6A478" w14:textId="77777777" w:rsidTr="003C5BA5">
        <w:trPr>
          <w:trHeight w:val="58"/>
        </w:trPr>
        <w:tc>
          <w:tcPr>
            <w:tcW w:w="3353" w:type="dxa"/>
            <w:tcBorders>
              <w:top w:val="nil"/>
              <w:left w:val="single" w:sz="4" w:space="0" w:color="auto"/>
              <w:bottom w:val="single" w:sz="4" w:space="0" w:color="auto"/>
              <w:right w:val="single" w:sz="4" w:space="0" w:color="auto"/>
            </w:tcBorders>
            <w:shd w:val="clear" w:color="auto" w:fill="auto"/>
            <w:noWrap/>
            <w:hideMark/>
          </w:tcPr>
          <w:p w14:paraId="0CDCD7A6" w14:textId="19C02DF4" w:rsidR="00F47993" w:rsidRPr="005A3A16" w:rsidRDefault="003C5BA5" w:rsidP="003C5BA5">
            <w:pPr>
              <w:jc w:val="left"/>
              <w:rPr>
                <w:sz w:val="20"/>
                <w:szCs w:val="20"/>
                <w:lang w:val="en-CA" w:eastAsia="en-CA"/>
              </w:rPr>
            </w:pPr>
            <w:r>
              <w:rPr>
                <w:sz w:val="20"/>
                <w:szCs w:val="20"/>
                <w:lang w:val="en-CA" w:eastAsia="en-CA"/>
              </w:rPr>
              <w:t>Fortalecimiento in</w:t>
            </w:r>
            <w:r w:rsidR="00F47993" w:rsidRPr="005A3A16">
              <w:rPr>
                <w:sz w:val="20"/>
                <w:szCs w:val="20"/>
                <w:lang w:val="en-CA" w:eastAsia="en-CA"/>
              </w:rPr>
              <w:t>stitu</w:t>
            </w:r>
            <w:r>
              <w:rPr>
                <w:sz w:val="20"/>
                <w:szCs w:val="20"/>
                <w:lang w:val="en-CA" w:eastAsia="en-CA"/>
              </w:rPr>
              <w:t>c</w:t>
            </w:r>
            <w:r w:rsidR="00F47993" w:rsidRPr="005A3A16">
              <w:rPr>
                <w:sz w:val="20"/>
                <w:szCs w:val="20"/>
                <w:lang w:val="en-CA" w:eastAsia="en-CA"/>
              </w:rPr>
              <w:t xml:space="preserve">ional </w:t>
            </w:r>
          </w:p>
        </w:tc>
        <w:tc>
          <w:tcPr>
            <w:tcW w:w="1106" w:type="dxa"/>
            <w:tcBorders>
              <w:top w:val="nil"/>
              <w:left w:val="nil"/>
              <w:bottom w:val="single" w:sz="4" w:space="0" w:color="auto"/>
              <w:right w:val="single" w:sz="4" w:space="0" w:color="auto"/>
            </w:tcBorders>
            <w:shd w:val="clear" w:color="auto" w:fill="auto"/>
            <w:noWrap/>
            <w:hideMark/>
          </w:tcPr>
          <w:p w14:paraId="0F49A831" w14:textId="79CEB617" w:rsidR="00F47993" w:rsidRPr="005A3A16" w:rsidRDefault="00F47993" w:rsidP="00F47993">
            <w:pPr>
              <w:jc w:val="right"/>
              <w:rPr>
                <w:sz w:val="20"/>
                <w:szCs w:val="20"/>
                <w:lang w:val="en-CA" w:eastAsia="en-CA"/>
              </w:rPr>
            </w:pPr>
            <w:r w:rsidRPr="005A3A16">
              <w:rPr>
                <w:sz w:val="20"/>
                <w:szCs w:val="20"/>
                <w:lang w:val="en-CA" w:eastAsia="en-CA"/>
              </w:rPr>
              <w:t>4</w:t>
            </w:r>
            <w:r w:rsidR="00AF4584">
              <w:rPr>
                <w:sz w:val="20"/>
                <w:szCs w:val="20"/>
                <w:lang w:val="en-CA" w:eastAsia="en-CA"/>
              </w:rPr>
              <w:t xml:space="preserve"> </w:t>
            </w:r>
            <w:r w:rsidRPr="005A3A16">
              <w:rPr>
                <w:sz w:val="20"/>
                <w:szCs w:val="20"/>
                <w:lang w:val="en-CA" w:eastAsia="en-CA"/>
              </w:rPr>
              <w:t>635</w:t>
            </w:r>
          </w:p>
        </w:tc>
        <w:tc>
          <w:tcPr>
            <w:tcW w:w="1219" w:type="dxa"/>
            <w:tcBorders>
              <w:top w:val="nil"/>
              <w:left w:val="nil"/>
              <w:bottom w:val="single" w:sz="4" w:space="0" w:color="auto"/>
              <w:right w:val="single" w:sz="4" w:space="0" w:color="auto"/>
            </w:tcBorders>
            <w:shd w:val="clear" w:color="auto" w:fill="auto"/>
            <w:noWrap/>
            <w:hideMark/>
          </w:tcPr>
          <w:p w14:paraId="17C60BB6" w14:textId="69F7B82D" w:rsidR="00F47993" w:rsidRPr="005A3A16" w:rsidRDefault="00F47993" w:rsidP="00F47993">
            <w:pPr>
              <w:jc w:val="right"/>
              <w:rPr>
                <w:sz w:val="20"/>
                <w:szCs w:val="20"/>
                <w:lang w:val="en-CA" w:eastAsia="en-CA"/>
              </w:rPr>
            </w:pPr>
            <w:r w:rsidRPr="005A3A16">
              <w:rPr>
                <w:sz w:val="20"/>
                <w:szCs w:val="20"/>
                <w:lang w:val="en-CA" w:eastAsia="en-CA"/>
              </w:rPr>
              <w:t>1</w:t>
            </w:r>
            <w:r w:rsidR="00AF4584">
              <w:rPr>
                <w:sz w:val="20"/>
                <w:szCs w:val="20"/>
                <w:lang w:val="en-CA" w:eastAsia="en-CA"/>
              </w:rPr>
              <w:t xml:space="preserve"> </w:t>
            </w:r>
            <w:r w:rsidRPr="005A3A16">
              <w:rPr>
                <w:sz w:val="20"/>
                <w:szCs w:val="20"/>
                <w:lang w:val="en-CA" w:eastAsia="en-CA"/>
              </w:rPr>
              <w:t>752</w:t>
            </w:r>
          </w:p>
        </w:tc>
        <w:tc>
          <w:tcPr>
            <w:tcW w:w="1219" w:type="dxa"/>
            <w:tcBorders>
              <w:top w:val="nil"/>
              <w:left w:val="nil"/>
              <w:bottom w:val="single" w:sz="4" w:space="0" w:color="auto"/>
              <w:right w:val="single" w:sz="4" w:space="0" w:color="auto"/>
            </w:tcBorders>
            <w:shd w:val="clear" w:color="auto" w:fill="auto"/>
            <w:noWrap/>
            <w:hideMark/>
          </w:tcPr>
          <w:p w14:paraId="23BC0987" w14:textId="3A053CFF" w:rsidR="00F47993" w:rsidRPr="005A3A16" w:rsidRDefault="00F47993" w:rsidP="00F47993">
            <w:pPr>
              <w:jc w:val="right"/>
              <w:rPr>
                <w:sz w:val="20"/>
                <w:szCs w:val="20"/>
                <w:lang w:val="en-CA" w:eastAsia="en-CA"/>
              </w:rPr>
            </w:pPr>
            <w:r w:rsidRPr="005A3A16">
              <w:rPr>
                <w:sz w:val="20"/>
                <w:szCs w:val="20"/>
                <w:lang w:val="en-CA" w:eastAsia="en-CA"/>
              </w:rPr>
              <w:t>4</w:t>
            </w:r>
            <w:r w:rsidR="00AF4584">
              <w:rPr>
                <w:sz w:val="20"/>
                <w:szCs w:val="20"/>
                <w:lang w:val="en-CA" w:eastAsia="en-CA"/>
              </w:rPr>
              <w:t xml:space="preserve"> </w:t>
            </w:r>
            <w:r w:rsidRPr="005A3A16">
              <w:rPr>
                <w:sz w:val="20"/>
                <w:szCs w:val="20"/>
                <w:lang w:val="en-CA" w:eastAsia="en-CA"/>
              </w:rPr>
              <w:t>635</w:t>
            </w:r>
          </w:p>
        </w:tc>
        <w:tc>
          <w:tcPr>
            <w:tcW w:w="1219" w:type="dxa"/>
            <w:tcBorders>
              <w:top w:val="nil"/>
              <w:left w:val="nil"/>
              <w:bottom w:val="single" w:sz="4" w:space="0" w:color="auto"/>
              <w:right w:val="single" w:sz="4" w:space="0" w:color="auto"/>
            </w:tcBorders>
            <w:shd w:val="clear" w:color="auto" w:fill="auto"/>
            <w:noWrap/>
            <w:hideMark/>
          </w:tcPr>
          <w:p w14:paraId="7FC653A9" w14:textId="3E437F36" w:rsidR="00F47993" w:rsidRPr="005A3A16" w:rsidRDefault="00F47993" w:rsidP="00F47993">
            <w:pPr>
              <w:jc w:val="right"/>
              <w:rPr>
                <w:sz w:val="20"/>
                <w:szCs w:val="20"/>
                <w:lang w:val="en-CA" w:eastAsia="en-CA"/>
              </w:rPr>
            </w:pPr>
            <w:r w:rsidRPr="005A3A16">
              <w:rPr>
                <w:sz w:val="20"/>
                <w:szCs w:val="20"/>
                <w:lang w:val="en-CA" w:eastAsia="en-CA"/>
              </w:rPr>
              <w:t>11</w:t>
            </w:r>
            <w:r w:rsidR="00AF4584">
              <w:rPr>
                <w:sz w:val="20"/>
                <w:szCs w:val="20"/>
                <w:lang w:val="en-CA" w:eastAsia="en-CA"/>
              </w:rPr>
              <w:t xml:space="preserve"> </w:t>
            </w:r>
            <w:r w:rsidRPr="005A3A16">
              <w:rPr>
                <w:sz w:val="20"/>
                <w:szCs w:val="20"/>
                <w:lang w:val="en-CA" w:eastAsia="en-CA"/>
              </w:rPr>
              <w:t>021</w:t>
            </w:r>
          </w:p>
        </w:tc>
        <w:tc>
          <w:tcPr>
            <w:tcW w:w="1224" w:type="dxa"/>
            <w:tcBorders>
              <w:top w:val="nil"/>
              <w:left w:val="nil"/>
              <w:bottom w:val="single" w:sz="4" w:space="0" w:color="auto"/>
              <w:right w:val="single" w:sz="4" w:space="0" w:color="auto"/>
            </w:tcBorders>
            <w:shd w:val="clear" w:color="auto" w:fill="auto"/>
            <w:noWrap/>
            <w:hideMark/>
          </w:tcPr>
          <w:p w14:paraId="76846F81" w14:textId="77777777" w:rsidR="00F47993" w:rsidRPr="005A3A16" w:rsidRDefault="00F47993" w:rsidP="00F47993">
            <w:pPr>
              <w:jc w:val="right"/>
              <w:rPr>
                <w:sz w:val="20"/>
                <w:szCs w:val="20"/>
                <w:lang w:val="en-CA" w:eastAsia="en-CA"/>
              </w:rPr>
            </w:pPr>
            <w:r w:rsidRPr="005A3A16">
              <w:rPr>
                <w:sz w:val="20"/>
                <w:szCs w:val="20"/>
                <w:lang w:val="en-CA" w:eastAsia="en-CA"/>
              </w:rPr>
              <w:t>0</w:t>
            </w:r>
          </w:p>
        </w:tc>
      </w:tr>
      <w:tr w:rsidR="005A3A16" w:rsidRPr="005A3A16" w14:paraId="156D89A6" w14:textId="77777777" w:rsidTr="003C5BA5">
        <w:trPr>
          <w:trHeight w:val="167"/>
        </w:trPr>
        <w:tc>
          <w:tcPr>
            <w:tcW w:w="3353" w:type="dxa"/>
            <w:tcBorders>
              <w:top w:val="nil"/>
              <w:left w:val="single" w:sz="4" w:space="0" w:color="auto"/>
              <w:bottom w:val="single" w:sz="4" w:space="0" w:color="auto"/>
              <w:right w:val="single" w:sz="4" w:space="0" w:color="auto"/>
            </w:tcBorders>
            <w:shd w:val="clear" w:color="auto" w:fill="auto"/>
            <w:noWrap/>
            <w:hideMark/>
          </w:tcPr>
          <w:p w14:paraId="66D06C21" w14:textId="7B673452" w:rsidR="00F47993" w:rsidRPr="005A3A16" w:rsidRDefault="003C5BA5" w:rsidP="003C5BA5">
            <w:pPr>
              <w:jc w:val="left"/>
              <w:rPr>
                <w:sz w:val="20"/>
                <w:szCs w:val="20"/>
                <w:lang w:val="en-CA" w:eastAsia="en-CA"/>
              </w:rPr>
            </w:pPr>
            <w:r>
              <w:rPr>
                <w:sz w:val="20"/>
                <w:szCs w:val="20"/>
                <w:lang w:val="en-CA" w:eastAsia="en-CA"/>
              </w:rPr>
              <w:t>Dependencia central</w:t>
            </w:r>
          </w:p>
        </w:tc>
        <w:tc>
          <w:tcPr>
            <w:tcW w:w="1106" w:type="dxa"/>
            <w:tcBorders>
              <w:top w:val="nil"/>
              <w:left w:val="nil"/>
              <w:bottom w:val="single" w:sz="4" w:space="0" w:color="auto"/>
              <w:right w:val="single" w:sz="4" w:space="0" w:color="auto"/>
            </w:tcBorders>
            <w:shd w:val="clear" w:color="auto" w:fill="auto"/>
            <w:noWrap/>
            <w:hideMark/>
          </w:tcPr>
          <w:p w14:paraId="64D11457" w14:textId="05E5A251" w:rsidR="00F47993" w:rsidRPr="005A3A16" w:rsidRDefault="00F47993" w:rsidP="00F47993">
            <w:pPr>
              <w:jc w:val="right"/>
              <w:rPr>
                <w:sz w:val="20"/>
                <w:szCs w:val="20"/>
                <w:lang w:val="en-CA" w:eastAsia="en-CA"/>
              </w:rPr>
            </w:pPr>
            <w:r w:rsidRPr="005A3A16">
              <w:rPr>
                <w:sz w:val="20"/>
                <w:szCs w:val="20"/>
                <w:lang w:val="en-CA" w:eastAsia="en-CA"/>
              </w:rPr>
              <w:t>2</w:t>
            </w:r>
            <w:r w:rsidR="00AF4584">
              <w:rPr>
                <w:sz w:val="20"/>
                <w:szCs w:val="20"/>
                <w:lang w:val="en-CA" w:eastAsia="en-CA"/>
              </w:rPr>
              <w:t xml:space="preserve"> </w:t>
            </w:r>
            <w:r w:rsidRPr="005A3A16">
              <w:rPr>
                <w:sz w:val="20"/>
                <w:szCs w:val="20"/>
                <w:lang w:val="en-CA" w:eastAsia="en-CA"/>
              </w:rPr>
              <w:t>128</w:t>
            </w:r>
          </w:p>
        </w:tc>
        <w:tc>
          <w:tcPr>
            <w:tcW w:w="1219" w:type="dxa"/>
            <w:tcBorders>
              <w:top w:val="nil"/>
              <w:left w:val="nil"/>
              <w:bottom w:val="single" w:sz="4" w:space="0" w:color="auto"/>
              <w:right w:val="single" w:sz="4" w:space="0" w:color="auto"/>
            </w:tcBorders>
            <w:shd w:val="clear" w:color="auto" w:fill="auto"/>
            <w:noWrap/>
            <w:hideMark/>
          </w:tcPr>
          <w:p w14:paraId="44062C17" w14:textId="2D520366" w:rsidR="00F47993" w:rsidRPr="005A3A16" w:rsidRDefault="00F47993" w:rsidP="00F47993">
            <w:pPr>
              <w:jc w:val="right"/>
              <w:rPr>
                <w:sz w:val="20"/>
                <w:szCs w:val="20"/>
                <w:lang w:val="en-CA" w:eastAsia="en-CA"/>
              </w:rPr>
            </w:pPr>
            <w:r w:rsidRPr="005A3A16">
              <w:rPr>
                <w:sz w:val="20"/>
                <w:szCs w:val="20"/>
                <w:lang w:val="en-CA" w:eastAsia="en-CA"/>
              </w:rPr>
              <w:t>2</w:t>
            </w:r>
            <w:r w:rsidR="00AF4584">
              <w:rPr>
                <w:sz w:val="20"/>
                <w:szCs w:val="20"/>
                <w:lang w:val="en-CA" w:eastAsia="en-CA"/>
              </w:rPr>
              <w:t xml:space="preserve"> </w:t>
            </w:r>
            <w:r w:rsidRPr="005A3A16">
              <w:rPr>
                <w:sz w:val="20"/>
                <w:szCs w:val="20"/>
                <w:lang w:val="en-CA" w:eastAsia="en-CA"/>
              </w:rPr>
              <w:t>143</w:t>
            </w:r>
          </w:p>
        </w:tc>
        <w:tc>
          <w:tcPr>
            <w:tcW w:w="1219" w:type="dxa"/>
            <w:tcBorders>
              <w:top w:val="nil"/>
              <w:left w:val="nil"/>
              <w:bottom w:val="single" w:sz="4" w:space="0" w:color="auto"/>
              <w:right w:val="single" w:sz="4" w:space="0" w:color="auto"/>
            </w:tcBorders>
            <w:shd w:val="clear" w:color="auto" w:fill="auto"/>
            <w:noWrap/>
            <w:hideMark/>
          </w:tcPr>
          <w:p w14:paraId="3BD64A11" w14:textId="7D967450" w:rsidR="00F47993" w:rsidRPr="005A3A16" w:rsidRDefault="00F47993" w:rsidP="00F47993">
            <w:pPr>
              <w:jc w:val="right"/>
              <w:rPr>
                <w:sz w:val="20"/>
                <w:szCs w:val="20"/>
                <w:lang w:val="en-CA" w:eastAsia="en-CA"/>
              </w:rPr>
            </w:pPr>
            <w:r w:rsidRPr="005A3A16">
              <w:rPr>
                <w:sz w:val="20"/>
                <w:szCs w:val="20"/>
                <w:lang w:val="en-CA" w:eastAsia="en-CA"/>
              </w:rPr>
              <w:t>2</w:t>
            </w:r>
            <w:r w:rsidR="00AF4584">
              <w:rPr>
                <w:sz w:val="20"/>
                <w:szCs w:val="20"/>
                <w:lang w:val="en-CA" w:eastAsia="en-CA"/>
              </w:rPr>
              <w:t xml:space="preserve"> </w:t>
            </w:r>
            <w:r w:rsidRPr="005A3A16">
              <w:rPr>
                <w:sz w:val="20"/>
                <w:szCs w:val="20"/>
                <w:lang w:val="en-CA" w:eastAsia="en-CA"/>
              </w:rPr>
              <w:t>158</w:t>
            </w:r>
          </w:p>
        </w:tc>
        <w:tc>
          <w:tcPr>
            <w:tcW w:w="1219" w:type="dxa"/>
            <w:tcBorders>
              <w:top w:val="nil"/>
              <w:left w:val="nil"/>
              <w:bottom w:val="single" w:sz="4" w:space="0" w:color="auto"/>
              <w:right w:val="single" w:sz="4" w:space="0" w:color="auto"/>
            </w:tcBorders>
            <w:shd w:val="clear" w:color="auto" w:fill="auto"/>
            <w:noWrap/>
            <w:hideMark/>
          </w:tcPr>
          <w:p w14:paraId="26E4549B" w14:textId="6150588A" w:rsidR="00F47993" w:rsidRPr="005A3A16" w:rsidRDefault="00F47993" w:rsidP="00F47993">
            <w:pPr>
              <w:jc w:val="right"/>
              <w:rPr>
                <w:sz w:val="20"/>
                <w:szCs w:val="20"/>
                <w:lang w:val="en-CA" w:eastAsia="en-CA"/>
              </w:rPr>
            </w:pPr>
            <w:r w:rsidRPr="005A3A16">
              <w:rPr>
                <w:sz w:val="20"/>
                <w:szCs w:val="20"/>
                <w:lang w:val="en-CA" w:eastAsia="en-CA"/>
              </w:rPr>
              <w:t>6</w:t>
            </w:r>
            <w:r w:rsidR="00AF4584">
              <w:rPr>
                <w:sz w:val="20"/>
                <w:szCs w:val="20"/>
                <w:lang w:val="en-CA" w:eastAsia="en-CA"/>
              </w:rPr>
              <w:t xml:space="preserve"> </w:t>
            </w:r>
            <w:r w:rsidRPr="005A3A16">
              <w:rPr>
                <w:sz w:val="20"/>
                <w:szCs w:val="20"/>
                <w:lang w:val="en-CA" w:eastAsia="en-CA"/>
              </w:rPr>
              <w:t>429</w:t>
            </w:r>
          </w:p>
        </w:tc>
        <w:tc>
          <w:tcPr>
            <w:tcW w:w="1224" w:type="dxa"/>
            <w:tcBorders>
              <w:top w:val="nil"/>
              <w:left w:val="nil"/>
              <w:bottom w:val="single" w:sz="4" w:space="0" w:color="auto"/>
              <w:right w:val="single" w:sz="4" w:space="0" w:color="auto"/>
            </w:tcBorders>
            <w:shd w:val="clear" w:color="auto" w:fill="auto"/>
            <w:noWrap/>
            <w:hideMark/>
          </w:tcPr>
          <w:p w14:paraId="208E7D67" w14:textId="77777777" w:rsidR="00F47993" w:rsidRPr="005A3A16" w:rsidRDefault="00F47993" w:rsidP="00F47993">
            <w:pPr>
              <w:jc w:val="right"/>
              <w:rPr>
                <w:sz w:val="20"/>
                <w:szCs w:val="20"/>
                <w:lang w:val="en-CA" w:eastAsia="en-CA"/>
              </w:rPr>
            </w:pPr>
            <w:r w:rsidRPr="005A3A16">
              <w:rPr>
                <w:sz w:val="20"/>
                <w:szCs w:val="20"/>
                <w:lang w:val="en-CA" w:eastAsia="en-CA"/>
              </w:rPr>
              <w:t>0</w:t>
            </w:r>
          </w:p>
        </w:tc>
      </w:tr>
      <w:tr w:rsidR="005A3A16" w:rsidRPr="005A3A16" w14:paraId="32A118CC" w14:textId="77777777" w:rsidTr="003C5BA5">
        <w:trPr>
          <w:trHeight w:val="71"/>
        </w:trPr>
        <w:tc>
          <w:tcPr>
            <w:tcW w:w="3353" w:type="dxa"/>
            <w:tcBorders>
              <w:top w:val="nil"/>
              <w:left w:val="single" w:sz="4" w:space="0" w:color="auto"/>
              <w:bottom w:val="single" w:sz="4" w:space="0" w:color="auto"/>
              <w:right w:val="single" w:sz="4" w:space="0" w:color="auto"/>
            </w:tcBorders>
            <w:shd w:val="clear" w:color="auto" w:fill="auto"/>
            <w:noWrap/>
            <w:hideMark/>
          </w:tcPr>
          <w:p w14:paraId="264665BF" w14:textId="13A0C122" w:rsidR="00F47993" w:rsidRPr="005A3A16" w:rsidRDefault="003C5BA5" w:rsidP="003C5BA5">
            <w:pPr>
              <w:jc w:val="left"/>
              <w:rPr>
                <w:b/>
                <w:bCs/>
                <w:sz w:val="20"/>
                <w:szCs w:val="20"/>
                <w:lang w:val="en-CA" w:eastAsia="en-CA"/>
              </w:rPr>
            </w:pPr>
            <w:r>
              <w:rPr>
                <w:b/>
                <w:bCs/>
                <w:sz w:val="20"/>
                <w:szCs w:val="20"/>
                <w:lang w:val="en-CA" w:eastAsia="en-CA"/>
              </w:rPr>
              <w:t>Subtotal para actividades corrientes</w:t>
            </w:r>
          </w:p>
        </w:tc>
        <w:tc>
          <w:tcPr>
            <w:tcW w:w="1106" w:type="dxa"/>
            <w:tcBorders>
              <w:top w:val="nil"/>
              <w:left w:val="nil"/>
              <w:bottom w:val="single" w:sz="4" w:space="0" w:color="auto"/>
              <w:right w:val="single" w:sz="4" w:space="0" w:color="auto"/>
            </w:tcBorders>
            <w:shd w:val="clear" w:color="auto" w:fill="auto"/>
            <w:noWrap/>
            <w:hideMark/>
          </w:tcPr>
          <w:p w14:paraId="75BA0BF4" w14:textId="5185A47B" w:rsidR="00F47993" w:rsidRPr="005A3A16" w:rsidRDefault="00F47993" w:rsidP="00F47993">
            <w:pPr>
              <w:jc w:val="right"/>
              <w:rPr>
                <w:b/>
                <w:bCs/>
                <w:sz w:val="20"/>
                <w:szCs w:val="20"/>
                <w:lang w:val="en-CA" w:eastAsia="en-CA"/>
              </w:rPr>
            </w:pPr>
            <w:r w:rsidRPr="005A3A16">
              <w:rPr>
                <w:b/>
                <w:bCs/>
                <w:sz w:val="20"/>
                <w:szCs w:val="20"/>
                <w:lang w:val="en-CA" w:eastAsia="en-CA"/>
              </w:rPr>
              <w:t>6</w:t>
            </w:r>
            <w:r w:rsidR="00AF4584">
              <w:rPr>
                <w:b/>
                <w:bCs/>
                <w:sz w:val="20"/>
                <w:szCs w:val="20"/>
                <w:lang w:val="en-CA" w:eastAsia="en-CA"/>
              </w:rPr>
              <w:t xml:space="preserve"> </w:t>
            </w:r>
            <w:r w:rsidRPr="005A3A16">
              <w:rPr>
                <w:b/>
                <w:bCs/>
                <w:sz w:val="20"/>
                <w:szCs w:val="20"/>
                <w:lang w:val="en-CA" w:eastAsia="en-CA"/>
              </w:rPr>
              <w:t>763</w:t>
            </w:r>
          </w:p>
        </w:tc>
        <w:tc>
          <w:tcPr>
            <w:tcW w:w="1219" w:type="dxa"/>
            <w:tcBorders>
              <w:top w:val="nil"/>
              <w:left w:val="nil"/>
              <w:bottom w:val="single" w:sz="4" w:space="0" w:color="auto"/>
              <w:right w:val="single" w:sz="4" w:space="0" w:color="auto"/>
            </w:tcBorders>
            <w:shd w:val="clear" w:color="auto" w:fill="auto"/>
            <w:noWrap/>
            <w:hideMark/>
          </w:tcPr>
          <w:p w14:paraId="7D6978FD" w14:textId="24C7D47B" w:rsidR="00F47993" w:rsidRPr="005A3A16" w:rsidRDefault="00F47993" w:rsidP="00F47993">
            <w:pPr>
              <w:jc w:val="right"/>
              <w:rPr>
                <w:b/>
                <w:bCs/>
                <w:sz w:val="20"/>
                <w:szCs w:val="20"/>
                <w:lang w:val="en-CA" w:eastAsia="en-CA"/>
              </w:rPr>
            </w:pPr>
            <w:r w:rsidRPr="005A3A16">
              <w:rPr>
                <w:b/>
                <w:bCs/>
                <w:sz w:val="20"/>
                <w:szCs w:val="20"/>
                <w:lang w:val="en-CA" w:eastAsia="en-CA"/>
              </w:rPr>
              <w:t>3</w:t>
            </w:r>
            <w:r w:rsidR="00AF4584">
              <w:rPr>
                <w:b/>
                <w:bCs/>
                <w:sz w:val="20"/>
                <w:szCs w:val="20"/>
                <w:lang w:val="en-CA" w:eastAsia="en-CA"/>
              </w:rPr>
              <w:t xml:space="preserve"> </w:t>
            </w:r>
            <w:r w:rsidRPr="005A3A16">
              <w:rPr>
                <w:b/>
                <w:bCs/>
                <w:sz w:val="20"/>
                <w:szCs w:val="20"/>
                <w:lang w:val="en-CA" w:eastAsia="en-CA"/>
              </w:rPr>
              <w:t>895</w:t>
            </w:r>
          </w:p>
        </w:tc>
        <w:tc>
          <w:tcPr>
            <w:tcW w:w="1219" w:type="dxa"/>
            <w:tcBorders>
              <w:top w:val="nil"/>
              <w:left w:val="nil"/>
              <w:bottom w:val="single" w:sz="4" w:space="0" w:color="auto"/>
              <w:right w:val="single" w:sz="4" w:space="0" w:color="auto"/>
            </w:tcBorders>
            <w:shd w:val="clear" w:color="auto" w:fill="auto"/>
            <w:noWrap/>
            <w:hideMark/>
          </w:tcPr>
          <w:p w14:paraId="52536ABC" w14:textId="29D7990F" w:rsidR="00F47993" w:rsidRPr="005A3A16" w:rsidRDefault="00F47993" w:rsidP="00F47993">
            <w:pPr>
              <w:jc w:val="right"/>
              <w:rPr>
                <w:b/>
                <w:bCs/>
                <w:sz w:val="20"/>
                <w:szCs w:val="20"/>
                <w:lang w:val="en-CA" w:eastAsia="en-CA"/>
              </w:rPr>
            </w:pPr>
            <w:r w:rsidRPr="005A3A16">
              <w:rPr>
                <w:b/>
                <w:bCs/>
                <w:sz w:val="20"/>
                <w:szCs w:val="20"/>
                <w:lang w:val="en-CA" w:eastAsia="en-CA"/>
              </w:rPr>
              <w:t>6</w:t>
            </w:r>
            <w:r w:rsidR="00AF4584">
              <w:rPr>
                <w:b/>
                <w:bCs/>
                <w:sz w:val="20"/>
                <w:szCs w:val="20"/>
                <w:lang w:val="en-CA" w:eastAsia="en-CA"/>
              </w:rPr>
              <w:t xml:space="preserve"> </w:t>
            </w:r>
            <w:r w:rsidRPr="005A3A16">
              <w:rPr>
                <w:b/>
                <w:bCs/>
                <w:sz w:val="20"/>
                <w:szCs w:val="20"/>
                <w:lang w:val="en-CA" w:eastAsia="en-CA"/>
              </w:rPr>
              <w:t>792</w:t>
            </w:r>
          </w:p>
        </w:tc>
        <w:tc>
          <w:tcPr>
            <w:tcW w:w="1219" w:type="dxa"/>
            <w:tcBorders>
              <w:top w:val="nil"/>
              <w:left w:val="nil"/>
              <w:bottom w:val="single" w:sz="4" w:space="0" w:color="auto"/>
              <w:right w:val="single" w:sz="4" w:space="0" w:color="auto"/>
            </w:tcBorders>
            <w:shd w:val="clear" w:color="auto" w:fill="auto"/>
            <w:noWrap/>
            <w:hideMark/>
          </w:tcPr>
          <w:p w14:paraId="65328CA1" w14:textId="573BE472" w:rsidR="00F47993" w:rsidRPr="005A3A16" w:rsidRDefault="00F47993" w:rsidP="00F47993">
            <w:pPr>
              <w:jc w:val="right"/>
              <w:rPr>
                <w:b/>
                <w:bCs/>
                <w:sz w:val="20"/>
                <w:szCs w:val="20"/>
                <w:lang w:val="en-CA" w:eastAsia="en-CA"/>
              </w:rPr>
            </w:pPr>
            <w:r w:rsidRPr="005A3A16">
              <w:rPr>
                <w:b/>
                <w:bCs/>
                <w:sz w:val="20"/>
                <w:szCs w:val="20"/>
                <w:lang w:val="en-CA" w:eastAsia="en-CA"/>
              </w:rPr>
              <w:t>17</w:t>
            </w:r>
            <w:r w:rsidR="00AF4584">
              <w:rPr>
                <w:b/>
                <w:bCs/>
                <w:sz w:val="20"/>
                <w:szCs w:val="20"/>
                <w:lang w:val="en-CA" w:eastAsia="en-CA"/>
              </w:rPr>
              <w:t xml:space="preserve"> </w:t>
            </w:r>
            <w:r w:rsidRPr="005A3A16">
              <w:rPr>
                <w:b/>
                <w:bCs/>
                <w:sz w:val="20"/>
                <w:szCs w:val="20"/>
                <w:lang w:val="en-CA" w:eastAsia="en-CA"/>
              </w:rPr>
              <w:t>450</w:t>
            </w:r>
          </w:p>
        </w:tc>
        <w:tc>
          <w:tcPr>
            <w:tcW w:w="1224" w:type="dxa"/>
            <w:tcBorders>
              <w:top w:val="nil"/>
              <w:left w:val="nil"/>
              <w:bottom w:val="single" w:sz="4" w:space="0" w:color="auto"/>
              <w:right w:val="single" w:sz="4" w:space="0" w:color="auto"/>
            </w:tcBorders>
            <w:shd w:val="clear" w:color="auto" w:fill="auto"/>
            <w:noWrap/>
            <w:hideMark/>
          </w:tcPr>
          <w:p w14:paraId="5F49F0A0" w14:textId="77777777" w:rsidR="00F47993" w:rsidRPr="005A3A16" w:rsidRDefault="00F47993" w:rsidP="00F47993">
            <w:pPr>
              <w:jc w:val="right"/>
              <w:rPr>
                <w:b/>
                <w:bCs/>
                <w:sz w:val="20"/>
                <w:szCs w:val="20"/>
                <w:lang w:val="en-CA" w:eastAsia="en-CA"/>
              </w:rPr>
            </w:pPr>
            <w:r w:rsidRPr="005A3A16">
              <w:rPr>
                <w:b/>
                <w:bCs/>
                <w:sz w:val="20"/>
                <w:szCs w:val="20"/>
                <w:lang w:val="en-CA" w:eastAsia="en-CA"/>
              </w:rPr>
              <w:t>0</w:t>
            </w:r>
          </w:p>
        </w:tc>
      </w:tr>
      <w:tr w:rsidR="005A3A16" w:rsidRPr="005A3A16" w14:paraId="457D22B3" w14:textId="77777777" w:rsidTr="003C5BA5">
        <w:trPr>
          <w:trHeight w:val="117"/>
        </w:trPr>
        <w:tc>
          <w:tcPr>
            <w:tcW w:w="3353" w:type="dxa"/>
            <w:tcBorders>
              <w:top w:val="nil"/>
              <w:left w:val="single" w:sz="4" w:space="0" w:color="auto"/>
              <w:bottom w:val="single" w:sz="4" w:space="0" w:color="auto"/>
              <w:right w:val="single" w:sz="4" w:space="0" w:color="auto"/>
            </w:tcBorders>
            <w:shd w:val="clear" w:color="auto" w:fill="auto"/>
            <w:noWrap/>
            <w:hideMark/>
          </w:tcPr>
          <w:p w14:paraId="69410873" w14:textId="77777777" w:rsidR="00F47993" w:rsidRPr="005A3A16" w:rsidRDefault="00F47993" w:rsidP="00F47993">
            <w:pPr>
              <w:jc w:val="left"/>
              <w:rPr>
                <w:b/>
                <w:bCs/>
                <w:sz w:val="20"/>
                <w:szCs w:val="20"/>
                <w:lang w:val="en-CA" w:eastAsia="en-CA"/>
              </w:rPr>
            </w:pPr>
            <w:r w:rsidRPr="005A3A16">
              <w:rPr>
                <w:b/>
                <w:bCs/>
                <w:sz w:val="20"/>
                <w:szCs w:val="20"/>
                <w:lang w:val="en-CA" w:eastAsia="en-CA"/>
              </w:rPr>
              <w:t>Total</w:t>
            </w:r>
          </w:p>
        </w:tc>
        <w:tc>
          <w:tcPr>
            <w:tcW w:w="1106" w:type="dxa"/>
            <w:tcBorders>
              <w:top w:val="nil"/>
              <w:left w:val="nil"/>
              <w:bottom w:val="single" w:sz="4" w:space="0" w:color="auto"/>
              <w:right w:val="single" w:sz="4" w:space="0" w:color="auto"/>
            </w:tcBorders>
            <w:shd w:val="clear" w:color="auto" w:fill="auto"/>
            <w:noWrap/>
            <w:hideMark/>
          </w:tcPr>
          <w:p w14:paraId="7EEE0269" w14:textId="3A73A7A3" w:rsidR="00F47993" w:rsidRPr="005A3A16" w:rsidRDefault="00F47993" w:rsidP="00F47993">
            <w:pPr>
              <w:jc w:val="right"/>
              <w:rPr>
                <w:b/>
                <w:bCs/>
                <w:sz w:val="20"/>
                <w:szCs w:val="20"/>
                <w:lang w:val="en-CA" w:eastAsia="en-CA"/>
              </w:rPr>
            </w:pPr>
            <w:r w:rsidRPr="005A3A16">
              <w:rPr>
                <w:b/>
                <w:bCs/>
                <w:sz w:val="20"/>
                <w:szCs w:val="20"/>
                <w:lang w:val="en-CA" w:eastAsia="en-CA"/>
              </w:rPr>
              <w:t>33</w:t>
            </w:r>
            <w:r w:rsidR="00AF4584">
              <w:rPr>
                <w:b/>
                <w:bCs/>
                <w:sz w:val="20"/>
                <w:szCs w:val="20"/>
                <w:lang w:val="en-CA" w:eastAsia="en-CA"/>
              </w:rPr>
              <w:t xml:space="preserve"> </w:t>
            </w:r>
            <w:r w:rsidRPr="005A3A16">
              <w:rPr>
                <w:b/>
                <w:bCs/>
                <w:sz w:val="20"/>
                <w:szCs w:val="20"/>
                <w:lang w:val="en-CA" w:eastAsia="en-CA"/>
              </w:rPr>
              <w:t>575</w:t>
            </w:r>
          </w:p>
        </w:tc>
        <w:tc>
          <w:tcPr>
            <w:tcW w:w="1219" w:type="dxa"/>
            <w:tcBorders>
              <w:top w:val="nil"/>
              <w:left w:val="nil"/>
              <w:bottom w:val="single" w:sz="4" w:space="0" w:color="auto"/>
              <w:right w:val="single" w:sz="4" w:space="0" w:color="auto"/>
            </w:tcBorders>
            <w:shd w:val="clear" w:color="auto" w:fill="auto"/>
            <w:noWrap/>
            <w:hideMark/>
          </w:tcPr>
          <w:p w14:paraId="0BDF5FCC" w14:textId="5D8813ED" w:rsidR="00F47993" w:rsidRPr="005A3A16" w:rsidRDefault="00F47993" w:rsidP="00F47993">
            <w:pPr>
              <w:jc w:val="right"/>
              <w:rPr>
                <w:b/>
                <w:bCs/>
                <w:sz w:val="20"/>
                <w:szCs w:val="20"/>
                <w:lang w:val="en-CA" w:eastAsia="en-CA"/>
              </w:rPr>
            </w:pPr>
            <w:r w:rsidRPr="005A3A16">
              <w:rPr>
                <w:b/>
                <w:bCs/>
                <w:sz w:val="20"/>
                <w:szCs w:val="20"/>
                <w:lang w:val="en-CA" w:eastAsia="en-CA"/>
              </w:rPr>
              <w:t>44</w:t>
            </w:r>
            <w:r w:rsidR="00AF4584">
              <w:rPr>
                <w:b/>
                <w:bCs/>
                <w:sz w:val="20"/>
                <w:szCs w:val="20"/>
                <w:lang w:val="en-CA" w:eastAsia="en-CA"/>
              </w:rPr>
              <w:t xml:space="preserve"> </w:t>
            </w:r>
            <w:r w:rsidRPr="005A3A16">
              <w:rPr>
                <w:b/>
                <w:bCs/>
                <w:sz w:val="20"/>
                <w:szCs w:val="20"/>
                <w:lang w:val="en-CA" w:eastAsia="en-CA"/>
              </w:rPr>
              <w:t>310</w:t>
            </w:r>
          </w:p>
        </w:tc>
        <w:tc>
          <w:tcPr>
            <w:tcW w:w="1219" w:type="dxa"/>
            <w:tcBorders>
              <w:top w:val="nil"/>
              <w:left w:val="nil"/>
              <w:bottom w:val="single" w:sz="4" w:space="0" w:color="auto"/>
              <w:right w:val="single" w:sz="4" w:space="0" w:color="auto"/>
            </w:tcBorders>
            <w:shd w:val="clear" w:color="auto" w:fill="auto"/>
            <w:noWrap/>
            <w:hideMark/>
          </w:tcPr>
          <w:p w14:paraId="136ACD15" w14:textId="3BB97C03" w:rsidR="00F47993" w:rsidRPr="005A3A16" w:rsidRDefault="00F47993" w:rsidP="00F47993">
            <w:pPr>
              <w:jc w:val="right"/>
              <w:rPr>
                <w:b/>
                <w:bCs/>
                <w:sz w:val="20"/>
                <w:szCs w:val="20"/>
                <w:lang w:val="en-CA" w:eastAsia="en-CA"/>
              </w:rPr>
            </w:pPr>
            <w:r w:rsidRPr="005A3A16">
              <w:rPr>
                <w:b/>
                <w:bCs/>
                <w:sz w:val="20"/>
                <w:szCs w:val="20"/>
                <w:lang w:val="en-CA" w:eastAsia="en-CA"/>
              </w:rPr>
              <w:t>60</w:t>
            </w:r>
            <w:r w:rsidR="00AF4584">
              <w:rPr>
                <w:b/>
                <w:bCs/>
                <w:sz w:val="20"/>
                <w:szCs w:val="20"/>
                <w:lang w:val="en-CA" w:eastAsia="en-CA"/>
              </w:rPr>
              <w:t xml:space="preserve"> </w:t>
            </w:r>
            <w:r w:rsidRPr="005A3A16">
              <w:rPr>
                <w:b/>
                <w:bCs/>
                <w:sz w:val="20"/>
                <w:szCs w:val="20"/>
                <w:lang w:val="en-CA" w:eastAsia="en-CA"/>
              </w:rPr>
              <w:t>681</w:t>
            </w:r>
          </w:p>
        </w:tc>
        <w:tc>
          <w:tcPr>
            <w:tcW w:w="1219" w:type="dxa"/>
            <w:tcBorders>
              <w:top w:val="nil"/>
              <w:left w:val="nil"/>
              <w:bottom w:val="single" w:sz="4" w:space="0" w:color="auto"/>
              <w:right w:val="single" w:sz="4" w:space="0" w:color="auto"/>
            </w:tcBorders>
            <w:shd w:val="clear" w:color="auto" w:fill="auto"/>
            <w:noWrap/>
            <w:hideMark/>
          </w:tcPr>
          <w:p w14:paraId="034A6C69" w14:textId="3EB853F3" w:rsidR="00F47993" w:rsidRPr="005A3A16" w:rsidRDefault="00F47993" w:rsidP="00F47993">
            <w:pPr>
              <w:jc w:val="right"/>
              <w:rPr>
                <w:b/>
                <w:bCs/>
                <w:sz w:val="20"/>
                <w:szCs w:val="20"/>
                <w:lang w:val="en-CA" w:eastAsia="en-CA"/>
              </w:rPr>
            </w:pPr>
            <w:r w:rsidRPr="005A3A16">
              <w:rPr>
                <w:b/>
                <w:bCs/>
                <w:sz w:val="20"/>
                <w:szCs w:val="20"/>
                <w:lang w:val="en-CA" w:eastAsia="en-CA"/>
              </w:rPr>
              <w:t>138</w:t>
            </w:r>
            <w:r w:rsidR="00AF4584">
              <w:rPr>
                <w:b/>
                <w:bCs/>
                <w:sz w:val="20"/>
                <w:szCs w:val="20"/>
                <w:lang w:val="en-CA" w:eastAsia="en-CA"/>
              </w:rPr>
              <w:t xml:space="preserve"> </w:t>
            </w:r>
            <w:r w:rsidRPr="005A3A16">
              <w:rPr>
                <w:b/>
                <w:bCs/>
                <w:sz w:val="20"/>
                <w:szCs w:val="20"/>
                <w:lang w:val="en-CA" w:eastAsia="en-CA"/>
              </w:rPr>
              <w:t>566</w:t>
            </w:r>
          </w:p>
        </w:tc>
        <w:tc>
          <w:tcPr>
            <w:tcW w:w="1224" w:type="dxa"/>
            <w:tcBorders>
              <w:top w:val="nil"/>
              <w:left w:val="nil"/>
              <w:bottom w:val="single" w:sz="4" w:space="0" w:color="auto"/>
              <w:right w:val="single" w:sz="4" w:space="0" w:color="auto"/>
            </w:tcBorders>
            <w:shd w:val="clear" w:color="auto" w:fill="auto"/>
            <w:noWrap/>
            <w:hideMark/>
          </w:tcPr>
          <w:p w14:paraId="592D9A16" w14:textId="09B0D65F" w:rsidR="00F47993" w:rsidRPr="005A3A16" w:rsidRDefault="00F47993" w:rsidP="00F47993">
            <w:pPr>
              <w:jc w:val="right"/>
              <w:rPr>
                <w:b/>
                <w:bCs/>
                <w:sz w:val="20"/>
                <w:szCs w:val="20"/>
                <w:lang w:val="en-CA" w:eastAsia="en-CA"/>
              </w:rPr>
            </w:pPr>
            <w:r w:rsidRPr="005A3A16">
              <w:rPr>
                <w:b/>
                <w:bCs/>
                <w:sz w:val="20"/>
                <w:szCs w:val="20"/>
                <w:lang w:val="en-CA" w:eastAsia="en-CA"/>
              </w:rPr>
              <w:t>100</w:t>
            </w:r>
            <w:r w:rsidR="00AF4584">
              <w:rPr>
                <w:b/>
                <w:bCs/>
                <w:sz w:val="20"/>
                <w:szCs w:val="20"/>
                <w:lang w:val="en-CA" w:eastAsia="en-CA"/>
              </w:rPr>
              <w:t xml:space="preserve"> </w:t>
            </w:r>
            <w:r w:rsidRPr="005A3A16">
              <w:rPr>
                <w:b/>
                <w:bCs/>
                <w:sz w:val="20"/>
                <w:szCs w:val="20"/>
                <w:lang w:val="en-CA" w:eastAsia="en-CA"/>
              </w:rPr>
              <w:t>186</w:t>
            </w:r>
          </w:p>
        </w:tc>
      </w:tr>
    </w:tbl>
    <w:p w14:paraId="6CA8FC4D" w14:textId="4707FFC6" w:rsidR="00AB4968" w:rsidRPr="009167CF" w:rsidRDefault="009167CF" w:rsidP="00AB4968">
      <w:pPr>
        <w:rPr>
          <w:sz w:val="20"/>
          <w:szCs w:val="20"/>
          <w:lang w:val="es-ES"/>
        </w:rPr>
      </w:pPr>
      <w:r w:rsidRPr="009167CF">
        <w:rPr>
          <w:sz w:val="20"/>
          <w:szCs w:val="20"/>
          <w:lang w:val="es-ES"/>
        </w:rPr>
        <w:t xml:space="preserve">* </w:t>
      </w:r>
      <w:r>
        <w:rPr>
          <w:sz w:val="20"/>
          <w:szCs w:val="20"/>
          <w:lang w:val="es-ES"/>
        </w:rPr>
        <w:t>Con inclusión de los</w:t>
      </w:r>
      <w:r w:rsidRPr="009167CF">
        <w:rPr>
          <w:sz w:val="20"/>
          <w:szCs w:val="20"/>
          <w:lang w:val="es-ES"/>
        </w:rPr>
        <w:t xml:space="preserve"> gastos de apoyo al organismo, si procede</w:t>
      </w:r>
      <w:r w:rsidR="00AB4968" w:rsidRPr="009167CF">
        <w:rPr>
          <w:sz w:val="20"/>
          <w:szCs w:val="20"/>
          <w:lang w:val="es-ES"/>
        </w:rPr>
        <w:t xml:space="preserve">. </w:t>
      </w:r>
    </w:p>
    <w:p w14:paraId="297684AC" w14:textId="5E28BD5D" w:rsidR="00AB4968" w:rsidRPr="005A3A16" w:rsidRDefault="009167CF" w:rsidP="00AB4968">
      <w:pPr>
        <w:keepNext/>
        <w:spacing w:after="240"/>
        <w:rPr>
          <w:b/>
          <w:bCs/>
        </w:rPr>
      </w:pPr>
      <w:proofErr w:type="spellStart"/>
      <w:r>
        <w:rPr>
          <w:b/>
          <w:bCs/>
        </w:rPr>
        <w:lastRenderedPageBreak/>
        <w:t>Indicadores</w:t>
      </w:r>
      <w:proofErr w:type="spellEnd"/>
      <w:r>
        <w:rPr>
          <w:b/>
          <w:bCs/>
        </w:rPr>
        <w:t xml:space="preserve"> de </w:t>
      </w:r>
      <w:proofErr w:type="spellStart"/>
      <w:r>
        <w:rPr>
          <w:b/>
          <w:bCs/>
        </w:rPr>
        <w:t>desempeño</w:t>
      </w:r>
      <w:proofErr w:type="spellEnd"/>
      <w:r w:rsidR="00AB4968" w:rsidRPr="005A3A16">
        <w:rPr>
          <w:b/>
          <w:bCs/>
        </w:rPr>
        <w:t xml:space="preserve"> </w:t>
      </w:r>
    </w:p>
    <w:p w14:paraId="42CC8138" w14:textId="7B784A23" w:rsidR="00AB4968" w:rsidRDefault="0074140D" w:rsidP="00AB4968">
      <w:pPr>
        <w:pStyle w:val="Heading1"/>
        <w:rPr>
          <w:lang w:val="es-ES"/>
        </w:rPr>
      </w:pPr>
      <w:r w:rsidRPr="0074140D">
        <w:rPr>
          <w:lang w:val="es-ES"/>
        </w:rPr>
        <w:t>El PNUD presentó indicadores de desempeño de conformidad con la decisión</w:t>
      </w:r>
      <w:r w:rsidR="00AB4968" w:rsidRPr="0074140D">
        <w:rPr>
          <w:lang w:val="es-ES"/>
        </w:rPr>
        <w:t xml:space="preserve"> 71/28 </w:t>
      </w:r>
      <w:r w:rsidRPr="0074140D">
        <w:rPr>
          <w:lang w:val="es-ES"/>
        </w:rPr>
        <w:t xml:space="preserve">en </w:t>
      </w:r>
      <w:r w:rsidR="00AE567F">
        <w:rPr>
          <w:lang w:val="es-ES"/>
        </w:rPr>
        <w:t>la</w:t>
      </w:r>
      <w:r w:rsidRPr="0074140D">
        <w:rPr>
          <w:lang w:val="es-ES"/>
        </w:rPr>
        <w:t xml:space="preserve"> </w:t>
      </w:r>
      <w:r w:rsidR="00AE567F">
        <w:rPr>
          <w:lang w:val="es-ES"/>
        </w:rPr>
        <w:t>descripción de su plan administrativo</w:t>
      </w:r>
      <w:r w:rsidR="00AB4968" w:rsidRPr="0074140D">
        <w:rPr>
          <w:lang w:val="es-ES"/>
        </w:rPr>
        <w:t xml:space="preserve">. </w:t>
      </w:r>
      <w:r w:rsidRPr="0074140D">
        <w:rPr>
          <w:lang w:val="es-ES"/>
        </w:rPr>
        <w:t xml:space="preserve">La Secretaría informó al PNUD acerca de las metas que se </w:t>
      </w:r>
      <w:r>
        <w:rPr>
          <w:lang w:val="es-ES"/>
        </w:rPr>
        <w:t>indican</w:t>
      </w:r>
      <w:r w:rsidRPr="0074140D">
        <w:rPr>
          <w:lang w:val="es-ES"/>
        </w:rPr>
        <w:t xml:space="preserve"> en el cuad</w:t>
      </w:r>
      <w:r>
        <w:rPr>
          <w:lang w:val="es-ES"/>
        </w:rPr>
        <w:t>r</w:t>
      </w:r>
      <w:r w:rsidRPr="0074140D">
        <w:rPr>
          <w:lang w:val="es-ES"/>
        </w:rPr>
        <w:t>o</w:t>
      </w:r>
      <w:r w:rsidR="00AB4968" w:rsidRPr="0074140D">
        <w:rPr>
          <w:lang w:val="es-ES"/>
        </w:rPr>
        <w:t> 5.</w:t>
      </w:r>
    </w:p>
    <w:p w14:paraId="1928D4B6" w14:textId="77777777" w:rsidR="00AF4584" w:rsidRPr="00AF4584" w:rsidRDefault="00AF4584" w:rsidP="00AF4584">
      <w:pPr>
        <w:rPr>
          <w:lang w:val="es-ES"/>
        </w:rPr>
      </w:pPr>
    </w:p>
    <w:p w14:paraId="3A8606CE" w14:textId="5B76AA02" w:rsidR="00AB4968" w:rsidRPr="009167CF" w:rsidRDefault="009167CF" w:rsidP="00AB4968">
      <w:pPr>
        <w:pStyle w:val="subhead"/>
        <w:keepNext/>
        <w:jc w:val="left"/>
        <w:rPr>
          <w:b/>
          <w:sz w:val="22"/>
          <w:szCs w:val="22"/>
          <w:lang w:val="es-ES"/>
        </w:rPr>
      </w:pPr>
      <w:r w:rsidRPr="009167CF">
        <w:rPr>
          <w:b/>
          <w:sz w:val="22"/>
          <w:szCs w:val="22"/>
          <w:lang w:val="es-ES"/>
        </w:rPr>
        <w:t>Cuadro</w:t>
      </w:r>
      <w:r w:rsidR="00AB4968" w:rsidRPr="009167CF">
        <w:rPr>
          <w:b/>
          <w:sz w:val="22"/>
          <w:szCs w:val="22"/>
          <w:lang w:val="es-ES"/>
        </w:rPr>
        <w:t xml:space="preserve"> 5. </w:t>
      </w:r>
      <w:r w:rsidRPr="009167CF">
        <w:rPr>
          <w:b/>
          <w:sz w:val="22"/>
          <w:szCs w:val="22"/>
          <w:lang w:val="es-ES"/>
        </w:rPr>
        <w:t xml:space="preserve">Indicadores de desempeño </w:t>
      </w:r>
      <w:r>
        <w:rPr>
          <w:b/>
          <w:sz w:val="22"/>
          <w:szCs w:val="22"/>
          <w:lang w:val="es-ES"/>
        </w:rPr>
        <w:t>d</w:t>
      </w:r>
      <w:r w:rsidRPr="009167CF">
        <w:rPr>
          <w:b/>
          <w:sz w:val="22"/>
          <w:szCs w:val="22"/>
          <w:lang w:val="es-ES"/>
        </w:rPr>
        <w:t xml:space="preserve">el </w:t>
      </w:r>
      <w:r>
        <w:rPr>
          <w:b/>
          <w:sz w:val="22"/>
          <w:szCs w:val="22"/>
          <w:lang w:val="es-ES"/>
        </w:rPr>
        <w:t>PNUD</w:t>
      </w:r>
      <w:r>
        <w:rPr>
          <w:b/>
          <w:bCs/>
          <w:sz w:val="22"/>
          <w:szCs w:val="22"/>
          <w:lang w:val="es-ES"/>
        </w:rPr>
        <w:t xml:space="preserve"> para</w:t>
      </w:r>
      <w:r w:rsidR="00AB4968" w:rsidRPr="009167CF">
        <w:rPr>
          <w:b/>
          <w:bCs/>
          <w:sz w:val="22"/>
          <w:szCs w:val="22"/>
          <w:lang w:val="es-ES"/>
        </w:rPr>
        <w:t xml:space="preserve"> 2021</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102"/>
        <w:gridCol w:w="3865"/>
        <w:gridCol w:w="1719"/>
      </w:tblGrid>
      <w:tr w:rsidR="005A3A16" w:rsidRPr="005A3A16" w14:paraId="03C48CF8" w14:textId="77777777" w:rsidTr="00E335BB">
        <w:trPr>
          <w:tblHeader/>
          <w:jc w:val="center"/>
        </w:trPr>
        <w:tc>
          <w:tcPr>
            <w:tcW w:w="1683" w:type="dxa"/>
            <w:shd w:val="clear" w:color="auto" w:fill="auto"/>
            <w:hideMark/>
          </w:tcPr>
          <w:p w14:paraId="42BFCEEC" w14:textId="17B7EB9A" w:rsidR="00AB4968" w:rsidRPr="005A3A16" w:rsidRDefault="00AB4968" w:rsidP="009167CF">
            <w:pPr>
              <w:keepNext/>
              <w:jc w:val="left"/>
              <w:rPr>
                <w:b/>
                <w:bCs/>
                <w:sz w:val="20"/>
                <w:szCs w:val="20"/>
                <w:lang w:val="en-CA" w:eastAsia="en-CA"/>
              </w:rPr>
            </w:pPr>
            <w:proofErr w:type="spellStart"/>
            <w:r w:rsidRPr="005A3A16">
              <w:rPr>
                <w:b/>
                <w:bCs/>
                <w:sz w:val="20"/>
                <w:szCs w:val="20"/>
                <w:lang w:val="en-CA" w:eastAsia="en-CA"/>
              </w:rPr>
              <w:t>T</w:t>
            </w:r>
            <w:r w:rsidR="009167CF">
              <w:rPr>
                <w:b/>
                <w:bCs/>
                <w:sz w:val="20"/>
                <w:szCs w:val="20"/>
                <w:lang w:val="en-CA" w:eastAsia="en-CA"/>
              </w:rPr>
              <w:t>ipo</w:t>
            </w:r>
            <w:proofErr w:type="spellEnd"/>
            <w:r w:rsidR="009167CF">
              <w:rPr>
                <w:b/>
                <w:bCs/>
                <w:sz w:val="20"/>
                <w:szCs w:val="20"/>
                <w:lang w:val="en-CA" w:eastAsia="en-CA"/>
              </w:rPr>
              <w:t xml:space="preserve"> de </w:t>
            </w:r>
            <w:proofErr w:type="spellStart"/>
            <w:r w:rsidR="009167CF">
              <w:rPr>
                <w:b/>
                <w:bCs/>
                <w:sz w:val="20"/>
                <w:szCs w:val="20"/>
                <w:lang w:val="en-CA" w:eastAsia="en-CA"/>
              </w:rPr>
              <w:t>indicador</w:t>
            </w:r>
            <w:proofErr w:type="spellEnd"/>
            <w:r w:rsidRPr="005A3A16">
              <w:rPr>
                <w:b/>
                <w:bCs/>
                <w:sz w:val="20"/>
                <w:szCs w:val="20"/>
                <w:lang w:val="en-CA" w:eastAsia="en-CA"/>
              </w:rPr>
              <w:t xml:space="preserve"> </w:t>
            </w:r>
          </w:p>
        </w:tc>
        <w:tc>
          <w:tcPr>
            <w:tcW w:w="2102" w:type="dxa"/>
            <w:shd w:val="clear" w:color="auto" w:fill="auto"/>
            <w:hideMark/>
          </w:tcPr>
          <w:p w14:paraId="53721584" w14:textId="2B5D4798" w:rsidR="00AB4968" w:rsidRPr="005A3A16" w:rsidRDefault="009167CF" w:rsidP="009167CF">
            <w:pPr>
              <w:keepNext/>
              <w:jc w:val="center"/>
              <w:rPr>
                <w:b/>
                <w:bCs/>
                <w:sz w:val="20"/>
                <w:szCs w:val="20"/>
                <w:lang w:val="en-CA" w:eastAsia="en-CA"/>
              </w:rPr>
            </w:pPr>
            <w:r>
              <w:rPr>
                <w:b/>
                <w:bCs/>
                <w:sz w:val="20"/>
                <w:szCs w:val="20"/>
                <w:lang w:val="en-CA" w:eastAsia="en-CA"/>
              </w:rPr>
              <w:t>Título corto</w:t>
            </w:r>
          </w:p>
        </w:tc>
        <w:tc>
          <w:tcPr>
            <w:tcW w:w="3865" w:type="dxa"/>
            <w:shd w:val="clear" w:color="auto" w:fill="auto"/>
            <w:hideMark/>
          </w:tcPr>
          <w:p w14:paraId="5AB0445D" w14:textId="2D3BC021" w:rsidR="00AB4968" w:rsidRPr="005A3A16" w:rsidRDefault="00AB4968" w:rsidP="00BF0708">
            <w:pPr>
              <w:keepNext/>
              <w:jc w:val="center"/>
              <w:rPr>
                <w:b/>
                <w:bCs/>
                <w:sz w:val="20"/>
                <w:szCs w:val="20"/>
                <w:lang w:val="en-CA" w:eastAsia="en-CA"/>
              </w:rPr>
            </w:pPr>
            <w:r w:rsidRPr="005A3A16">
              <w:rPr>
                <w:b/>
                <w:bCs/>
                <w:sz w:val="20"/>
                <w:szCs w:val="20"/>
                <w:lang w:val="en-CA" w:eastAsia="en-CA"/>
              </w:rPr>
              <w:t>C</w:t>
            </w:r>
            <w:r w:rsidR="00BF0708">
              <w:rPr>
                <w:b/>
                <w:bCs/>
                <w:sz w:val="20"/>
                <w:szCs w:val="20"/>
                <w:lang w:val="en-CA" w:eastAsia="en-CA"/>
              </w:rPr>
              <w:t>á</w:t>
            </w:r>
            <w:r w:rsidRPr="005A3A16">
              <w:rPr>
                <w:b/>
                <w:bCs/>
                <w:sz w:val="20"/>
                <w:szCs w:val="20"/>
                <w:lang w:val="en-CA" w:eastAsia="en-CA"/>
              </w:rPr>
              <w:t>lculo</w:t>
            </w:r>
          </w:p>
        </w:tc>
        <w:tc>
          <w:tcPr>
            <w:tcW w:w="1719" w:type="dxa"/>
          </w:tcPr>
          <w:p w14:paraId="373B94B4" w14:textId="20D17DB6" w:rsidR="00AB4968" w:rsidRPr="005A3A16" w:rsidRDefault="00BF0708" w:rsidP="00BF0708">
            <w:pPr>
              <w:keepNext/>
              <w:jc w:val="center"/>
              <w:rPr>
                <w:b/>
                <w:bCs/>
                <w:sz w:val="20"/>
                <w:szCs w:val="20"/>
                <w:lang w:val="en-CA" w:eastAsia="en-CA"/>
              </w:rPr>
            </w:pPr>
            <w:r>
              <w:rPr>
                <w:b/>
                <w:bCs/>
                <w:sz w:val="20"/>
                <w:szCs w:val="20"/>
                <w:lang w:val="en-CA" w:eastAsia="en-CA"/>
              </w:rPr>
              <w:t xml:space="preserve">Meta para </w:t>
            </w:r>
            <w:r w:rsidR="00AB4968" w:rsidRPr="005A3A16">
              <w:rPr>
                <w:b/>
                <w:bCs/>
                <w:sz w:val="20"/>
                <w:szCs w:val="20"/>
                <w:lang w:val="en-CA" w:eastAsia="en-CA"/>
              </w:rPr>
              <w:t>202</w:t>
            </w:r>
            <w:r w:rsidR="0080583F" w:rsidRPr="005A3A16">
              <w:rPr>
                <w:b/>
                <w:bCs/>
                <w:sz w:val="20"/>
                <w:szCs w:val="20"/>
                <w:lang w:val="en-CA" w:eastAsia="en-CA"/>
              </w:rPr>
              <w:t>1</w:t>
            </w:r>
          </w:p>
        </w:tc>
      </w:tr>
      <w:tr w:rsidR="005A3A16" w:rsidRPr="005A3A16" w14:paraId="3FCB7C72" w14:textId="77777777" w:rsidTr="00E335BB">
        <w:trPr>
          <w:jc w:val="center"/>
        </w:trPr>
        <w:tc>
          <w:tcPr>
            <w:tcW w:w="1683" w:type="dxa"/>
            <w:shd w:val="clear" w:color="auto" w:fill="auto"/>
            <w:hideMark/>
          </w:tcPr>
          <w:p w14:paraId="2660B5D3" w14:textId="26018CA0" w:rsidR="00AB4968" w:rsidRPr="005A3A16" w:rsidRDefault="001D69F7" w:rsidP="001D69F7">
            <w:pPr>
              <w:keepNext/>
              <w:jc w:val="left"/>
              <w:rPr>
                <w:sz w:val="20"/>
                <w:szCs w:val="20"/>
                <w:lang w:val="en-CA" w:eastAsia="en-CA"/>
              </w:rPr>
            </w:pPr>
            <w:r>
              <w:rPr>
                <w:sz w:val="20"/>
                <w:szCs w:val="20"/>
                <w:lang w:val="en-CA" w:eastAsia="en-CA"/>
              </w:rPr>
              <w:t>Planificación</w:t>
            </w:r>
            <w:r w:rsidR="00AB4968" w:rsidRPr="005A3A16">
              <w:rPr>
                <w:sz w:val="20"/>
                <w:szCs w:val="20"/>
                <w:lang w:val="en-CA" w:eastAsia="en-CA"/>
              </w:rPr>
              <w:t>--Apro</w:t>
            </w:r>
            <w:r>
              <w:rPr>
                <w:sz w:val="20"/>
                <w:szCs w:val="20"/>
                <w:lang w:val="en-CA" w:eastAsia="en-CA"/>
              </w:rPr>
              <w:t>bación</w:t>
            </w:r>
            <w:r w:rsidR="00AB4968" w:rsidRPr="005A3A16">
              <w:rPr>
                <w:sz w:val="20"/>
                <w:szCs w:val="20"/>
                <w:lang w:val="en-CA" w:eastAsia="en-CA"/>
              </w:rPr>
              <w:t xml:space="preserve"> </w:t>
            </w:r>
          </w:p>
        </w:tc>
        <w:tc>
          <w:tcPr>
            <w:tcW w:w="2102" w:type="dxa"/>
            <w:shd w:val="clear" w:color="auto" w:fill="auto"/>
            <w:hideMark/>
          </w:tcPr>
          <w:p w14:paraId="672C2E2D" w14:textId="488ECE47" w:rsidR="00AB4968" w:rsidRPr="005A3A16" w:rsidRDefault="00AB4968" w:rsidP="001D69F7">
            <w:pPr>
              <w:keepNext/>
              <w:jc w:val="left"/>
              <w:rPr>
                <w:sz w:val="20"/>
                <w:szCs w:val="20"/>
                <w:lang w:val="en-CA" w:eastAsia="en-CA"/>
              </w:rPr>
            </w:pPr>
            <w:r w:rsidRPr="005A3A16">
              <w:rPr>
                <w:sz w:val="20"/>
                <w:szCs w:val="20"/>
                <w:lang w:val="en-CA" w:eastAsia="en-CA"/>
              </w:rPr>
              <w:t>Tra</w:t>
            </w:r>
            <w:r w:rsidR="001D69F7">
              <w:rPr>
                <w:sz w:val="20"/>
                <w:szCs w:val="20"/>
                <w:lang w:val="en-CA" w:eastAsia="en-CA"/>
              </w:rPr>
              <w:t>mos aprobados</w:t>
            </w:r>
          </w:p>
        </w:tc>
        <w:tc>
          <w:tcPr>
            <w:tcW w:w="3865" w:type="dxa"/>
            <w:shd w:val="clear" w:color="auto" w:fill="auto"/>
            <w:hideMark/>
          </w:tcPr>
          <w:p w14:paraId="24F45BFA" w14:textId="58298C87" w:rsidR="00AB4968" w:rsidRPr="0074140D" w:rsidRDefault="00AB4968" w:rsidP="0074140D">
            <w:pPr>
              <w:keepNext/>
              <w:jc w:val="left"/>
              <w:rPr>
                <w:sz w:val="20"/>
                <w:szCs w:val="20"/>
                <w:lang w:val="es-ES" w:eastAsia="en-CA"/>
              </w:rPr>
            </w:pPr>
            <w:r w:rsidRPr="0074140D">
              <w:rPr>
                <w:sz w:val="20"/>
                <w:szCs w:val="20"/>
                <w:lang w:val="es-ES" w:eastAsia="en-CA"/>
              </w:rPr>
              <w:t>N</w:t>
            </w:r>
            <w:r w:rsidR="0074140D" w:rsidRPr="0074140D">
              <w:rPr>
                <w:sz w:val="20"/>
                <w:szCs w:val="20"/>
                <w:lang w:val="es-ES" w:eastAsia="en-CA"/>
              </w:rPr>
              <w:t>úmero de tramos aprobados respect</w:t>
            </w:r>
            <w:r w:rsidR="0074140D">
              <w:rPr>
                <w:sz w:val="20"/>
                <w:szCs w:val="20"/>
                <w:lang w:val="es-ES" w:eastAsia="en-CA"/>
              </w:rPr>
              <w:t>o</w:t>
            </w:r>
            <w:r w:rsidR="0074140D" w:rsidRPr="0074140D">
              <w:rPr>
                <w:sz w:val="20"/>
                <w:szCs w:val="20"/>
                <w:lang w:val="es-ES" w:eastAsia="en-CA"/>
              </w:rPr>
              <w:t xml:space="preserve"> de los pl</w:t>
            </w:r>
            <w:r w:rsidR="0074140D">
              <w:rPr>
                <w:sz w:val="20"/>
                <w:szCs w:val="20"/>
                <w:lang w:val="es-ES" w:eastAsia="en-CA"/>
              </w:rPr>
              <w:t>a</w:t>
            </w:r>
            <w:r w:rsidR="0074140D" w:rsidRPr="0074140D">
              <w:rPr>
                <w:sz w:val="20"/>
                <w:szCs w:val="20"/>
                <w:lang w:val="es-ES" w:eastAsia="en-CA"/>
              </w:rPr>
              <w:t xml:space="preserve">nificados </w:t>
            </w:r>
            <w:r w:rsidRPr="0074140D">
              <w:rPr>
                <w:sz w:val="20"/>
                <w:szCs w:val="20"/>
                <w:lang w:val="es-ES" w:eastAsia="en-CA"/>
              </w:rPr>
              <w:t>*</w:t>
            </w:r>
          </w:p>
        </w:tc>
        <w:tc>
          <w:tcPr>
            <w:tcW w:w="1719" w:type="dxa"/>
          </w:tcPr>
          <w:p w14:paraId="4D794150" w14:textId="77777777" w:rsidR="00AB4968" w:rsidRPr="005A3A16" w:rsidRDefault="00F67239" w:rsidP="00234CC3">
            <w:pPr>
              <w:keepNext/>
              <w:jc w:val="right"/>
              <w:rPr>
                <w:sz w:val="20"/>
                <w:szCs w:val="20"/>
                <w:lang w:val="en-CA" w:eastAsia="en-CA"/>
              </w:rPr>
            </w:pPr>
            <w:r w:rsidRPr="005A3A16">
              <w:rPr>
                <w:sz w:val="20"/>
                <w:szCs w:val="20"/>
                <w:lang w:val="en-CA" w:eastAsia="en-CA"/>
              </w:rPr>
              <w:t>28</w:t>
            </w:r>
          </w:p>
        </w:tc>
      </w:tr>
      <w:tr w:rsidR="005A3A16" w:rsidRPr="005A3A16" w14:paraId="6FA61B15" w14:textId="77777777" w:rsidTr="00E335BB">
        <w:trPr>
          <w:jc w:val="center"/>
        </w:trPr>
        <w:tc>
          <w:tcPr>
            <w:tcW w:w="1683" w:type="dxa"/>
            <w:shd w:val="clear" w:color="auto" w:fill="auto"/>
            <w:hideMark/>
          </w:tcPr>
          <w:p w14:paraId="7C71E7D8" w14:textId="1EC6AD16" w:rsidR="00AB4968" w:rsidRPr="005A3A16" w:rsidRDefault="001D69F7" w:rsidP="00234CC3">
            <w:pPr>
              <w:keepNext/>
              <w:jc w:val="left"/>
              <w:rPr>
                <w:sz w:val="20"/>
                <w:szCs w:val="20"/>
                <w:lang w:val="en-CA" w:eastAsia="en-CA"/>
              </w:rPr>
            </w:pPr>
            <w:r>
              <w:rPr>
                <w:sz w:val="20"/>
                <w:szCs w:val="20"/>
                <w:lang w:val="en-CA" w:eastAsia="en-CA"/>
              </w:rPr>
              <w:t>Planificación</w:t>
            </w:r>
            <w:r w:rsidRPr="005A3A16">
              <w:rPr>
                <w:sz w:val="20"/>
                <w:szCs w:val="20"/>
                <w:lang w:val="en-CA" w:eastAsia="en-CA"/>
              </w:rPr>
              <w:t>--Apro</w:t>
            </w:r>
            <w:r>
              <w:rPr>
                <w:sz w:val="20"/>
                <w:szCs w:val="20"/>
                <w:lang w:val="en-CA" w:eastAsia="en-CA"/>
              </w:rPr>
              <w:t>bación</w:t>
            </w:r>
            <w:r w:rsidR="00AB4968" w:rsidRPr="005A3A16">
              <w:rPr>
                <w:sz w:val="20"/>
                <w:szCs w:val="20"/>
                <w:lang w:val="en-CA" w:eastAsia="en-CA"/>
              </w:rPr>
              <w:t xml:space="preserve"> </w:t>
            </w:r>
          </w:p>
        </w:tc>
        <w:tc>
          <w:tcPr>
            <w:tcW w:w="2102" w:type="dxa"/>
            <w:shd w:val="clear" w:color="auto" w:fill="auto"/>
            <w:hideMark/>
          </w:tcPr>
          <w:p w14:paraId="38D83FC8" w14:textId="459ADD32" w:rsidR="00AB4968" w:rsidRPr="005A3A16" w:rsidRDefault="00AB4968" w:rsidP="001D69F7">
            <w:pPr>
              <w:keepNext/>
              <w:jc w:val="left"/>
              <w:rPr>
                <w:sz w:val="20"/>
                <w:szCs w:val="20"/>
                <w:lang w:val="en-CA" w:eastAsia="en-CA"/>
              </w:rPr>
            </w:pPr>
            <w:r w:rsidRPr="005A3A16">
              <w:rPr>
                <w:sz w:val="20"/>
                <w:szCs w:val="20"/>
                <w:lang w:val="en-CA" w:eastAsia="en-CA"/>
              </w:rPr>
              <w:t>Pro</w:t>
            </w:r>
            <w:r w:rsidR="001D69F7">
              <w:rPr>
                <w:sz w:val="20"/>
                <w:szCs w:val="20"/>
                <w:lang w:val="en-CA" w:eastAsia="en-CA"/>
              </w:rPr>
              <w:t>yectos</w:t>
            </w:r>
            <w:r w:rsidRPr="005A3A16">
              <w:rPr>
                <w:sz w:val="20"/>
                <w:szCs w:val="20"/>
                <w:lang w:val="en-CA" w:eastAsia="en-CA"/>
              </w:rPr>
              <w:t>/activi</w:t>
            </w:r>
            <w:r w:rsidR="001D69F7">
              <w:rPr>
                <w:sz w:val="20"/>
                <w:szCs w:val="20"/>
                <w:lang w:val="en-CA" w:eastAsia="en-CA"/>
              </w:rPr>
              <w:t xml:space="preserve">dades </w:t>
            </w:r>
            <w:r w:rsidRPr="005A3A16">
              <w:rPr>
                <w:sz w:val="20"/>
                <w:szCs w:val="20"/>
                <w:lang w:val="en-CA" w:eastAsia="en-CA"/>
              </w:rPr>
              <w:t>ap</w:t>
            </w:r>
            <w:r w:rsidR="001D69F7">
              <w:rPr>
                <w:sz w:val="20"/>
                <w:szCs w:val="20"/>
                <w:lang w:val="en-CA" w:eastAsia="en-CA"/>
              </w:rPr>
              <w:t>robados</w:t>
            </w:r>
          </w:p>
        </w:tc>
        <w:tc>
          <w:tcPr>
            <w:tcW w:w="3865" w:type="dxa"/>
            <w:shd w:val="clear" w:color="auto" w:fill="auto"/>
            <w:hideMark/>
          </w:tcPr>
          <w:p w14:paraId="5B13AE4D" w14:textId="07E06517" w:rsidR="00AB4968" w:rsidRPr="0074140D" w:rsidRDefault="00AB4968" w:rsidP="0074140D">
            <w:pPr>
              <w:keepNext/>
              <w:jc w:val="left"/>
              <w:rPr>
                <w:sz w:val="20"/>
                <w:szCs w:val="20"/>
                <w:lang w:val="es-ES" w:eastAsia="en-CA"/>
              </w:rPr>
            </w:pPr>
            <w:r w:rsidRPr="0074140D">
              <w:rPr>
                <w:sz w:val="20"/>
                <w:szCs w:val="20"/>
                <w:lang w:val="es-ES" w:eastAsia="en-CA"/>
              </w:rPr>
              <w:t>N</w:t>
            </w:r>
            <w:r w:rsidR="0074140D" w:rsidRPr="0074140D">
              <w:rPr>
                <w:sz w:val="20"/>
                <w:szCs w:val="20"/>
                <w:lang w:val="es-ES" w:eastAsia="en-CA"/>
              </w:rPr>
              <w:t>úmero de proyectos</w:t>
            </w:r>
            <w:r w:rsidRPr="0074140D">
              <w:rPr>
                <w:sz w:val="20"/>
                <w:szCs w:val="20"/>
                <w:lang w:val="es-ES" w:eastAsia="en-CA"/>
              </w:rPr>
              <w:t>/activi</w:t>
            </w:r>
            <w:r w:rsidR="0074140D" w:rsidRPr="0074140D">
              <w:rPr>
                <w:sz w:val="20"/>
                <w:szCs w:val="20"/>
                <w:lang w:val="es-ES" w:eastAsia="en-CA"/>
              </w:rPr>
              <w:t>dades aprobados respecto de los planificados</w:t>
            </w:r>
            <w:r w:rsidRPr="0074140D">
              <w:rPr>
                <w:sz w:val="20"/>
                <w:szCs w:val="20"/>
                <w:lang w:val="es-ES" w:eastAsia="en-CA"/>
              </w:rPr>
              <w:t xml:space="preserve"> (</w:t>
            </w:r>
            <w:r w:rsidR="0074140D">
              <w:rPr>
                <w:sz w:val="20"/>
                <w:szCs w:val="20"/>
                <w:lang w:val="es-ES" w:eastAsia="en-CA"/>
              </w:rPr>
              <w:t>incluidas las actividades de preparación de proyectos</w:t>
            </w:r>
            <w:r w:rsidRPr="0074140D">
              <w:rPr>
                <w:sz w:val="20"/>
                <w:szCs w:val="20"/>
                <w:lang w:val="es-ES" w:eastAsia="en-CA"/>
              </w:rPr>
              <w:t>)**</w:t>
            </w:r>
          </w:p>
        </w:tc>
        <w:tc>
          <w:tcPr>
            <w:tcW w:w="1719" w:type="dxa"/>
          </w:tcPr>
          <w:p w14:paraId="1D12A73A" w14:textId="77777777" w:rsidR="00AB4968" w:rsidRPr="005A3A16" w:rsidRDefault="00657E9D" w:rsidP="00234CC3">
            <w:pPr>
              <w:keepNext/>
              <w:jc w:val="right"/>
              <w:rPr>
                <w:sz w:val="20"/>
                <w:szCs w:val="20"/>
                <w:lang w:val="en-CA" w:eastAsia="en-CA"/>
              </w:rPr>
            </w:pPr>
            <w:r w:rsidRPr="005A3A16">
              <w:rPr>
                <w:sz w:val="20"/>
                <w:szCs w:val="20"/>
                <w:lang w:val="en-CA" w:eastAsia="en-CA"/>
              </w:rPr>
              <w:t>37</w:t>
            </w:r>
          </w:p>
        </w:tc>
      </w:tr>
      <w:tr w:rsidR="001D69F7" w:rsidRPr="005A3A16" w14:paraId="582F6934" w14:textId="77777777" w:rsidTr="00E335BB">
        <w:trPr>
          <w:jc w:val="center"/>
        </w:trPr>
        <w:tc>
          <w:tcPr>
            <w:tcW w:w="1683" w:type="dxa"/>
            <w:shd w:val="clear" w:color="auto" w:fill="auto"/>
            <w:hideMark/>
          </w:tcPr>
          <w:p w14:paraId="5269EB9D" w14:textId="084404F7" w:rsidR="001D69F7" w:rsidRPr="005A3A16" w:rsidRDefault="001D69F7" w:rsidP="00234CC3">
            <w:pPr>
              <w:jc w:val="left"/>
              <w:rPr>
                <w:sz w:val="20"/>
                <w:szCs w:val="20"/>
                <w:lang w:val="en-CA" w:eastAsia="en-CA"/>
              </w:rPr>
            </w:pPr>
            <w:r w:rsidRPr="00F82B21">
              <w:rPr>
                <w:sz w:val="20"/>
                <w:szCs w:val="20"/>
                <w:lang w:val="en-CA" w:eastAsia="en-CA"/>
              </w:rPr>
              <w:t>Aplicación</w:t>
            </w:r>
          </w:p>
        </w:tc>
        <w:tc>
          <w:tcPr>
            <w:tcW w:w="2102" w:type="dxa"/>
            <w:shd w:val="clear" w:color="auto" w:fill="auto"/>
            <w:hideMark/>
          </w:tcPr>
          <w:p w14:paraId="4480D0F5" w14:textId="566987B7" w:rsidR="001D69F7" w:rsidRPr="005A3A16" w:rsidRDefault="001D69F7" w:rsidP="001D69F7">
            <w:pPr>
              <w:jc w:val="left"/>
              <w:rPr>
                <w:sz w:val="20"/>
                <w:szCs w:val="20"/>
                <w:lang w:val="en-CA" w:eastAsia="en-CA"/>
              </w:rPr>
            </w:pPr>
            <w:r w:rsidRPr="005A3A16">
              <w:rPr>
                <w:sz w:val="20"/>
                <w:szCs w:val="20"/>
                <w:lang w:val="en-CA" w:eastAsia="en-CA"/>
              </w:rPr>
              <w:t>F</w:t>
            </w:r>
            <w:r>
              <w:rPr>
                <w:sz w:val="20"/>
                <w:szCs w:val="20"/>
                <w:lang w:val="en-CA" w:eastAsia="en-CA"/>
              </w:rPr>
              <w:t>ondos desembolsados</w:t>
            </w:r>
          </w:p>
        </w:tc>
        <w:tc>
          <w:tcPr>
            <w:tcW w:w="3865" w:type="dxa"/>
            <w:shd w:val="clear" w:color="auto" w:fill="auto"/>
            <w:hideMark/>
          </w:tcPr>
          <w:p w14:paraId="1CDD2890" w14:textId="105498AD" w:rsidR="001D69F7" w:rsidRPr="0074140D" w:rsidRDefault="001D69F7" w:rsidP="0074140D">
            <w:pPr>
              <w:jc w:val="left"/>
              <w:rPr>
                <w:sz w:val="20"/>
                <w:szCs w:val="20"/>
                <w:lang w:val="es-ES" w:eastAsia="en-CA"/>
              </w:rPr>
            </w:pPr>
            <w:r w:rsidRPr="0074140D">
              <w:rPr>
                <w:sz w:val="20"/>
                <w:szCs w:val="20"/>
                <w:lang w:val="es-ES" w:eastAsia="en-CA"/>
              </w:rPr>
              <w:t>Bas</w:t>
            </w:r>
            <w:r w:rsidR="0074140D" w:rsidRPr="0074140D">
              <w:rPr>
                <w:sz w:val="20"/>
                <w:szCs w:val="20"/>
                <w:lang w:val="es-ES" w:eastAsia="en-CA"/>
              </w:rPr>
              <w:t>ado en el desembolso estimado en el informe sobre los progresos realizados</w:t>
            </w:r>
          </w:p>
        </w:tc>
        <w:tc>
          <w:tcPr>
            <w:tcW w:w="1719" w:type="dxa"/>
          </w:tcPr>
          <w:p w14:paraId="6B69E2D1" w14:textId="56877BFA" w:rsidR="001D69F7" w:rsidRPr="005A3A16" w:rsidRDefault="001D69F7" w:rsidP="0074140D">
            <w:pPr>
              <w:jc w:val="right"/>
              <w:rPr>
                <w:sz w:val="20"/>
                <w:szCs w:val="20"/>
                <w:lang w:val="en-CA" w:eastAsia="en-CA"/>
              </w:rPr>
            </w:pPr>
            <w:r w:rsidRPr="005A3A16">
              <w:rPr>
                <w:sz w:val="20"/>
                <w:szCs w:val="20"/>
                <w:lang w:val="en-CA" w:eastAsia="en-CA"/>
              </w:rPr>
              <w:t>22</w:t>
            </w:r>
            <w:r w:rsidR="0074140D">
              <w:rPr>
                <w:sz w:val="20"/>
                <w:szCs w:val="20"/>
                <w:lang w:val="en-CA" w:eastAsia="en-CA"/>
              </w:rPr>
              <w:t xml:space="preserve"> </w:t>
            </w:r>
            <w:r w:rsidRPr="005A3A16">
              <w:rPr>
                <w:sz w:val="20"/>
                <w:szCs w:val="20"/>
                <w:lang w:val="en-CA" w:eastAsia="en-CA"/>
              </w:rPr>
              <w:t>419</w:t>
            </w:r>
            <w:r w:rsidR="0074140D">
              <w:rPr>
                <w:sz w:val="20"/>
                <w:szCs w:val="20"/>
                <w:lang w:val="en-CA" w:eastAsia="en-CA"/>
              </w:rPr>
              <w:t xml:space="preserve"> </w:t>
            </w:r>
            <w:r w:rsidRPr="005A3A16">
              <w:rPr>
                <w:sz w:val="20"/>
                <w:szCs w:val="20"/>
                <w:lang w:val="en-CA" w:eastAsia="en-CA"/>
              </w:rPr>
              <w:t>984</w:t>
            </w:r>
            <w:r w:rsidR="0074140D">
              <w:rPr>
                <w:sz w:val="20"/>
                <w:szCs w:val="20"/>
                <w:lang w:val="en-CA" w:eastAsia="en-CA"/>
              </w:rPr>
              <w:t xml:space="preserve"> $EUA</w:t>
            </w:r>
          </w:p>
        </w:tc>
      </w:tr>
      <w:tr w:rsidR="001D69F7" w:rsidRPr="005A3A16" w14:paraId="2C851A35" w14:textId="77777777" w:rsidTr="00E335BB">
        <w:trPr>
          <w:jc w:val="center"/>
        </w:trPr>
        <w:tc>
          <w:tcPr>
            <w:tcW w:w="1683" w:type="dxa"/>
            <w:shd w:val="clear" w:color="auto" w:fill="auto"/>
            <w:hideMark/>
          </w:tcPr>
          <w:p w14:paraId="2DE3E4B5" w14:textId="0DB7C148" w:rsidR="001D69F7" w:rsidRPr="005A3A16" w:rsidRDefault="001D69F7" w:rsidP="00234CC3">
            <w:pPr>
              <w:jc w:val="left"/>
              <w:rPr>
                <w:sz w:val="20"/>
                <w:szCs w:val="20"/>
                <w:lang w:val="en-CA" w:eastAsia="en-CA"/>
              </w:rPr>
            </w:pPr>
            <w:r w:rsidRPr="00F82B21">
              <w:rPr>
                <w:sz w:val="20"/>
                <w:szCs w:val="20"/>
                <w:lang w:val="en-CA" w:eastAsia="en-CA"/>
              </w:rPr>
              <w:t>Aplicación</w:t>
            </w:r>
          </w:p>
        </w:tc>
        <w:tc>
          <w:tcPr>
            <w:tcW w:w="2102" w:type="dxa"/>
            <w:shd w:val="clear" w:color="auto" w:fill="auto"/>
            <w:hideMark/>
          </w:tcPr>
          <w:p w14:paraId="1AC9AE0D" w14:textId="0354AA73" w:rsidR="001D69F7" w:rsidRPr="004823C1" w:rsidRDefault="001D69F7" w:rsidP="001D69F7">
            <w:pPr>
              <w:jc w:val="left"/>
              <w:rPr>
                <w:sz w:val="20"/>
                <w:szCs w:val="20"/>
                <w:lang w:val="en-CA" w:eastAsia="en-CA"/>
              </w:rPr>
            </w:pPr>
            <w:r w:rsidRPr="004823C1">
              <w:rPr>
                <w:sz w:val="20"/>
                <w:szCs w:val="20"/>
                <w:lang w:val="en-CA" w:eastAsia="en-CA"/>
              </w:rPr>
              <w:t>Eliminación de SAO</w:t>
            </w:r>
          </w:p>
        </w:tc>
        <w:tc>
          <w:tcPr>
            <w:tcW w:w="3865" w:type="dxa"/>
            <w:shd w:val="clear" w:color="auto" w:fill="auto"/>
            <w:hideMark/>
          </w:tcPr>
          <w:p w14:paraId="4626E856" w14:textId="23EFB711" w:rsidR="001D69F7" w:rsidRPr="0074140D" w:rsidRDefault="0074140D" w:rsidP="007B63DE">
            <w:pPr>
              <w:jc w:val="left"/>
              <w:rPr>
                <w:sz w:val="20"/>
                <w:szCs w:val="20"/>
                <w:lang w:val="es-ES" w:eastAsia="en-CA"/>
              </w:rPr>
            </w:pPr>
            <w:r w:rsidRPr="0074140D">
              <w:rPr>
                <w:sz w:val="20"/>
                <w:szCs w:val="20"/>
                <w:lang w:val="es-ES" w:eastAsia="en-CA"/>
              </w:rPr>
              <w:t xml:space="preserve">Eliminación de SAO durante el tramo cuando </w:t>
            </w:r>
            <w:r w:rsidR="007B63DE">
              <w:rPr>
                <w:sz w:val="20"/>
                <w:szCs w:val="20"/>
                <w:lang w:val="es-ES" w:eastAsia="en-CA"/>
              </w:rPr>
              <w:t xml:space="preserve">se aprueba </w:t>
            </w:r>
            <w:r w:rsidRPr="0074140D">
              <w:rPr>
                <w:sz w:val="20"/>
                <w:szCs w:val="20"/>
                <w:lang w:val="es-ES" w:eastAsia="en-CA"/>
              </w:rPr>
              <w:t xml:space="preserve">el tramo siguiente </w:t>
            </w:r>
            <w:r w:rsidR="007B63DE">
              <w:rPr>
                <w:sz w:val="20"/>
                <w:szCs w:val="20"/>
                <w:lang w:val="es-ES" w:eastAsia="en-CA"/>
              </w:rPr>
              <w:t xml:space="preserve">en comparación con lo previsto en los </w:t>
            </w:r>
            <w:r>
              <w:rPr>
                <w:sz w:val="20"/>
                <w:szCs w:val="20"/>
                <w:lang w:val="es-ES" w:eastAsia="en-CA"/>
              </w:rPr>
              <w:t>plan</w:t>
            </w:r>
            <w:r w:rsidR="007B63DE">
              <w:rPr>
                <w:sz w:val="20"/>
                <w:szCs w:val="20"/>
                <w:lang w:val="es-ES" w:eastAsia="en-CA"/>
              </w:rPr>
              <w:t>es</w:t>
            </w:r>
            <w:r>
              <w:rPr>
                <w:sz w:val="20"/>
                <w:szCs w:val="20"/>
                <w:lang w:val="es-ES" w:eastAsia="en-CA"/>
              </w:rPr>
              <w:t xml:space="preserve"> administrativo</w:t>
            </w:r>
            <w:r w:rsidR="007B63DE">
              <w:rPr>
                <w:sz w:val="20"/>
                <w:szCs w:val="20"/>
                <w:lang w:val="es-ES" w:eastAsia="en-CA"/>
              </w:rPr>
              <w:t>s</w:t>
            </w:r>
          </w:p>
        </w:tc>
        <w:tc>
          <w:tcPr>
            <w:tcW w:w="1719" w:type="dxa"/>
          </w:tcPr>
          <w:p w14:paraId="5DAC0D3F" w14:textId="37A0658B" w:rsidR="001D69F7" w:rsidRPr="005A3A16" w:rsidRDefault="001D69F7" w:rsidP="0074140D">
            <w:pPr>
              <w:jc w:val="right"/>
              <w:rPr>
                <w:sz w:val="20"/>
                <w:szCs w:val="20"/>
                <w:lang w:val="en-CA" w:eastAsia="en-CA"/>
              </w:rPr>
            </w:pPr>
            <w:r w:rsidRPr="005A3A16">
              <w:rPr>
                <w:sz w:val="20"/>
                <w:szCs w:val="20"/>
                <w:lang w:val="en-CA" w:eastAsia="en-CA"/>
              </w:rPr>
              <w:t>368</w:t>
            </w:r>
            <w:r w:rsidR="0074140D">
              <w:rPr>
                <w:sz w:val="20"/>
                <w:szCs w:val="20"/>
                <w:lang w:val="en-CA" w:eastAsia="en-CA"/>
              </w:rPr>
              <w:t>,</w:t>
            </w:r>
            <w:r w:rsidRPr="005A3A16">
              <w:rPr>
                <w:sz w:val="20"/>
                <w:szCs w:val="20"/>
                <w:lang w:val="en-CA" w:eastAsia="en-CA"/>
              </w:rPr>
              <w:t>84</w:t>
            </w:r>
            <w:r w:rsidR="0074140D">
              <w:rPr>
                <w:sz w:val="20"/>
                <w:szCs w:val="20"/>
                <w:lang w:val="en-CA" w:eastAsia="en-CA"/>
              </w:rPr>
              <w:t xml:space="preserve"> toneladas PAO</w:t>
            </w:r>
          </w:p>
        </w:tc>
      </w:tr>
      <w:tr w:rsidR="005A3A16" w:rsidRPr="005A3A16" w14:paraId="5D7F6821" w14:textId="77777777" w:rsidTr="00E335BB">
        <w:trPr>
          <w:jc w:val="center"/>
        </w:trPr>
        <w:tc>
          <w:tcPr>
            <w:tcW w:w="1683" w:type="dxa"/>
            <w:shd w:val="clear" w:color="auto" w:fill="auto"/>
            <w:hideMark/>
          </w:tcPr>
          <w:p w14:paraId="094B2173" w14:textId="1A0BC3E3" w:rsidR="00AB4968" w:rsidRPr="005A3A16" w:rsidRDefault="00602100" w:rsidP="00602100">
            <w:pPr>
              <w:jc w:val="left"/>
              <w:rPr>
                <w:sz w:val="20"/>
                <w:szCs w:val="20"/>
                <w:lang w:val="en-CA" w:eastAsia="en-CA"/>
              </w:rPr>
            </w:pPr>
            <w:r>
              <w:rPr>
                <w:sz w:val="20"/>
                <w:szCs w:val="20"/>
                <w:lang w:val="en-CA" w:eastAsia="en-CA"/>
              </w:rPr>
              <w:t>Aplicación</w:t>
            </w:r>
          </w:p>
        </w:tc>
        <w:tc>
          <w:tcPr>
            <w:tcW w:w="2102" w:type="dxa"/>
            <w:shd w:val="clear" w:color="auto" w:fill="auto"/>
            <w:hideMark/>
          </w:tcPr>
          <w:p w14:paraId="224EE31D" w14:textId="41E3425C" w:rsidR="00AB4968" w:rsidRPr="004823C1" w:rsidRDefault="004823C1" w:rsidP="004823C1">
            <w:pPr>
              <w:jc w:val="left"/>
              <w:rPr>
                <w:sz w:val="20"/>
                <w:szCs w:val="20"/>
                <w:lang w:val="es-ES" w:eastAsia="en-CA"/>
              </w:rPr>
            </w:pPr>
            <w:r w:rsidRPr="004823C1">
              <w:rPr>
                <w:sz w:val="20"/>
                <w:szCs w:val="20"/>
                <w:lang w:val="es-ES"/>
              </w:rPr>
              <w:t>Terminación de proyecto</w:t>
            </w:r>
            <w:r>
              <w:rPr>
                <w:sz w:val="20"/>
                <w:szCs w:val="20"/>
                <w:lang w:val="es-ES"/>
              </w:rPr>
              <w:t xml:space="preserve">s en relación con las </w:t>
            </w:r>
            <w:r w:rsidRPr="004823C1">
              <w:rPr>
                <w:sz w:val="20"/>
                <w:szCs w:val="20"/>
                <w:lang w:val="es-ES"/>
              </w:rPr>
              <w:t xml:space="preserve">actividades </w:t>
            </w:r>
          </w:p>
        </w:tc>
        <w:tc>
          <w:tcPr>
            <w:tcW w:w="3865" w:type="dxa"/>
            <w:shd w:val="clear" w:color="auto" w:fill="auto"/>
            <w:hideMark/>
          </w:tcPr>
          <w:p w14:paraId="476B9B10" w14:textId="54B54D11" w:rsidR="00AB4968" w:rsidRPr="004823C1" w:rsidRDefault="004823C1" w:rsidP="007B63DE">
            <w:pPr>
              <w:jc w:val="left"/>
              <w:rPr>
                <w:sz w:val="20"/>
                <w:szCs w:val="20"/>
                <w:lang w:val="es-ES" w:eastAsia="en-CA"/>
              </w:rPr>
            </w:pPr>
            <w:r w:rsidRPr="004823C1">
              <w:rPr>
                <w:sz w:val="20"/>
                <w:szCs w:val="20"/>
                <w:lang w:val="es-ES" w:eastAsia="en-CA"/>
              </w:rPr>
              <w:t>Terminación de proyectos respect</w:t>
            </w:r>
            <w:r>
              <w:rPr>
                <w:sz w:val="20"/>
                <w:szCs w:val="20"/>
                <w:lang w:val="es-ES" w:eastAsia="en-CA"/>
              </w:rPr>
              <w:t>o</w:t>
            </w:r>
            <w:r w:rsidRPr="004823C1">
              <w:rPr>
                <w:sz w:val="20"/>
                <w:szCs w:val="20"/>
                <w:lang w:val="es-ES" w:eastAsia="en-CA"/>
              </w:rPr>
              <w:t xml:space="preserve"> de</w:t>
            </w:r>
            <w:r>
              <w:rPr>
                <w:sz w:val="20"/>
                <w:szCs w:val="20"/>
                <w:lang w:val="es-ES" w:eastAsia="en-CA"/>
              </w:rPr>
              <w:t xml:space="preserve"> lo planificado en l</w:t>
            </w:r>
            <w:r w:rsidR="007B63DE">
              <w:rPr>
                <w:sz w:val="20"/>
                <w:szCs w:val="20"/>
                <w:lang w:val="es-ES" w:eastAsia="en-CA"/>
              </w:rPr>
              <w:t>os informes sobre la marcha de las actividades en lo referente a todas las actividades</w:t>
            </w:r>
            <w:r w:rsidR="00AB4968" w:rsidRPr="004823C1">
              <w:rPr>
                <w:sz w:val="20"/>
                <w:szCs w:val="20"/>
                <w:lang w:val="es-ES" w:eastAsia="en-CA"/>
              </w:rPr>
              <w:t xml:space="preserve"> (</w:t>
            </w:r>
            <w:r w:rsidR="0074140D" w:rsidRPr="004823C1">
              <w:rPr>
                <w:sz w:val="20"/>
                <w:szCs w:val="20"/>
                <w:lang w:val="es-ES" w:eastAsia="en-CA"/>
              </w:rPr>
              <w:t>excluida la preparación de proyectos</w:t>
            </w:r>
            <w:r w:rsidR="00AB4968" w:rsidRPr="004823C1">
              <w:rPr>
                <w:sz w:val="20"/>
                <w:szCs w:val="20"/>
                <w:lang w:val="es-ES" w:eastAsia="en-CA"/>
              </w:rPr>
              <w:t>)</w:t>
            </w:r>
          </w:p>
        </w:tc>
        <w:tc>
          <w:tcPr>
            <w:tcW w:w="1719" w:type="dxa"/>
          </w:tcPr>
          <w:p w14:paraId="06289240" w14:textId="77777777" w:rsidR="00AB4968" w:rsidRPr="005A3A16" w:rsidRDefault="00F67239" w:rsidP="00234CC3">
            <w:pPr>
              <w:jc w:val="right"/>
              <w:rPr>
                <w:sz w:val="20"/>
                <w:szCs w:val="20"/>
                <w:lang w:val="en-CA" w:eastAsia="en-CA"/>
              </w:rPr>
            </w:pPr>
            <w:r w:rsidRPr="005A3A16">
              <w:rPr>
                <w:sz w:val="20"/>
                <w:szCs w:val="20"/>
                <w:lang w:val="en-CA" w:eastAsia="en-CA"/>
              </w:rPr>
              <w:t>49</w:t>
            </w:r>
          </w:p>
        </w:tc>
      </w:tr>
      <w:tr w:rsidR="005A3A16" w:rsidRPr="005A3A16" w14:paraId="7E57ADF7" w14:textId="77777777" w:rsidTr="00E335BB">
        <w:trPr>
          <w:jc w:val="center"/>
        </w:trPr>
        <w:tc>
          <w:tcPr>
            <w:tcW w:w="1683" w:type="dxa"/>
            <w:shd w:val="clear" w:color="auto" w:fill="auto"/>
            <w:hideMark/>
          </w:tcPr>
          <w:p w14:paraId="7BCAB3BE" w14:textId="25E69711" w:rsidR="00AB4968" w:rsidRPr="005A3A16" w:rsidRDefault="00AB4968" w:rsidP="00602100">
            <w:pPr>
              <w:keepNext/>
              <w:jc w:val="left"/>
              <w:rPr>
                <w:sz w:val="20"/>
                <w:szCs w:val="20"/>
                <w:lang w:val="en-CA" w:eastAsia="en-CA"/>
              </w:rPr>
            </w:pPr>
            <w:r w:rsidRPr="005A3A16">
              <w:rPr>
                <w:sz w:val="20"/>
                <w:szCs w:val="20"/>
                <w:lang w:val="en-CA" w:eastAsia="en-CA"/>
              </w:rPr>
              <w:t>Administrativ</w:t>
            </w:r>
            <w:r w:rsidR="00602100">
              <w:rPr>
                <w:sz w:val="20"/>
                <w:szCs w:val="20"/>
                <w:lang w:val="en-CA" w:eastAsia="en-CA"/>
              </w:rPr>
              <w:t>o</w:t>
            </w:r>
          </w:p>
        </w:tc>
        <w:tc>
          <w:tcPr>
            <w:tcW w:w="2102" w:type="dxa"/>
            <w:shd w:val="clear" w:color="auto" w:fill="auto"/>
            <w:hideMark/>
          </w:tcPr>
          <w:p w14:paraId="2A5E8699" w14:textId="4308E5D0" w:rsidR="00AB4968" w:rsidRPr="005A3A16" w:rsidRDefault="004823C1" w:rsidP="00234CC3">
            <w:pPr>
              <w:keepNext/>
              <w:jc w:val="left"/>
              <w:rPr>
                <w:sz w:val="20"/>
                <w:szCs w:val="20"/>
                <w:lang w:val="en-CA" w:eastAsia="en-CA"/>
              </w:rPr>
            </w:pPr>
            <w:r>
              <w:rPr>
                <w:sz w:val="20"/>
                <w:szCs w:val="20"/>
                <w:lang w:val="en-CA" w:eastAsia="en-CA"/>
              </w:rPr>
              <w:t>Rapidez de terminación financiera</w:t>
            </w:r>
          </w:p>
        </w:tc>
        <w:tc>
          <w:tcPr>
            <w:tcW w:w="3865" w:type="dxa"/>
            <w:shd w:val="clear" w:color="auto" w:fill="auto"/>
            <w:hideMark/>
          </w:tcPr>
          <w:p w14:paraId="075E57C1" w14:textId="0788BAD4" w:rsidR="00AB4968" w:rsidRPr="004823C1" w:rsidRDefault="004823C1" w:rsidP="004823C1">
            <w:pPr>
              <w:keepNext/>
              <w:jc w:val="left"/>
              <w:rPr>
                <w:sz w:val="20"/>
                <w:szCs w:val="20"/>
                <w:lang w:val="es-ES" w:eastAsia="en-CA"/>
              </w:rPr>
            </w:pPr>
            <w:r w:rsidRPr="004823C1">
              <w:rPr>
                <w:sz w:val="20"/>
                <w:szCs w:val="20"/>
                <w:lang w:val="es-ES" w:eastAsia="en-CA"/>
              </w:rPr>
              <w:t>Grado en que se completan los proyectos en el aspecto financier</w:t>
            </w:r>
            <w:r>
              <w:rPr>
                <w:sz w:val="20"/>
                <w:szCs w:val="20"/>
                <w:lang w:val="es-ES" w:eastAsia="en-CA"/>
              </w:rPr>
              <w:t>o</w:t>
            </w:r>
            <w:r w:rsidRPr="004823C1">
              <w:rPr>
                <w:sz w:val="20"/>
                <w:szCs w:val="20"/>
                <w:lang w:val="es-ES" w:eastAsia="en-CA"/>
              </w:rPr>
              <w:t xml:space="preserve"> </w:t>
            </w:r>
            <w:r w:rsidR="00AB4968" w:rsidRPr="004823C1">
              <w:rPr>
                <w:sz w:val="20"/>
                <w:szCs w:val="20"/>
                <w:lang w:val="es-ES" w:eastAsia="en-CA"/>
              </w:rPr>
              <w:t xml:space="preserve">12 </w:t>
            </w:r>
            <w:r w:rsidRPr="004823C1">
              <w:rPr>
                <w:sz w:val="20"/>
                <w:szCs w:val="20"/>
                <w:lang w:val="es-ES" w:eastAsia="en-CA"/>
              </w:rPr>
              <w:t>meses despu</w:t>
            </w:r>
            <w:r>
              <w:rPr>
                <w:sz w:val="20"/>
                <w:szCs w:val="20"/>
                <w:lang w:val="es-ES" w:eastAsia="en-CA"/>
              </w:rPr>
              <w:t>és de terminados los proyectos</w:t>
            </w:r>
          </w:p>
        </w:tc>
        <w:tc>
          <w:tcPr>
            <w:tcW w:w="1719" w:type="dxa"/>
          </w:tcPr>
          <w:p w14:paraId="4959351E" w14:textId="77777777" w:rsidR="00AB4968" w:rsidRPr="005A3A16" w:rsidRDefault="00AB4968" w:rsidP="00234CC3">
            <w:pPr>
              <w:keepNext/>
              <w:jc w:val="right"/>
              <w:rPr>
                <w:sz w:val="20"/>
                <w:szCs w:val="20"/>
                <w:lang w:val="en-CA" w:eastAsia="en-CA"/>
              </w:rPr>
            </w:pPr>
            <w:r w:rsidRPr="005A3A16">
              <w:rPr>
                <w:sz w:val="20"/>
                <w:szCs w:val="20"/>
                <w:lang w:val="en-CA" w:eastAsia="en-CA"/>
              </w:rPr>
              <w:t>70%</w:t>
            </w:r>
          </w:p>
        </w:tc>
      </w:tr>
      <w:tr w:rsidR="005A3A16" w:rsidRPr="005A3A16" w14:paraId="00ACA5B8" w14:textId="77777777" w:rsidTr="00E335BB">
        <w:trPr>
          <w:jc w:val="center"/>
        </w:trPr>
        <w:tc>
          <w:tcPr>
            <w:tcW w:w="1683" w:type="dxa"/>
            <w:shd w:val="clear" w:color="auto" w:fill="auto"/>
            <w:hideMark/>
          </w:tcPr>
          <w:p w14:paraId="04B9D66B" w14:textId="38C1E8BC" w:rsidR="00AB4968" w:rsidRPr="005A3A16" w:rsidRDefault="00AB4968" w:rsidP="00602100">
            <w:pPr>
              <w:jc w:val="left"/>
              <w:rPr>
                <w:sz w:val="20"/>
                <w:szCs w:val="20"/>
                <w:lang w:val="en-CA" w:eastAsia="en-CA"/>
              </w:rPr>
            </w:pPr>
            <w:r w:rsidRPr="005A3A16">
              <w:rPr>
                <w:sz w:val="20"/>
                <w:szCs w:val="20"/>
                <w:lang w:val="en-CA" w:eastAsia="en-CA"/>
              </w:rPr>
              <w:t>Administrativ</w:t>
            </w:r>
            <w:r w:rsidR="00602100">
              <w:rPr>
                <w:sz w:val="20"/>
                <w:szCs w:val="20"/>
                <w:lang w:val="en-CA" w:eastAsia="en-CA"/>
              </w:rPr>
              <w:t>o</w:t>
            </w:r>
            <w:r w:rsidRPr="005A3A16">
              <w:rPr>
                <w:sz w:val="20"/>
                <w:szCs w:val="20"/>
                <w:lang w:val="en-CA" w:eastAsia="en-CA"/>
              </w:rPr>
              <w:t xml:space="preserve"> </w:t>
            </w:r>
          </w:p>
        </w:tc>
        <w:tc>
          <w:tcPr>
            <w:tcW w:w="2102" w:type="dxa"/>
            <w:shd w:val="clear" w:color="auto" w:fill="auto"/>
            <w:hideMark/>
          </w:tcPr>
          <w:p w14:paraId="686379BF" w14:textId="259EB50A" w:rsidR="00AB4968" w:rsidRPr="0074140D" w:rsidRDefault="0074140D" w:rsidP="004823C1">
            <w:pPr>
              <w:jc w:val="left"/>
              <w:rPr>
                <w:sz w:val="20"/>
                <w:szCs w:val="20"/>
                <w:lang w:val="es-ES" w:eastAsia="en-CA"/>
              </w:rPr>
            </w:pPr>
            <w:r w:rsidRPr="0074140D">
              <w:rPr>
                <w:sz w:val="20"/>
                <w:szCs w:val="20"/>
                <w:lang w:val="es-ES" w:eastAsia="en-CA"/>
              </w:rPr>
              <w:t>Presentación</w:t>
            </w:r>
            <w:r>
              <w:rPr>
                <w:sz w:val="20"/>
                <w:szCs w:val="20"/>
                <w:lang w:val="es-ES" w:eastAsia="en-CA"/>
              </w:rPr>
              <w:t xml:space="preserve"> </w:t>
            </w:r>
            <w:r w:rsidR="004823C1">
              <w:rPr>
                <w:sz w:val="20"/>
                <w:szCs w:val="20"/>
                <w:lang w:val="es-ES" w:eastAsia="en-CA"/>
              </w:rPr>
              <w:t>en fecha</w:t>
            </w:r>
            <w:r w:rsidRPr="0074140D">
              <w:rPr>
                <w:sz w:val="20"/>
                <w:szCs w:val="20"/>
                <w:lang w:val="es-ES" w:eastAsia="en-CA"/>
              </w:rPr>
              <w:t xml:space="preserve"> de informes de terminaci</w:t>
            </w:r>
            <w:r>
              <w:rPr>
                <w:sz w:val="20"/>
                <w:szCs w:val="20"/>
                <w:lang w:val="es-ES" w:eastAsia="en-CA"/>
              </w:rPr>
              <w:t>ón de los proyecto</w:t>
            </w:r>
            <w:r w:rsidRPr="0074140D">
              <w:rPr>
                <w:sz w:val="20"/>
                <w:szCs w:val="20"/>
                <w:lang w:val="es-ES" w:eastAsia="en-CA"/>
              </w:rPr>
              <w:t>s</w:t>
            </w:r>
          </w:p>
        </w:tc>
        <w:tc>
          <w:tcPr>
            <w:tcW w:w="3865" w:type="dxa"/>
            <w:shd w:val="clear" w:color="auto" w:fill="auto"/>
            <w:hideMark/>
          </w:tcPr>
          <w:p w14:paraId="4B427B0A" w14:textId="798692EF" w:rsidR="00AB4968" w:rsidRPr="004823C1" w:rsidRDefault="004823C1" w:rsidP="004823C1">
            <w:pPr>
              <w:jc w:val="left"/>
              <w:rPr>
                <w:sz w:val="20"/>
                <w:szCs w:val="20"/>
                <w:lang w:val="es-ES" w:eastAsia="en-CA"/>
              </w:rPr>
            </w:pPr>
            <w:r w:rsidRPr="004823C1">
              <w:rPr>
                <w:sz w:val="20"/>
                <w:szCs w:val="20"/>
                <w:lang w:val="es-ES"/>
              </w:rPr>
              <w:t>Presentación en fecha de informes sobre proyectos terminados en comparación con los convenidos</w:t>
            </w:r>
          </w:p>
        </w:tc>
        <w:tc>
          <w:tcPr>
            <w:tcW w:w="1719" w:type="dxa"/>
          </w:tcPr>
          <w:p w14:paraId="507702A0" w14:textId="2ABB95C9" w:rsidR="00AB4968" w:rsidRPr="005A3A16" w:rsidRDefault="007B5A9B" w:rsidP="00F67239">
            <w:pPr>
              <w:jc w:val="right"/>
              <w:rPr>
                <w:sz w:val="20"/>
                <w:szCs w:val="20"/>
                <w:lang w:val="en-CA" w:eastAsia="en-CA"/>
              </w:rPr>
            </w:pPr>
            <w:r>
              <w:rPr>
                <w:sz w:val="20"/>
                <w:szCs w:val="20"/>
                <w:lang w:val="en-US"/>
              </w:rPr>
              <w:t>En fecha</w:t>
            </w:r>
            <w:r w:rsidR="00F67239" w:rsidRPr="005A3A16">
              <w:rPr>
                <w:sz w:val="20"/>
                <w:szCs w:val="20"/>
                <w:lang w:val="en-US"/>
              </w:rPr>
              <w:t xml:space="preserve"> (3)</w:t>
            </w:r>
          </w:p>
        </w:tc>
      </w:tr>
      <w:tr w:rsidR="005A3A16" w:rsidRPr="005A3A16" w14:paraId="673B532D" w14:textId="77777777" w:rsidTr="00E335BB">
        <w:trPr>
          <w:jc w:val="center"/>
        </w:trPr>
        <w:tc>
          <w:tcPr>
            <w:tcW w:w="1683" w:type="dxa"/>
            <w:shd w:val="clear" w:color="auto" w:fill="auto"/>
            <w:hideMark/>
          </w:tcPr>
          <w:p w14:paraId="7A5E4567" w14:textId="5F1AC19A" w:rsidR="00AB4968" w:rsidRPr="005A3A16" w:rsidRDefault="00AB4968" w:rsidP="00602100">
            <w:pPr>
              <w:jc w:val="left"/>
              <w:rPr>
                <w:sz w:val="20"/>
                <w:szCs w:val="20"/>
                <w:lang w:val="en-CA" w:eastAsia="en-CA"/>
              </w:rPr>
            </w:pPr>
            <w:r w:rsidRPr="005A3A16">
              <w:rPr>
                <w:sz w:val="20"/>
                <w:szCs w:val="20"/>
                <w:lang w:val="en-CA" w:eastAsia="en-CA"/>
              </w:rPr>
              <w:t>Administrativ</w:t>
            </w:r>
            <w:r w:rsidR="00602100">
              <w:rPr>
                <w:sz w:val="20"/>
                <w:szCs w:val="20"/>
                <w:lang w:val="en-CA" w:eastAsia="en-CA"/>
              </w:rPr>
              <w:t>o</w:t>
            </w:r>
            <w:r w:rsidRPr="005A3A16">
              <w:rPr>
                <w:sz w:val="20"/>
                <w:szCs w:val="20"/>
                <w:lang w:val="en-CA" w:eastAsia="en-CA"/>
              </w:rPr>
              <w:t xml:space="preserve"> </w:t>
            </w:r>
          </w:p>
        </w:tc>
        <w:tc>
          <w:tcPr>
            <w:tcW w:w="2102" w:type="dxa"/>
            <w:shd w:val="clear" w:color="auto" w:fill="auto"/>
            <w:hideMark/>
          </w:tcPr>
          <w:p w14:paraId="0D997E27" w14:textId="5ECAF53F" w:rsidR="00AB4968" w:rsidRPr="005278BC" w:rsidRDefault="005278BC" w:rsidP="004823C1">
            <w:pPr>
              <w:jc w:val="left"/>
              <w:rPr>
                <w:sz w:val="20"/>
                <w:szCs w:val="20"/>
                <w:lang w:val="es-ES" w:eastAsia="en-CA"/>
              </w:rPr>
            </w:pPr>
            <w:r w:rsidRPr="005278BC">
              <w:rPr>
                <w:sz w:val="20"/>
                <w:szCs w:val="20"/>
                <w:lang w:val="es-ES" w:eastAsia="en-CA"/>
              </w:rPr>
              <w:t xml:space="preserve">Presentación </w:t>
            </w:r>
            <w:r w:rsidR="004823C1">
              <w:rPr>
                <w:sz w:val="20"/>
                <w:szCs w:val="20"/>
                <w:lang w:val="es-ES" w:eastAsia="en-CA"/>
              </w:rPr>
              <w:t>en fecha</w:t>
            </w:r>
            <w:r w:rsidRPr="005278BC">
              <w:rPr>
                <w:sz w:val="20"/>
                <w:szCs w:val="20"/>
                <w:lang w:val="es-ES" w:eastAsia="en-CA"/>
              </w:rPr>
              <w:t xml:space="preserve"> de </w:t>
            </w:r>
            <w:r w:rsidR="004823C1">
              <w:rPr>
                <w:sz w:val="20"/>
                <w:szCs w:val="20"/>
                <w:lang w:val="es-ES" w:eastAsia="en-CA"/>
              </w:rPr>
              <w:t>informes sobre la marcha de las actividades</w:t>
            </w:r>
          </w:p>
        </w:tc>
        <w:tc>
          <w:tcPr>
            <w:tcW w:w="3865" w:type="dxa"/>
            <w:shd w:val="clear" w:color="auto" w:fill="auto"/>
            <w:hideMark/>
          </w:tcPr>
          <w:p w14:paraId="5489553D" w14:textId="0CC31329" w:rsidR="00AB4968" w:rsidRPr="004823C1" w:rsidRDefault="004823C1" w:rsidP="004823C1">
            <w:pPr>
              <w:jc w:val="left"/>
              <w:rPr>
                <w:sz w:val="20"/>
                <w:szCs w:val="20"/>
                <w:lang w:val="es-ES" w:eastAsia="en-CA"/>
              </w:rPr>
            </w:pPr>
            <w:r w:rsidRPr="004823C1">
              <w:rPr>
                <w:sz w:val="20"/>
                <w:szCs w:val="20"/>
                <w:lang w:val="es-ES"/>
              </w:rPr>
              <w:t xml:space="preserve">Presentación en fecha de informes sobre la marcha de las actividades y planes administrativos y respuestas a menos de que se convenga lo contrario </w:t>
            </w:r>
          </w:p>
        </w:tc>
        <w:tc>
          <w:tcPr>
            <w:tcW w:w="1719" w:type="dxa"/>
          </w:tcPr>
          <w:p w14:paraId="3397F268" w14:textId="0B7C114B" w:rsidR="00AB4968" w:rsidRPr="005A3A16" w:rsidRDefault="007B5A9B" w:rsidP="0074140D">
            <w:pPr>
              <w:jc w:val="right"/>
              <w:rPr>
                <w:sz w:val="20"/>
                <w:szCs w:val="20"/>
                <w:lang w:val="en-CA" w:eastAsia="en-CA"/>
              </w:rPr>
            </w:pPr>
            <w:r>
              <w:rPr>
                <w:sz w:val="20"/>
                <w:szCs w:val="20"/>
                <w:lang w:val="en-CA" w:eastAsia="en-CA"/>
              </w:rPr>
              <w:t>En fecha</w:t>
            </w:r>
          </w:p>
        </w:tc>
      </w:tr>
    </w:tbl>
    <w:p w14:paraId="69F2C58E" w14:textId="1DD4A3A9" w:rsidR="00AB4968" w:rsidRPr="00BF0708" w:rsidRDefault="00AB4968" w:rsidP="00AB4968">
      <w:pPr>
        <w:rPr>
          <w:sz w:val="20"/>
          <w:lang w:val="es-ES"/>
        </w:rPr>
      </w:pPr>
      <w:r w:rsidRPr="00BF0708">
        <w:rPr>
          <w:sz w:val="20"/>
          <w:lang w:val="es-ES"/>
        </w:rPr>
        <w:t xml:space="preserve">* </w:t>
      </w:r>
      <w:r w:rsidR="00BF0708" w:rsidRPr="00BF0708">
        <w:rPr>
          <w:sz w:val="20"/>
          <w:lang w:val="es-ES"/>
        </w:rPr>
        <w:t>La meta de un organismo se reduciría si este no pudiese presentar un tramo a causa de otro organismo principal o de cooperación, si este está de acuerdo</w:t>
      </w:r>
      <w:r w:rsidRPr="00BF0708">
        <w:rPr>
          <w:sz w:val="20"/>
          <w:lang w:val="es-ES"/>
        </w:rPr>
        <w:t>.</w:t>
      </w:r>
    </w:p>
    <w:p w14:paraId="2191BB1E" w14:textId="3FF957C4" w:rsidR="00AB4968" w:rsidRPr="00BF0708" w:rsidRDefault="00AB4968" w:rsidP="00AB4968">
      <w:pPr>
        <w:spacing w:after="240"/>
        <w:rPr>
          <w:sz w:val="20"/>
          <w:lang w:val="es-ES"/>
        </w:rPr>
      </w:pPr>
      <w:r w:rsidRPr="00BF0708">
        <w:rPr>
          <w:sz w:val="20"/>
          <w:lang w:val="es-ES"/>
        </w:rPr>
        <w:t xml:space="preserve">** </w:t>
      </w:r>
      <w:r w:rsidR="00BF0708" w:rsidRPr="00BF0708">
        <w:rPr>
          <w:sz w:val="20"/>
          <w:lang w:val="es-ES"/>
        </w:rPr>
        <w:t xml:space="preserve">La preparación de proyectos no debería evaluarse, si el Comité Ejecutivo no ha adoptado una </w:t>
      </w:r>
      <w:r w:rsidR="00DB42F0">
        <w:rPr>
          <w:sz w:val="20"/>
          <w:lang w:val="es-ES"/>
        </w:rPr>
        <w:t>decisió</w:t>
      </w:r>
      <w:r w:rsidR="00BF0708" w:rsidRPr="00BF0708">
        <w:rPr>
          <w:sz w:val="20"/>
          <w:lang w:val="es-ES"/>
        </w:rPr>
        <w:t xml:space="preserve">n sobre su </w:t>
      </w:r>
      <w:r w:rsidR="00832845">
        <w:rPr>
          <w:sz w:val="20"/>
          <w:lang w:val="es-ES"/>
        </w:rPr>
        <w:t>financiación</w:t>
      </w:r>
      <w:r w:rsidRPr="00BF0708">
        <w:rPr>
          <w:sz w:val="20"/>
          <w:lang w:val="es-ES"/>
        </w:rPr>
        <w:t xml:space="preserve">. </w:t>
      </w:r>
    </w:p>
    <w:p w14:paraId="6EC44244" w14:textId="0D971669" w:rsidR="00AB4968" w:rsidRPr="005A3A16" w:rsidRDefault="00602100" w:rsidP="00AB4968">
      <w:pPr>
        <w:pStyle w:val="sub-title"/>
        <w:keepNext/>
        <w:spacing w:after="240"/>
        <w:rPr>
          <w:noProof w:val="0"/>
          <w:lang w:val="en-GB"/>
        </w:rPr>
      </w:pPr>
      <w:r>
        <w:rPr>
          <w:noProof w:val="0"/>
          <w:lang w:val="en-GB"/>
        </w:rPr>
        <w:t>Cuestiones normativas</w:t>
      </w:r>
    </w:p>
    <w:p w14:paraId="7A2F18C5" w14:textId="4A0C0967" w:rsidR="00AB4968" w:rsidRPr="00602100" w:rsidRDefault="00602100" w:rsidP="00AB4968">
      <w:pPr>
        <w:pStyle w:val="Heading1"/>
        <w:rPr>
          <w:lang w:val="es-ES"/>
        </w:rPr>
      </w:pPr>
      <w:r w:rsidRPr="00602100">
        <w:rPr>
          <w:lang w:val="es-ES"/>
        </w:rPr>
        <w:t xml:space="preserve">El PNUD somete a consideración del Comité Ejecutivo las cuestiones normativas relacionadas con las </w:t>
      </w:r>
      <w:r w:rsidR="00BF0708">
        <w:rPr>
          <w:lang w:val="es-ES"/>
        </w:rPr>
        <w:t>directrices sobre costos</w:t>
      </w:r>
      <w:r w:rsidR="00AB4968" w:rsidRPr="00602100">
        <w:rPr>
          <w:lang w:val="es-ES"/>
        </w:rPr>
        <w:t xml:space="preserve"> </w:t>
      </w:r>
      <w:r w:rsidR="001D69F7">
        <w:rPr>
          <w:lang w:val="es-ES"/>
        </w:rPr>
        <w:t xml:space="preserve">para la reducción de los </w:t>
      </w:r>
      <w:r w:rsidR="00AB4968" w:rsidRPr="00602100">
        <w:rPr>
          <w:lang w:val="es-ES"/>
        </w:rPr>
        <w:t>HFC</w:t>
      </w:r>
      <w:r w:rsidR="001D69F7">
        <w:rPr>
          <w:lang w:val="es-ES"/>
        </w:rPr>
        <w:t xml:space="preserve">, </w:t>
      </w:r>
      <w:r w:rsidRPr="00602100">
        <w:rPr>
          <w:lang w:val="es-ES"/>
        </w:rPr>
        <w:t xml:space="preserve">que se </w:t>
      </w:r>
      <w:r w:rsidR="001D69F7">
        <w:rPr>
          <w:lang w:val="es-ES"/>
        </w:rPr>
        <w:t>indican</w:t>
      </w:r>
      <w:r w:rsidRPr="00602100">
        <w:rPr>
          <w:lang w:val="es-ES"/>
        </w:rPr>
        <w:t xml:space="preserve"> </w:t>
      </w:r>
      <w:r w:rsidR="00BF0708">
        <w:rPr>
          <w:lang w:val="es-ES"/>
        </w:rPr>
        <w:t>a contin</w:t>
      </w:r>
      <w:r w:rsidRPr="00602100">
        <w:rPr>
          <w:lang w:val="es-ES"/>
        </w:rPr>
        <w:t>u</w:t>
      </w:r>
      <w:r w:rsidR="00BF0708">
        <w:rPr>
          <w:lang w:val="es-ES"/>
        </w:rPr>
        <w:t>a</w:t>
      </w:r>
      <w:r w:rsidRPr="00602100">
        <w:rPr>
          <w:lang w:val="es-ES"/>
        </w:rPr>
        <w:t>ci</w:t>
      </w:r>
      <w:r>
        <w:rPr>
          <w:lang w:val="es-ES"/>
        </w:rPr>
        <w:t>ón</w:t>
      </w:r>
      <w:r w:rsidR="00AC04E1" w:rsidRPr="00602100">
        <w:rPr>
          <w:lang w:val="es-ES"/>
        </w:rPr>
        <w:t>:</w:t>
      </w:r>
      <w:r w:rsidR="001C756A" w:rsidRPr="00602100">
        <w:rPr>
          <w:lang w:val="es-ES"/>
        </w:rPr>
        <w:t xml:space="preserve"> </w:t>
      </w:r>
    </w:p>
    <w:p w14:paraId="7BD63752" w14:textId="59857A23" w:rsidR="00AB4968" w:rsidRPr="00FA55CF" w:rsidRDefault="00832845" w:rsidP="00866F89">
      <w:pPr>
        <w:pStyle w:val="Heading2"/>
        <w:rPr>
          <w:lang w:val="es-ES"/>
        </w:rPr>
      </w:pPr>
      <w:r>
        <w:rPr>
          <w:lang w:val="es-ES"/>
        </w:rPr>
        <w:t>Financiación</w:t>
      </w:r>
      <w:r w:rsidR="00FA55CF" w:rsidRPr="00FA55CF">
        <w:rPr>
          <w:lang w:val="es-ES"/>
        </w:rPr>
        <w:t xml:space="preserve"> de la transformación del mercado mediante el uso del costo adicional de funcionamiento de manera m</w:t>
      </w:r>
      <w:r w:rsidR="00FA55CF">
        <w:rPr>
          <w:lang w:val="es-ES"/>
        </w:rPr>
        <w:t xml:space="preserve">ás flexible e inclusiva </w:t>
      </w:r>
      <w:r w:rsidR="007B5A9B">
        <w:rPr>
          <w:lang w:val="es-ES"/>
        </w:rPr>
        <w:t xml:space="preserve">y no en combinación </w:t>
      </w:r>
      <w:r w:rsidR="00FA55CF">
        <w:rPr>
          <w:lang w:val="es-ES"/>
        </w:rPr>
        <w:t>con industrias específicas admisibles</w:t>
      </w:r>
      <w:r w:rsidR="00AB4968" w:rsidRPr="00FA55CF">
        <w:rPr>
          <w:lang w:val="es-ES"/>
        </w:rPr>
        <w:t xml:space="preserve">; </w:t>
      </w:r>
    </w:p>
    <w:p w14:paraId="64154B6F" w14:textId="29B223FF" w:rsidR="00AB4968" w:rsidRPr="00FA55CF" w:rsidRDefault="00FA55CF" w:rsidP="00846A22">
      <w:pPr>
        <w:pStyle w:val="Heading2"/>
        <w:tabs>
          <w:tab w:val="left" w:pos="4230"/>
        </w:tabs>
        <w:rPr>
          <w:lang w:val="es-ES"/>
        </w:rPr>
      </w:pPr>
      <w:r w:rsidRPr="00FA55CF">
        <w:rPr>
          <w:lang w:val="es-ES"/>
        </w:rPr>
        <w:t>Las dificultades que tienen los países de bajo consumo en cuanto a la demostraci</w:t>
      </w:r>
      <w:r>
        <w:rPr>
          <w:lang w:val="es-ES"/>
        </w:rPr>
        <w:t>ó</w:t>
      </w:r>
      <w:r w:rsidRPr="00FA55CF">
        <w:rPr>
          <w:lang w:val="es-ES"/>
        </w:rPr>
        <w:t>n de tecnolog</w:t>
      </w:r>
      <w:r>
        <w:rPr>
          <w:lang w:val="es-ES"/>
        </w:rPr>
        <w:t>ías alternativas y la capacidad de ampliación debido a</w:t>
      </w:r>
      <w:r w:rsidR="00832845">
        <w:rPr>
          <w:lang w:val="es-ES"/>
        </w:rPr>
        <w:t xml:space="preserve"> </w:t>
      </w:r>
      <w:r>
        <w:rPr>
          <w:lang w:val="es-ES"/>
        </w:rPr>
        <w:t>l</w:t>
      </w:r>
      <w:r w:rsidR="00832845">
        <w:rPr>
          <w:lang w:val="es-ES"/>
        </w:rPr>
        <w:t>a limitada</w:t>
      </w:r>
      <w:r>
        <w:rPr>
          <w:lang w:val="es-ES"/>
        </w:rPr>
        <w:t xml:space="preserve"> </w:t>
      </w:r>
      <w:r w:rsidR="00832845">
        <w:rPr>
          <w:lang w:val="es-ES"/>
        </w:rPr>
        <w:t>financiación</w:t>
      </w:r>
      <w:r>
        <w:rPr>
          <w:lang w:val="es-ES"/>
        </w:rPr>
        <w:t xml:space="preserve"> disponible</w:t>
      </w:r>
      <w:r w:rsidR="00AB4968" w:rsidRPr="00FA55CF">
        <w:rPr>
          <w:lang w:val="es-ES"/>
        </w:rPr>
        <w:t xml:space="preserve">; </w:t>
      </w:r>
    </w:p>
    <w:p w14:paraId="1FFBCAE7" w14:textId="1AD6CD58" w:rsidR="00AB4968" w:rsidRPr="00FA55CF" w:rsidRDefault="00FA55CF" w:rsidP="00846A22">
      <w:pPr>
        <w:pStyle w:val="Heading2"/>
        <w:keepNext/>
        <w:keepLines/>
        <w:rPr>
          <w:lang w:val="es-ES"/>
        </w:rPr>
      </w:pPr>
      <w:r w:rsidRPr="00FA55CF">
        <w:rPr>
          <w:lang w:val="es-ES"/>
        </w:rPr>
        <w:lastRenderedPageBreak/>
        <w:t>Atención especial al subsector de ensamblaje en el sector de mante</w:t>
      </w:r>
      <w:r>
        <w:rPr>
          <w:lang w:val="es-ES"/>
        </w:rPr>
        <w:t>nimiento y</w:t>
      </w:r>
      <w:r w:rsidRPr="00FA55CF">
        <w:rPr>
          <w:lang w:val="es-ES"/>
        </w:rPr>
        <w:t xml:space="preserve"> </w:t>
      </w:r>
      <w:r>
        <w:rPr>
          <w:lang w:val="es-ES"/>
        </w:rPr>
        <w:t xml:space="preserve">el tratamiento de las </w:t>
      </w:r>
      <w:r w:rsidRPr="00FA55CF">
        <w:rPr>
          <w:lang w:val="es-ES"/>
        </w:rPr>
        <w:t xml:space="preserve">actividades de </w:t>
      </w:r>
      <w:r>
        <w:rPr>
          <w:lang w:val="es-ES"/>
        </w:rPr>
        <w:t>este subsector de manera diferente a otras actividades del sector de mantenimiento</w:t>
      </w:r>
      <w:r w:rsidR="00AB4968" w:rsidRPr="00FA55CF">
        <w:rPr>
          <w:lang w:val="es-ES"/>
        </w:rPr>
        <w:t xml:space="preserve">; </w:t>
      </w:r>
      <w:r>
        <w:rPr>
          <w:lang w:val="es-ES"/>
        </w:rPr>
        <w:t>y</w:t>
      </w:r>
      <w:r w:rsidR="00AB4968" w:rsidRPr="00FA55CF">
        <w:rPr>
          <w:lang w:val="es-ES"/>
        </w:rPr>
        <w:t xml:space="preserve"> </w:t>
      </w:r>
    </w:p>
    <w:p w14:paraId="19A3B0C6" w14:textId="6F6F4A0A" w:rsidR="00AB4968" w:rsidRPr="00FA55CF" w:rsidRDefault="001D69F7" w:rsidP="00846A22">
      <w:pPr>
        <w:pStyle w:val="Heading2"/>
        <w:keepNext/>
        <w:keepLines/>
        <w:rPr>
          <w:lang w:val="es-ES"/>
        </w:rPr>
      </w:pPr>
      <w:r w:rsidRPr="00FA55CF">
        <w:rPr>
          <w:lang w:val="es-ES"/>
        </w:rPr>
        <w:t xml:space="preserve">En el contexto de la Enmienda de </w:t>
      </w:r>
      <w:r w:rsidR="00AB4968" w:rsidRPr="00FA55CF">
        <w:rPr>
          <w:lang w:val="es-ES"/>
        </w:rPr>
        <w:t>Kigali</w:t>
      </w:r>
      <w:r w:rsidR="00FA55CF">
        <w:rPr>
          <w:lang w:val="es-ES"/>
        </w:rPr>
        <w:t xml:space="preserve"> y</w:t>
      </w:r>
      <w:r w:rsidR="00AB4968" w:rsidRPr="00FA55CF">
        <w:rPr>
          <w:lang w:val="es-ES"/>
        </w:rPr>
        <w:t xml:space="preserve"> </w:t>
      </w:r>
      <w:r w:rsidR="00DB44AC" w:rsidRPr="00FA55CF">
        <w:rPr>
          <w:lang w:val="es-ES"/>
        </w:rPr>
        <w:t>t</w:t>
      </w:r>
      <w:r w:rsidRPr="00FA55CF">
        <w:rPr>
          <w:lang w:val="es-ES"/>
        </w:rPr>
        <w:t xml:space="preserve">eniendo en cuenta </w:t>
      </w:r>
      <w:r w:rsidR="00FA55CF" w:rsidRPr="00FA55CF">
        <w:rPr>
          <w:lang w:val="es-ES"/>
        </w:rPr>
        <w:t>la eficacia en función de los costos</w:t>
      </w:r>
      <w:r w:rsidR="00AB4968" w:rsidRPr="00FA55CF">
        <w:rPr>
          <w:lang w:val="es-ES"/>
        </w:rPr>
        <w:t xml:space="preserve"> </w:t>
      </w:r>
      <w:r w:rsidRPr="00FA55CF">
        <w:rPr>
          <w:lang w:val="es-ES"/>
        </w:rPr>
        <w:t xml:space="preserve">basada en el equivalente de </w:t>
      </w:r>
      <w:r w:rsidR="00AB4968" w:rsidRPr="00FA55CF">
        <w:rPr>
          <w:lang w:val="es-ES"/>
        </w:rPr>
        <w:t>CO</w:t>
      </w:r>
      <w:r w:rsidR="00AB4968" w:rsidRPr="00FA55CF">
        <w:rPr>
          <w:vertAlign w:val="subscript"/>
          <w:lang w:val="es-ES"/>
        </w:rPr>
        <w:t>2</w:t>
      </w:r>
      <w:r w:rsidR="00AC04E1" w:rsidRPr="00FA55CF">
        <w:rPr>
          <w:lang w:val="es-ES"/>
        </w:rPr>
        <w:t>,</w:t>
      </w:r>
      <w:r w:rsidR="00AB4968" w:rsidRPr="00FA55CF">
        <w:rPr>
          <w:lang w:val="es-ES"/>
        </w:rPr>
        <w:t xml:space="preserve"> </w:t>
      </w:r>
      <w:r w:rsidR="00FA55CF" w:rsidRPr="00FA55CF">
        <w:rPr>
          <w:lang w:val="es-ES"/>
        </w:rPr>
        <w:t>la coordinación y la sinergia con las medidas e instituciones m</w:t>
      </w:r>
      <w:r w:rsidR="00FA55CF">
        <w:rPr>
          <w:lang w:val="es-ES"/>
        </w:rPr>
        <w:t xml:space="preserve">ás amplias relacionadas con el clima a niveles nacional e internacional en la preparación y aplicación de los planes de gestión de reducción de los </w:t>
      </w:r>
      <w:r w:rsidR="003364B4" w:rsidRPr="00FA55CF">
        <w:rPr>
          <w:lang w:val="es-ES"/>
        </w:rPr>
        <w:t>HFC</w:t>
      </w:r>
      <w:r w:rsidR="00AB4968" w:rsidRPr="00FA55CF">
        <w:rPr>
          <w:lang w:val="es-ES"/>
        </w:rPr>
        <w:t xml:space="preserve">. </w:t>
      </w:r>
    </w:p>
    <w:p w14:paraId="37C15FE4" w14:textId="1CBBDBD0" w:rsidR="00AB4968" w:rsidRPr="005A3A16" w:rsidRDefault="00AA6026" w:rsidP="00AB4968">
      <w:pPr>
        <w:keepNext/>
        <w:spacing w:after="240"/>
        <w:rPr>
          <w:b/>
          <w:bCs/>
        </w:rPr>
      </w:pPr>
      <w:r>
        <w:rPr>
          <w:b/>
          <w:bCs/>
        </w:rPr>
        <w:t>RECOM</w:t>
      </w:r>
      <w:r w:rsidR="00AB4968" w:rsidRPr="005A3A16">
        <w:rPr>
          <w:b/>
          <w:bCs/>
        </w:rPr>
        <w:t>ENDA</w:t>
      </w:r>
      <w:r>
        <w:rPr>
          <w:b/>
          <w:bCs/>
        </w:rPr>
        <w:t>C</w:t>
      </w:r>
      <w:r w:rsidR="00AB4968" w:rsidRPr="005A3A16">
        <w:rPr>
          <w:b/>
          <w:bCs/>
        </w:rPr>
        <w:t>I</w:t>
      </w:r>
      <w:r>
        <w:rPr>
          <w:b/>
          <w:bCs/>
        </w:rPr>
        <w:t>Ó</w:t>
      </w:r>
      <w:r w:rsidR="00AB4968" w:rsidRPr="005A3A16">
        <w:rPr>
          <w:b/>
          <w:bCs/>
        </w:rPr>
        <w:t>N</w:t>
      </w:r>
    </w:p>
    <w:p w14:paraId="10887E01" w14:textId="2100B291" w:rsidR="00AB4968" w:rsidRPr="00AA6026" w:rsidRDefault="00AA6026" w:rsidP="00AB4968">
      <w:pPr>
        <w:pStyle w:val="Heading1"/>
        <w:keepNext/>
        <w:rPr>
          <w:lang w:val="es-ES"/>
        </w:rPr>
      </w:pPr>
      <w:r w:rsidRPr="00AA6026">
        <w:rPr>
          <w:lang w:val="es-ES"/>
        </w:rPr>
        <w:t xml:space="preserve">El Comité </w:t>
      </w:r>
      <w:r w:rsidR="00AB4968" w:rsidRPr="00AA6026">
        <w:rPr>
          <w:lang w:val="es-ES"/>
        </w:rPr>
        <w:t>E</w:t>
      </w:r>
      <w:r w:rsidRPr="00AA6026">
        <w:rPr>
          <w:lang w:val="es-ES"/>
        </w:rPr>
        <w:t>j</w:t>
      </w:r>
      <w:r w:rsidR="00AB4968" w:rsidRPr="00AA6026">
        <w:rPr>
          <w:lang w:val="es-ES"/>
        </w:rPr>
        <w:t>ecutiv</w:t>
      </w:r>
      <w:r w:rsidRPr="00AA6026">
        <w:rPr>
          <w:lang w:val="es-ES"/>
        </w:rPr>
        <w:t>o</w:t>
      </w:r>
      <w:r w:rsidR="00AB4968" w:rsidRPr="00AA6026">
        <w:rPr>
          <w:lang w:val="es-ES"/>
        </w:rPr>
        <w:t xml:space="preserve"> </w:t>
      </w:r>
      <w:r w:rsidRPr="00AA6026">
        <w:rPr>
          <w:lang w:val="es-ES"/>
        </w:rPr>
        <w:t>tal vez desee</w:t>
      </w:r>
      <w:r w:rsidR="00AB4968" w:rsidRPr="00AA6026">
        <w:rPr>
          <w:lang w:val="es-ES"/>
        </w:rPr>
        <w:t>:</w:t>
      </w:r>
    </w:p>
    <w:p w14:paraId="5F56AD79" w14:textId="03BA2926" w:rsidR="00AB4968" w:rsidRPr="004D489B" w:rsidRDefault="00AB4968" w:rsidP="00AA6026">
      <w:pPr>
        <w:pStyle w:val="Heading2"/>
        <w:rPr>
          <w:lang w:val="es-ES"/>
        </w:rPr>
      </w:pPr>
      <w:r w:rsidRPr="004D489B">
        <w:rPr>
          <w:lang w:val="es-ES"/>
        </w:rPr>
        <w:t>T</w:t>
      </w:r>
      <w:r w:rsidR="004D489B" w:rsidRPr="004D489B">
        <w:rPr>
          <w:lang w:val="es-ES"/>
        </w:rPr>
        <w:t xml:space="preserve">omar nota del plan </w:t>
      </w:r>
      <w:r w:rsidR="004D489B">
        <w:rPr>
          <w:lang w:val="es-ES"/>
        </w:rPr>
        <w:t>administrativo</w:t>
      </w:r>
      <w:r w:rsidR="004D489B" w:rsidRPr="004D489B">
        <w:rPr>
          <w:lang w:val="es-ES"/>
        </w:rPr>
        <w:t xml:space="preserve"> del PNUD para</w:t>
      </w:r>
      <w:r w:rsidRPr="004D489B">
        <w:rPr>
          <w:lang w:val="es-ES"/>
        </w:rPr>
        <w:t xml:space="preserve"> 2021–2023, </w:t>
      </w:r>
      <w:r w:rsidR="004D489B">
        <w:rPr>
          <w:lang w:val="es-ES"/>
        </w:rPr>
        <w:t>que figura en el documento</w:t>
      </w:r>
      <w:r w:rsidRPr="004D489B">
        <w:rPr>
          <w:lang w:val="es-ES"/>
        </w:rPr>
        <w:t> UNEP/OzL.Pro/ExCom/86/</w:t>
      </w:r>
      <w:r w:rsidR="001E18D2" w:rsidRPr="004D489B">
        <w:rPr>
          <w:lang w:val="es-ES"/>
        </w:rPr>
        <w:t>27</w:t>
      </w:r>
      <w:r w:rsidRPr="004D489B">
        <w:rPr>
          <w:lang w:val="es-ES"/>
        </w:rPr>
        <w:t xml:space="preserve">; </w:t>
      </w:r>
      <w:r w:rsidR="004D489B">
        <w:rPr>
          <w:lang w:val="es-ES"/>
        </w:rPr>
        <w:t>y</w:t>
      </w:r>
    </w:p>
    <w:p w14:paraId="1B49F53E" w14:textId="39535FF0" w:rsidR="00E85409" w:rsidRPr="00D11899" w:rsidRDefault="00D11899" w:rsidP="004E7F9C">
      <w:pPr>
        <w:pStyle w:val="Heading2"/>
        <w:numPr>
          <w:ilvl w:val="1"/>
          <w:numId w:val="1"/>
        </w:numPr>
        <w:rPr>
          <w:lang w:val="es-ES"/>
        </w:rPr>
      </w:pPr>
      <w:r w:rsidRPr="00D11899">
        <w:rPr>
          <w:lang w:val="es-ES"/>
        </w:rPr>
        <w:t>Aprobar los indicadores de desempeño para el PNUD</w:t>
      </w:r>
      <w:r w:rsidR="00AB4968" w:rsidRPr="00D11899">
        <w:rPr>
          <w:lang w:val="es-ES"/>
        </w:rPr>
        <w:t xml:space="preserve"> </w:t>
      </w:r>
      <w:r>
        <w:rPr>
          <w:lang w:val="es-ES"/>
        </w:rPr>
        <w:t>establecidos en el cuadro</w:t>
      </w:r>
      <w:r w:rsidR="00AB4968" w:rsidRPr="00D11899">
        <w:rPr>
          <w:lang w:val="es-ES"/>
        </w:rPr>
        <w:t xml:space="preserve"> </w:t>
      </w:r>
      <w:r w:rsidR="008562A6" w:rsidRPr="00D11899">
        <w:rPr>
          <w:lang w:val="es-ES"/>
        </w:rPr>
        <w:t xml:space="preserve">5 </w:t>
      </w:r>
      <w:r>
        <w:rPr>
          <w:lang w:val="es-ES"/>
        </w:rPr>
        <w:t xml:space="preserve">del </w:t>
      </w:r>
      <w:r w:rsidR="00AB4968" w:rsidRPr="00D11899">
        <w:rPr>
          <w:lang w:val="es-ES"/>
        </w:rPr>
        <w:t>document</w:t>
      </w:r>
      <w:r>
        <w:rPr>
          <w:lang w:val="es-ES"/>
        </w:rPr>
        <w:t>o</w:t>
      </w:r>
      <w:r w:rsidR="00AB4968" w:rsidRPr="00D11899">
        <w:rPr>
          <w:lang w:val="es-ES"/>
        </w:rPr>
        <w:t> UNEP/OzL.Pro/ExCom/86/</w:t>
      </w:r>
      <w:r w:rsidR="001E18D2" w:rsidRPr="00D11899">
        <w:rPr>
          <w:lang w:val="es-ES"/>
        </w:rPr>
        <w:t>27</w:t>
      </w:r>
      <w:r w:rsidR="00AB4968" w:rsidRPr="00D11899">
        <w:rPr>
          <w:lang w:val="es-ES"/>
        </w:rPr>
        <w:t>.</w:t>
      </w:r>
    </w:p>
    <w:sectPr w:rsidR="00E85409" w:rsidRPr="00D11899"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0F99A" w14:textId="77777777" w:rsidR="003E6E29" w:rsidRDefault="003E6E29" w:rsidP="004A504B">
      <w:r>
        <w:separator/>
      </w:r>
    </w:p>
  </w:endnote>
  <w:endnote w:type="continuationSeparator" w:id="0">
    <w:p w14:paraId="516330A4" w14:textId="77777777" w:rsidR="003E6E29" w:rsidRDefault="003E6E2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870B" w14:textId="5A76DD3B" w:rsidR="007B63DE" w:rsidRPr="0033525D" w:rsidRDefault="007B5A9B">
    <w:pPr>
      <w:jc w:val="center"/>
    </w:pPr>
    <w:r>
      <w:rPr>
        <w:noProof/>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29CF" w14:textId="5ACFBF25" w:rsidR="007B63DE" w:rsidRPr="0033525D" w:rsidRDefault="007B5A9B">
    <w:pPr>
      <w:jc w:val="center"/>
    </w:pPr>
    <w:r>
      <w:rPr>
        <w:noProof/>
      </w:rPr>
      <w:t>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21A94" w14:textId="10BD6C47" w:rsidR="007B63DE" w:rsidRPr="00AC65D6" w:rsidRDefault="007B63DE" w:rsidP="00AC65D6">
    <w:pPr>
      <w:pBdr>
        <w:top w:val="single" w:sz="4" w:space="1" w:color="auto"/>
        <w:left w:val="single" w:sz="4" w:space="4" w:color="auto"/>
        <w:bottom w:val="single" w:sz="4" w:space="1" w:color="auto"/>
        <w:right w:val="single" w:sz="4" w:space="4" w:color="auto"/>
      </w:pBdr>
      <w:ind w:right="-90"/>
      <w:jc w:val="center"/>
      <w:rPr>
        <w:sz w:val="18"/>
        <w:szCs w:val="18"/>
        <w:lang w:val="es-ES"/>
      </w:rPr>
    </w:pPr>
    <w:r w:rsidRPr="00AC65D6">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8CF15" w14:textId="77777777" w:rsidR="003E6E29" w:rsidRDefault="003E6E29" w:rsidP="004A504B">
      <w:r>
        <w:separator/>
      </w:r>
    </w:p>
  </w:footnote>
  <w:footnote w:type="continuationSeparator" w:id="0">
    <w:p w14:paraId="401321CC" w14:textId="77777777" w:rsidR="003E6E29" w:rsidRDefault="003E6E29" w:rsidP="004A504B">
      <w:r>
        <w:continuationSeparator/>
      </w:r>
    </w:p>
  </w:footnote>
  <w:footnote w:id="1">
    <w:p w14:paraId="3342E8A9" w14:textId="24CE6FC2" w:rsidR="007B63DE" w:rsidRPr="002A4419" w:rsidRDefault="007B63DE">
      <w:pPr>
        <w:pStyle w:val="FootnoteText"/>
        <w:rPr>
          <w:lang w:val="en-US"/>
        </w:rPr>
      </w:pPr>
      <w:r w:rsidRPr="005A3A16">
        <w:rPr>
          <w:rStyle w:val="FootnoteReference"/>
        </w:rPr>
        <w:footnoteRef/>
      </w:r>
      <w:r w:rsidRPr="002A4419">
        <w:rPr>
          <w:lang w:val="en-US"/>
        </w:rPr>
        <w:t xml:space="preserve"> Debido al coronavirus (COVID-19)</w:t>
      </w:r>
    </w:p>
  </w:footnote>
  <w:footnote w:id="2">
    <w:p w14:paraId="7BB65BDE" w14:textId="72784D7D" w:rsidR="007B63DE" w:rsidRDefault="007B63DE" w:rsidP="002A4419">
      <w:pPr>
        <w:pStyle w:val="FootnoteText"/>
        <w:rPr>
          <w:lang w:val="es-ES"/>
        </w:rPr>
      </w:pPr>
      <w:r w:rsidRPr="005A3A16">
        <w:rPr>
          <w:rStyle w:val="FootnoteReference"/>
        </w:rPr>
        <w:footnoteRef/>
      </w:r>
      <w:r w:rsidRPr="002A4419">
        <w:rPr>
          <w:lang w:val="es-ES"/>
        </w:rPr>
        <w:t xml:space="preserve"> Dadas las limitaciones impuestas por la pandemia del COVID-19, las observaciones de la Secretaría sobre la presentación inicial del plan administrativ</w:t>
      </w:r>
      <w:r>
        <w:rPr>
          <w:lang w:val="es-ES"/>
        </w:rPr>
        <w:t>o</w:t>
      </w:r>
      <w:r w:rsidRPr="002A4419">
        <w:rPr>
          <w:lang w:val="es-ES"/>
        </w:rPr>
        <w:t xml:space="preserve"> del PNUD para 2021–2023 </w:t>
      </w:r>
      <w:r>
        <w:rPr>
          <w:lang w:val="es-ES"/>
        </w:rPr>
        <w:t>se abordaron por medio de deliberaciones bilaterales y numerosos intercambio</w:t>
      </w:r>
      <w:r w:rsidR="00AF4584">
        <w:rPr>
          <w:lang w:val="es-ES"/>
        </w:rPr>
        <w:t>s</w:t>
      </w:r>
      <w:r>
        <w:rPr>
          <w:lang w:val="es-ES"/>
        </w:rPr>
        <w:t xml:space="preserve"> de mensajes electrónicos</w:t>
      </w:r>
      <w:r w:rsidRPr="002A4419">
        <w:rPr>
          <w:lang w:val="es-ES"/>
        </w:rPr>
        <w:t xml:space="preserve">. </w:t>
      </w:r>
      <w:r>
        <w:rPr>
          <w:lang w:val="es-ES"/>
        </w:rPr>
        <w:t>Todas las cuestiones se abordaron satisfactoriamente</w:t>
      </w:r>
      <w:r w:rsidRPr="00AF4584">
        <w:rPr>
          <w:lang w:val="es-ES"/>
        </w:rPr>
        <w:t>.</w:t>
      </w:r>
    </w:p>
    <w:p w14:paraId="0C4199CB" w14:textId="77777777" w:rsidR="000B7C91" w:rsidRPr="00AF4584" w:rsidRDefault="000B7C91" w:rsidP="002A4419">
      <w:pPr>
        <w:pStyle w:val="FootnoteText"/>
        <w:rPr>
          <w:lang w:val="es-ES"/>
        </w:rPr>
      </w:pPr>
    </w:p>
  </w:footnote>
  <w:footnote w:id="3">
    <w:p w14:paraId="5DDD02B4" w14:textId="1241A0ED" w:rsidR="007B63DE" w:rsidRPr="00832845" w:rsidRDefault="007B63DE" w:rsidP="00EA7565">
      <w:pPr>
        <w:pStyle w:val="FootnoteText"/>
        <w:rPr>
          <w:lang w:val="es-ES"/>
        </w:rPr>
      </w:pPr>
      <w:r w:rsidRPr="005A3A16">
        <w:rPr>
          <w:rStyle w:val="FootnoteReference"/>
        </w:rPr>
        <w:footnoteRef/>
      </w:r>
      <w:r w:rsidR="00AF4584" w:rsidRPr="00AF4584">
        <w:rPr>
          <w:lang w:val="es-ES"/>
        </w:rPr>
        <w:t xml:space="preserve"> </w:t>
      </w:r>
      <w:r w:rsidR="00832845" w:rsidRPr="00832845">
        <w:rPr>
          <w:lang w:val="es-ES"/>
        </w:rPr>
        <w:t>La financiación para la preparación de planes nacionales de ejecución para cumplir las obligaciones iniciales de reducción para la reducción de los HFC se podría proporcionar, como mínimo, cinco años antes de la fecha de cumplimiento de esas obligaciones, después de que un país haya ratificado la Enmienda de Kigali y sobre la base de las directrices que se hayan de aprobar en el futuro</w:t>
      </w:r>
      <w:r w:rsidR="00832845" w:rsidRPr="00AF4584">
        <w:rPr>
          <w:lang w:val="es-ES"/>
        </w:rPr>
        <w:t xml:space="preserve"> </w:t>
      </w:r>
      <w:r w:rsidRPr="00AF4584">
        <w:rPr>
          <w:lang w:val="es-ES"/>
        </w:rPr>
        <w:t>(decisi</w:t>
      </w:r>
      <w:r w:rsidR="00832845">
        <w:rPr>
          <w:lang w:val="es-ES"/>
        </w:rPr>
        <w:t>ó</w:t>
      </w:r>
      <w:r w:rsidRPr="00AF4584">
        <w:rPr>
          <w:lang w:val="es-ES"/>
        </w:rPr>
        <w:t>n 79/46</w:t>
      </w:r>
      <w:r w:rsidR="00832845">
        <w:rPr>
          <w:lang w:val="es-ES"/>
        </w:rPr>
        <w:t xml:space="preserve"> </w:t>
      </w:r>
      <w:r w:rsidRPr="00AF4584">
        <w:rPr>
          <w:lang w:val="es-ES"/>
        </w:rPr>
        <w:t>b)</w:t>
      </w:r>
      <w:r w:rsidR="00832845">
        <w:rPr>
          <w:lang w:val="es-ES"/>
        </w:rPr>
        <w:t xml:space="preserve"> </w:t>
      </w:r>
      <w:r w:rsidRPr="00AF4584">
        <w:rPr>
          <w:lang w:val="es-ES"/>
        </w:rPr>
        <w:t xml:space="preserve">iii)). </w:t>
      </w:r>
      <w:r w:rsidR="00832845" w:rsidRPr="00832845">
        <w:rPr>
          <w:lang w:val="es-ES"/>
        </w:rPr>
        <w:t>Además, en la decisión</w:t>
      </w:r>
      <w:r w:rsidRPr="00832845">
        <w:rPr>
          <w:lang w:val="es-ES"/>
        </w:rPr>
        <w:t> 84/46</w:t>
      </w:r>
      <w:r w:rsidR="00832845" w:rsidRPr="00832845">
        <w:rPr>
          <w:lang w:val="es-ES"/>
        </w:rPr>
        <w:t xml:space="preserve"> </w:t>
      </w:r>
      <w:r w:rsidRPr="00832845">
        <w:rPr>
          <w:lang w:val="es-ES"/>
        </w:rPr>
        <w:t xml:space="preserve">f) </w:t>
      </w:r>
      <w:r w:rsidR="00832845" w:rsidRPr="00832845">
        <w:rPr>
          <w:lang w:val="es-ES"/>
        </w:rPr>
        <w:t xml:space="preserve">se permite la </w:t>
      </w:r>
      <w:r w:rsidR="00832845">
        <w:rPr>
          <w:lang w:val="es-ES"/>
        </w:rPr>
        <w:t>inclusión</w:t>
      </w:r>
      <w:r w:rsidR="00832845" w:rsidRPr="00832845">
        <w:rPr>
          <w:lang w:val="es-ES"/>
        </w:rPr>
        <w:t xml:space="preserve"> </w:t>
      </w:r>
      <w:r w:rsidR="00832845">
        <w:rPr>
          <w:lang w:val="es-ES"/>
        </w:rPr>
        <w:t xml:space="preserve">en el plan administrativo </w:t>
      </w:r>
      <w:r w:rsidR="00832845" w:rsidRPr="00832845">
        <w:rPr>
          <w:lang w:val="es-ES"/>
        </w:rPr>
        <w:t>de actividades de preparación para la reducción de los HFC para los países que no h</w:t>
      </w:r>
      <w:r w:rsidR="00832845">
        <w:rPr>
          <w:lang w:val="es-ES"/>
        </w:rPr>
        <w:t>ubieran</w:t>
      </w:r>
      <w:r w:rsidR="00832845" w:rsidRPr="00832845">
        <w:rPr>
          <w:lang w:val="es-ES"/>
        </w:rPr>
        <w:t xml:space="preserve"> ratificado la Enmienda de Kigali pero que h</w:t>
      </w:r>
      <w:r w:rsidR="00832845">
        <w:rPr>
          <w:lang w:val="es-ES"/>
        </w:rPr>
        <w:t xml:space="preserve">ubiesen </w:t>
      </w:r>
      <w:r w:rsidR="00832845" w:rsidRPr="00832845">
        <w:rPr>
          <w:lang w:val="es-ES"/>
        </w:rPr>
        <w:t xml:space="preserve">presentado una carta </w:t>
      </w:r>
      <w:r w:rsidR="00832845">
        <w:rPr>
          <w:lang w:val="es-ES"/>
        </w:rPr>
        <w:t xml:space="preserve">en </w:t>
      </w:r>
      <w:r w:rsidR="00832845" w:rsidRPr="00832845">
        <w:rPr>
          <w:lang w:val="es-ES"/>
        </w:rPr>
        <w:t>que</w:t>
      </w:r>
      <w:r w:rsidR="00832845">
        <w:rPr>
          <w:lang w:val="es-ES"/>
        </w:rPr>
        <w:t xml:space="preserve"> se</w:t>
      </w:r>
      <w:r w:rsidR="00832845" w:rsidRPr="00832845">
        <w:rPr>
          <w:lang w:val="es-ES"/>
        </w:rPr>
        <w:t xml:space="preserve"> indica</w:t>
      </w:r>
      <w:r w:rsidR="00832845">
        <w:rPr>
          <w:lang w:val="es-ES"/>
        </w:rPr>
        <w:t>r</w:t>
      </w:r>
      <w:r w:rsidR="00832845" w:rsidRPr="00832845">
        <w:rPr>
          <w:lang w:val="es-ES"/>
        </w:rPr>
        <w:t>a la intención de su</w:t>
      </w:r>
      <w:r w:rsidR="005A7267">
        <w:rPr>
          <w:lang w:val="es-ES"/>
        </w:rPr>
        <w:t>s</w:t>
      </w:r>
      <w:r w:rsidR="00832845" w:rsidRPr="00832845">
        <w:rPr>
          <w:lang w:val="es-ES"/>
        </w:rPr>
        <w:t xml:space="preserve"> </w:t>
      </w:r>
      <w:r w:rsidR="005A7267">
        <w:rPr>
          <w:lang w:val="es-ES"/>
        </w:rPr>
        <w:t>g</w:t>
      </w:r>
      <w:r w:rsidR="00832845" w:rsidRPr="00832845">
        <w:rPr>
          <w:lang w:val="es-ES"/>
        </w:rPr>
        <w:t>obierno</w:t>
      </w:r>
      <w:r w:rsidR="005A7267">
        <w:rPr>
          <w:lang w:val="es-ES"/>
        </w:rPr>
        <w:t>s</w:t>
      </w:r>
      <w:r w:rsidR="00832845" w:rsidRPr="00832845">
        <w:rPr>
          <w:lang w:val="es-ES"/>
        </w:rPr>
        <w:t xml:space="preserve"> de hacer todo lo posible para ratificar la Enmienda de Kigali</w:t>
      </w:r>
      <w:r w:rsidRPr="00832845">
        <w:rPr>
          <w:lang w:val="es-ES"/>
        </w:rPr>
        <w:t>.</w:t>
      </w:r>
    </w:p>
  </w:footnote>
  <w:footnote w:id="4">
    <w:p w14:paraId="02BD9267" w14:textId="475CBD8B" w:rsidR="007B63DE" w:rsidRPr="00602100" w:rsidRDefault="007B63DE" w:rsidP="00AB4968">
      <w:pPr>
        <w:pStyle w:val="FootnoteText"/>
        <w:rPr>
          <w:lang w:val="es-ES"/>
        </w:rPr>
      </w:pPr>
      <w:r w:rsidRPr="005A3A16">
        <w:rPr>
          <w:rStyle w:val="FootnoteReference"/>
        </w:rPr>
        <w:footnoteRef/>
      </w:r>
      <w:r w:rsidRPr="00602100">
        <w:rPr>
          <w:lang w:val="es-ES"/>
        </w:rPr>
        <w:t xml:space="preserve"> El costo de la dependencia central del PNUD para 2021 se ha aprobado en el proceso de aprobación entre reunion</w:t>
      </w:r>
      <w:r>
        <w:rPr>
          <w:lang w:val="es-ES"/>
        </w:rPr>
        <w:t>e</w:t>
      </w:r>
      <w:r w:rsidRPr="00602100">
        <w:rPr>
          <w:lang w:val="es-ES"/>
        </w:rPr>
        <w:t xml:space="preserve">s </w:t>
      </w:r>
      <w:r>
        <w:rPr>
          <w:lang w:val="es-ES"/>
        </w:rPr>
        <w:t>para</w:t>
      </w:r>
      <w:r w:rsidRPr="00602100">
        <w:rPr>
          <w:lang w:val="es-ES"/>
        </w:rPr>
        <w:t xml:space="preserve"> la 86</w:t>
      </w:r>
      <w:r>
        <w:rPr>
          <w:vertAlign w:val="superscript"/>
          <w:lang w:val="es-ES"/>
        </w:rPr>
        <w:t>a</w:t>
      </w:r>
      <w:r>
        <w:rPr>
          <w:lang w:val="es-ES"/>
        </w:rPr>
        <w:t xml:space="preserve"> reunión </w:t>
      </w:r>
      <w:r w:rsidRPr="00602100">
        <w:rPr>
          <w:lang w:val="es-ES"/>
        </w:rPr>
        <w:t>(UNEP/OzL.Pro/ExCom/86/37).</w:t>
      </w:r>
    </w:p>
  </w:footnote>
  <w:footnote w:id="5">
    <w:p w14:paraId="3DA6392F" w14:textId="7666D6D3" w:rsidR="007B63DE" w:rsidRPr="00602100" w:rsidRDefault="007B63DE" w:rsidP="00E763AC">
      <w:pPr>
        <w:pStyle w:val="FootnoteText"/>
        <w:rPr>
          <w:lang w:val="es-ES"/>
        </w:rPr>
      </w:pPr>
      <w:r w:rsidRPr="005A3A16">
        <w:rPr>
          <w:rStyle w:val="FootnoteReference"/>
        </w:rPr>
        <w:footnoteRef/>
      </w:r>
      <w:r w:rsidRPr="00602100">
        <w:rPr>
          <w:lang w:val="es-ES"/>
        </w:rPr>
        <w:t xml:space="preserve"> Debido a que las Partes no han adoptado una decisi</w:t>
      </w:r>
      <w:r>
        <w:rPr>
          <w:lang w:val="es-ES"/>
        </w:rPr>
        <w:t>ó</w:t>
      </w:r>
      <w:r w:rsidRPr="00602100">
        <w:rPr>
          <w:lang w:val="es-ES"/>
        </w:rPr>
        <w:t>n sobre el nivel de reposición del Fondo Multilateral para el trienio 2021</w:t>
      </w:r>
      <w:r w:rsidRPr="00602100">
        <w:rPr>
          <w:lang w:val="es-ES"/>
        </w:rPr>
        <w:noBreakHyphen/>
        <w:t>2023, y teniendo en cuenta la decisión XXXII/1, se parti</w:t>
      </w:r>
      <w:r>
        <w:rPr>
          <w:lang w:val="es-ES"/>
        </w:rPr>
        <w:t xml:space="preserve">ó del supuesto de que el presupuesto indicativo para la asignación de recursos del plan administrativo para </w:t>
      </w:r>
      <w:r w:rsidRPr="00602100">
        <w:rPr>
          <w:lang w:val="es-ES"/>
        </w:rPr>
        <w:t xml:space="preserve">2021–2023 </w:t>
      </w:r>
      <w:r>
        <w:rPr>
          <w:lang w:val="es-ES"/>
        </w:rPr>
        <w:t xml:space="preserve">tendría el mismo nivel que la reposición del trienio </w:t>
      </w:r>
      <w:r w:rsidRPr="00602100">
        <w:rPr>
          <w:lang w:val="es-ES"/>
        </w:rPr>
        <w:t xml:space="preserve">2018–2020. </w:t>
      </w:r>
      <w:r>
        <w:rPr>
          <w:lang w:val="es-ES"/>
        </w:rPr>
        <w:t xml:space="preserve">Esta cuestión se analiza en el documento </w:t>
      </w:r>
      <w:r w:rsidRPr="00602100">
        <w:rPr>
          <w:lang w:val="es-ES"/>
        </w:rPr>
        <w:t>UNEP/OzL.Pro/ExCom/86/25.</w:t>
      </w:r>
    </w:p>
  </w:footnote>
  <w:footnote w:id="6">
    <w:p w14:paraId="2CEC89A8" w14:textId="77777777" w:rsidR="007B63DE" w:rsidRPr="005A3A16" w:rsidRDefault="007B63DE" w:rsidP="00AB4968">
      <w:pPr>
        <w:pStyle w:val="FootnoteText"/>
        <w:rPr>
          <w:lang w:val="en-CA"/>
        </w:rPr>
      </w:pPr>
      <w:r w:rsidRPr="005A3A16">
        <w:rPr>
          <w:rStyle w:val="FootnoteReference"/>
        </w:rPr>
        <w:footnoteRef/>
      </w:r>
      <w:r w:rsidRPr="005A3A16">
        <w:t xml:space="preserve"> UNEP/OzL.Pro/ExCom/86/25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1F7" w14:textId="77777777" w:rsidR="007B63DE" w:rsidRPr="0033525D" w:rsidRDefault="003E6E29">
    <w:r>
      <w:fldChar w:fldCharType="begin"/>
    </w:r>
    <w:r>
      <w:instrText xml:space="preserve"> DOCPROPERTY "Document number"  \* MERGEFORMAT </w:instrText>
    </w:r>
    <w:r>
      <w:fldChar w:fldCharType="separate"/>
    </w:r>
    <w:r w:rsidR="007B63DE">
      <w:t>UNEP/</w:t>
    </w:r>
    <w:proofErr w:type="spellStart"/>
    <w:r w:rsidR="007B63DE">
      <w:t>OzL.Pro</w:t>
    </w:r>
    <w:proofErr w:type="spellEnd"/>
    <w:r w:rsidR="007B63DE">
      <w:t>/</w:t>
    </w:r>
    <w:proofErr w:type="spellStart"/>
    <w:r w:rsidR="007B63DE">
      <w:t>ExCom</w:t>
    </w:r>
    <w:proofErr w:type="spellEnd"/>
    <w:r w:rsidR="007B63DE">
      <w:t>/86/27</w:t>
    </w:r>
    <w:r>
      <w:fldChar w:fldCharType="end"/>
    </w:r>
  </w:p>
  <w:p w14:paraId="286D37E0" w14:textId="77777777" w:rsidR="007B63DE" w:rsidRPr="0033525D" w:rsidRDefault="007B63DE"/>
  <w:p w14:paraId="0105495F" w14:textId="77777777" w:rsidR="007B63DE" w:rsidRPr="0033525D" w:rsidRDefault="007B63D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2928" w14:textId="77777777" w:rsidR="007B63DE" w:rsidRPr="0033525D" w:rsidRDefault="003E6E29">
    <w:pPr>
      <w:jc w:val="right"/>
    </w:pPr>
    <w:r>
      <w:fldChar w:fldCharType="begin"/>
    </w:r>
    <w:r>
      <w:instrText xml:space="preserve"> DOCPROPERTY "Document number"  \* MERGEFORMAT </w:instrText>
    </w:r>
    <w:r>
      <w:fldChar w:fldCharType="separate"/>
    </w:r>
    <w:r w:rsidR="007B63DE">
      <w:t>UNEP/</w:t>
    </w:r>
    <w:proofErr w:type="spellStart"/>
    <w:r w:rsidR="007B63DE">
      <w:t>OzL.Pro</w:t>
    </w:r>
    <w:proofErr w:type="spellEnd"/>
    <w:r w:rsidR="007B63DE">
      <w:t>/</w:t>
    </w:r>
    <w:proofErr w:type="spellStart"/>
    <w:r w:rsidR="007B63DE">
      <w:t>ExCom</w:t>
    </w:r>
    <w:proofErr w:type="spellEnd"/>
    <w:r w:rsidR="007B63DE">
      <w:t>/86/27</w:t>
    </w:r>
    <w:r>
      <w:fldChar w:fldCharType="end"/>
    </w:r>
  </w:p>
  <w:p w14:paraId="70B3A012" w14:textId="77777777" w:rsidR="007B63DE" w:rsidRPr="0033525D" w:rsidRDefault="007B63DE"/>
  <w:p w14:paraId="3610C9C0" w14:textId="77777777" w:rsidR="007B63DE" w:rsidRPr="0033525D" w:rsidRDefault="007B63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40C937A"/>
    <w:lvl w:ilvl="0">
      <w:start w:val="1"/>
      <w:numFmt w:val="decimal"/>
      <w:pStyle w:val="Heading1"/>
      <w:lvlText w:val="%1."/>
      <w:lvlJc w:val="left"/>
      <w:pPr>
        <w:tabs>
          <w:tab w:val="num" w:pos="0"/>
        </w:tabs>
        <w:ind w:left="0" w:firstLine="0"/>
      </w:pPr>
      <w:rPr>
        <w:lang w:val="es-ES"/>
      </w:rPr>
    </w:lvl>
    <w:lvl w:ilvl="1">
      <w:start w:val="1"/>
      <w:numFmt w:val="lowerLetter"/>
      <w:pStyle w:val="Heading2"/>
      <w:lvlText w:val="%2)"/>
      <w:lvlJc w:val="left"/>
      <w:pPr>
        <w:tabs>
          <w:tab w:val="num" w:pos="0"/>
        </w:tabs>
        <w:ind w:left="1440" w:hanging="720"/>
      </w:pPr>
      <w:rPr>
        <w:rFonts w:ascii="Times New Roman" w:eastAsia="Times New Roman" w:hAnsi="Times New Roman" w:cs="Times New Roman"/>
        <w:lang w:val="es-ES"/>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AB4968"/>
    <w:rsid w:val="00000FED"/>
    <w:rsid w:val="0000434E"/>
    <w:rsid w:val="00017F19"/>
    <w:rsid w:val="000211A9"/>
    <w:rsid w:val="00031260"/>
    <w:rsid w:val="0003681A"/>
    <w:rsid w:val="000372B7"/>
    <w:rsid w:val="00037B17"/>
    <w:rsid w:val="000430D8"/>
    <w:rsid w:val="00045EE8"/>
    <w:rsid w:val="00050F6E"/>
    <w:rsid w:val="00052FD3"/>
    <w:rsid w:val="000570D1"/>
    <w:rsid w:val="00061EC2"/>
    <w:rsid w:val="000764C0"/>
    <w:rsid w:val="00080ED0"/>
    <w:rsid w:val="00085B8F"/>
    <w:rsid w:val="00090481"/>
    <w:rsid w:val="00095FAC"/>
    <w:rsid w:val="000A2277"/>
    <w:rsid w:val="000A3826"/>
    <w:rsid w:val="000A6C26"/>
    <w:rsid w:val="000B7C91"/>
    <w:rsid w:val="000D52A4"/>
    <w:rsid w:val="000E07BC"/>
    <w:rsid w:val="000F062E"/>
    <w:rsid w:val="000F1CD4"/>
    <w:rsid w:val="000F2A85"/>
    <w:rsid w:val="000F4103"/>
    <w:rsid w:val="000F70A7"/>
    <w:rsid w:val="001049A0"/>
    <w:rsid w:val="00113CCA"/>
    <w:rsid w:val="00122F25"/>
    <w:rsid w:val="00135980"/>
    <w:rsid w:val="00164719"/>
    <w:rsid w:val="00166FC4"/>
    <w:rsid w:val="001677AC"/>
    <w:rsid w:val="001804EA"/>
    <w:rsid w:val="00190A61"/>
    <w:rsid w:val="00196EBB"/>
    <w:rsid w:val="001A3342"/>
    <w:rsid w:val="001A3E3D"/>
    <w:rsid w:val="001A7049"/>
    <w:rsid w:val="001B1E40"/>
    <w:rsid w:val="001B375E"/>
    <w:rsid w:val="001C16E2"/>
    <w:rsid w:val="001C756A"/>
    <w:rsid w:val="001C764E"/>
    <w:rsid w:val="001D69F7"/>
    <w:rsid w:val="001E1052"/>
    <w:rsid w:val="001E18D2"/>
    <w:rsid w:val="001E21B1"/>
    <w:rsid w:val="001E2F93"/>
    <w:rsid w:val="001E338C"/>
    <w:rsid w:val="001E4554"/>
    <w:rsid w:val="001E61E5"/>
    <w:rsid w:val="001F2159"/>
    <w:rsid w:val="001F6FC1"/>
    <w:rsid w:val="00210B8B"/>
    <w:rsid w:val="00214863"/>
    <w:rsid w:val="002156B4"/>
    <w:rsid w:val="00224FCD"/>
    <w:rsid w:val="00234CC3"/>
    <w:rsid w:val="00241692"/>
    <w:rsid w:val="00253222"/>
    <w:rsid w:val="00262847"/>
    <w:rsid w:val="00281BB2"/>
    <w:rsid w:val="002A4419"/>
    <w:rsid w:val="002B254E"/>
    <w:rsid w:val="002B72E9"/>
    <w:rsid w:val="002C42E9"/>
    <w:rsid w:val="002C7998"/>
    <w:rsid w:val="002E0637"/>
    <w:rsid w:val="002F1795"/>
    <w:rsid w:val="002F1E53"/>
    <w:rsid w:val="002F1EB6"/>
    <w:rsid w:val="002F2CAA"/>
    <w:rsid w:val="0030052C"/>
    <w:rsid w:val="0031768B"/>
    <w:rsid w:val="003306E1"/>
    <w:rsid w:val="003320E4"/>
    <w:rsid w:val="0033525D"/>
    <w:rsid w:val="003364B4"/>
    <w:rsid w:val="003414F3"/>
    <w:rsid w:val="00352EDA"/>
    <w:rsid w:val="0035613E"/>
    <w:rsid w:val="00363CC2"/>
    <w:rsid w:val="00363EE9"/>
    <w:rsid w:val="00373B60"/>
    <w:rsid w:val="00376128"/>
    <w:rsid w:val="0037742E"/>
    <w:rsid w:val="00377D56"/>
    <w:rsid w:val="00380679"/>
    <w:rsid w:val="0038245A"/>
    <w:rsid w:val="003840E6"/>
    <w:rsid w:val="003843F5"/>
    <w:rsid w:val="00385CFC"/>
    <w:rsid w:val="0039337A"/>
    <w:rsid w:val="00395F36"/>
    <w:rsid w:val="003A1C61"/>
    <w:rsid w:val="003A3189"/>
    <w:rsid w:val="003A3CA7"/>
    <w:rsid w:val="003B33BD"/>
    <w:rsid w:val="003B34FA"/>
    <w:rsid w:val="003B3BDF"/>
    <w:rsid w:val="003B569D"/>
    <w:rsid w:val="003C38F8"/>
    <w:rsid w:val="003C3C0E"/>
    <w:rsid w:val="003C5BA5"/>
    <w:rsid w:val="003D42A6"/>
    <w:rsid w:val="003D4F21"/>
    <w:rsid w:val="003D4FAC"/>
    <w:rsid w:val="003E6E29"/>
    <w:rsid w:val="003E7906"/>
    <w:rsid w:val="003F3C50"/>
    <w:rsid w:val="003F58CF"/>
    <w:rsid w:val="004005F6"/>
    <w:rsid w:val="00406A6A"/>
    <w:rsid w:val="00406B22"/>
    <w:rsid w:val="00407BE6"/>
    <w:rsid w:val="00423951"/>
    <w:rsid w:val="004328A7"/>
    <w:rsid w:val="00434C74"/>
    <w:rsid w:val="0045359B"/>
    <w:rsid w:val="00456EB4"/>
    <w:rsid w:val="00463911"/>
    <w:rsid w:val="004718F3"/>
    <w:rsid w:val="00475040"/>
    <w:rsid w:val="004823C1"/>
    <w:rsid w:val="00493D40"/>
    <w:rsid w:val="004967B6"/>
    <w:rsid w:val="004A504B"/>
    <w:rsid w:val="004A6911"/>
    <w:rsid w:val="004B54E0"/>
    <w:rsid w:val="004B7384"/>
    <w:rsid w:val="004C4269"/>
    <w:rsid w:val="004D489B"/>
    <w:rsid w:val="004D6236"/>
    <w:rsid w:val="004D7F90"/>
    <w:rsid w:val="004E4DBB"/>
    <w:rsid w:val="004E4E41"/>
    <w:rsid w:val="004E7E74"/>
    <w:rsid w:val="004E7F9C"/>
    <w:rsid w:val="004F3493"/>
    <w:rsid w:val="004F5143"/>
    <w:rsid w:val="00512B09"/>
    <w:rsid w:val="005220ED"/>
    <w:rsid w:val="005224E7"/>
    <w:rsid w:val="005278BC"/>
    <w:rsid w:val="00533796"/>
    <w:rsid w:val="00537343"/>
    <w:rsid w:val="00543B7D"/>
    <w:rsid w:val="00555D75"/>
    <w:rsid w:val="00560DF0"/>
    <w:rsid w:val="0056759C"/>
    <w:rsid w:val="00574D8F"/>
    <w:rsid w:val="0059513E"/>
    <w:rsid w:val="00597EC8"/>
    <w:rsid w:val="005A3A16"/>
    <w:rsid w:val="005A6D9F"/>
    <w:rsid w:val="005A7267"/>
    <w:rsid w:val="005B48FF"/>
    <w:rsid w:val="005B49B1"/>
    <w:rsid w:val="005D363F"/>
    <w:rsid w:val="00602100"/>
    <w:rsid w:val="00604C15"/>
    <w:rsid w:val="006158D5"/>
    <w:rsid w:val="0062149A"/>
    <w:rsid w:val="00625D83"/>
    <w:rsid w:val="00657E9D"/>
    <w:rsid w:val="006623E7"/>
    <w:rsid w:val="00662B80"/>
    <w:rsid w:val="00663A6C"/>
    <w:rsid w:val="00664476"/>
    <w:rsid w:val="00670F6C"/>
    <w:rsid w:val="006852C7"/>
    <w:rsid w:val="006852CE"/>
    <w:rsid w:val="00692D14"/>
    <w:rsid w:val="006B65C7"/>
    <w:rsid w:val="006C1727"/>
    <w:rsid w:val="006C32FD"/>
    <w:rsid w:val="006C39CE"/>
    <w:rsid w:val="006C56E6"/>
    <w:rsid w:val="006C7646"/>
    <w:rsid w:val="006D0FCC"/>
    <w:rsid w:val="006D21F5"/>
    <w:rsid w:val="006E100F"/>
    <w:rsid w:val="006E126D"/>
    <w:rsid w:val="006E1FC3"/>
    <w:rsid w:val="00704CE9"/>
    <w:rsid w:val="0070616B"/>
    <w:rsid w:val="00706295"/>
    <w:rsid w:val="00706FDA"/>
    <w:rsid w:val="00711F9A"/>
    <w:rsid w:val="00713810"/>
    <w:rsid w:val="00721D8B"/>
    <w:rsid w:val="007303A5"/>
    <w:rsid w:val="00730B3E"/>
    <w:rsid w:val="0073420B"/>
    <w:rsid w:val="00735694"/>
    <w:rsid w:val="0074140D"/>
    <w:rsid w:val="0074760E"/>
    <w:rsid w:val="007526F3"/>
    <w:rsid w:val="00754ABA"/>
    <w:rsid w:val="00762482"/>
    <w:rsid w:val="00796BDA"/>
    <w:rsid w:val="007A1546"/>
    <w:rsid w:val="007A228C"/>
    <w:rsid w:val="007A368E"/>
    <w:rsid w:val="007A5868"/>
    <w:rsid w:val="007B04CE"/>
    <w:rsid w:val="007B5A9B"/>
    <w:rsid w:val="007B63DE"/>
    <w:rsid w:val="007B6871"/>
    <w:rsid w:val="007B7A2F"/>
    <w:rsid w:val="007C3D33"/>
    <w:rsid w:val="007D294A"/>
    <w:rsid w:val="007D47D2"/>
    <w:rsid w:val="007D5342"/>
    <w:rsid w:val="007D5BBA"/>
    <w:rsid w:val="007D6EC0"/>
    <w:rsid w:val="007D7E1D"/>
    <w:rsid w:val="007E3511"/>
    <w:rsid w:val="007F28D1"/>
    <w:rsid w:val="0080583F"/>
    <w:rsid w:val="00811CB9"/>
    <w:rsid w:val="008253EA"/>
    <w:rsid w:val="00831979"/>
    <w:rsid w:val="00832845"/>
    <w:rsid w:val="00846130"/>
    <w:rsid w:val="00846A22"/>
    <w:rsid w:val="00851352"/>
    <w:rsid w:val="00854C21"/>
    <w:rsid w:val="008562A6"/>
    <w:rsid w:val="00857077"/>
    <w:rsid w:val="00863230"/>
    <w:rsid w:val="00865BD0"/>
    <w:rsid w:val="00866F89"/>
    <w:rsid w:val="008717D8"/>
    <w:rsid w:val="0087215C"/>
    <w:rsid w:val="008744CC"/>
    <w:rsid w:val="00875D25"/>
    <w:rsid w:val="00876FAF"/>
    <w:rsid w:val="00880E35"/>
    <w:rsid w:val="008875FE"/>
    <w:rsid w:val="00887F8E"/>
    <w:rsid w:val="00896234"/>
    <w:rsid w:val="00897E43"/>
    <w:rsid w:val="008C5738"/>
    <w:rsid w:val="008C5912"/>
    <w:rsid w:val="008C7EAD"/>
    <w:rsid w:val="008D0CFE"/>
    <w:rsid w:val="008D6152"/>
    <w:rsid w:val="008F0F81"/>
    <w:rsid w:val="008F27BF"/>
    <w:rsid w:val="008F6021"/>
    <w:rsid w:val="00902DEB"/>
    <w:rsid w:val="009142EC"/>
    <w:rsid w:val="009154C3"/>
    <w:rsid w:val="009167CF"/>
    <w:rsid w:val="00923540"/>
    <w:rsid w:val="00926767"/>
    <w:rsid w:val="00930ED0"/>
    <w:rsid w:val="009361D5"/>
    <w:rsid w:val="009428A4"/>
    <w:rsid w:val="009435E9"/>
    <w:rsid w:val="00957F3A"/>
    <w:rsid w:val="009659F4"/>
    <w:rsid w:val="00970D60"/>
    <w:rsid w:val="0097548C"/>
    <w:rsid w:val="0099277C"/>
    <w:rsid w:val="0099390E"/>
    <w:rsid w:val="009960E5"/>
    <w:rsid w:val="009A7ADC"/>
    <w:rsid w:val="009C07DE"/>
    <w:rsid w:val="009C19B7"/>
    <w:rsid w:val="009C5ABB"/>
    <w:rsid w:val="009D7328"/>
    <w:rsid w:val="009D7C51"/>
    <w:rsid w:val="009E196C"/>
    <w:rsid w:val="009E5971"/>
    <w:rsid w:val="009F36BF"/>
    <w:rsid w:val="009F4DD8"/>
    <w:rsid w:val="00A111B6"/>
    <w:rsid w:val="00A26D27"/>
    <w:rsid w:val="00A376EE"/>
    <w:rsid w:val="00A42A99"/>
    <w:rsid w:val="00A5151A"/>
    <w:rsid w:val="00A53FD8"/>
    <w:rsid w:val="00A57E0A"/>
    <w:rsid w:val="00A73BAE"/>
    <w:rsid w:val="00A76E99"/>
    <w:rsid w:val="00A823F6"/>
    <w:rsid w:val="00A8719E"/>
    <w:rsid w:val="00A873E1"/>
    <w:rsid w:val="00AA0A89"/>
    <w:rsid w:val="00AA6026"/>
    <w:rsid w:val="00AA6429"/>
    <w:rsid w:val="00AB02E1"/>
    <w:rsid w:val="00AB4968"/>
    <w:rsid w:val="00AC01AA"/>
    <w:rsid w:val="00AC04E1"/>
    <w:rsid w:val="00AC4F72"/>
    <w:rsid w:val="00AC65D6"/>
    <w:rsid w:val="00AD25DF"/>
    <w:rsid w:val="00AE3873"/>
    <w:rsid w:val="00AE567F"/>
    <w:rsid w:val="00AF4584"/>
    <w:rsid w:val="00AF741A"/>
    <w:rsid w:val="00B01ADB"/>
    <w:rsid w:val="00B04161"/>
    <w:rsid w:val="00B056F9"/>
    <w:rsid w:val="00B11E3D"/>
    <w:rsid w:val="00B17E82"/>
    <w:rsid w:val="00B2119B"/>
    <w:rsid w:val="00B24E1E"/>
    <w:rsid w:val="00B4575A"/>
    <w:rsid w:val="00B575BA"/>
    <w:rsid w:val="00B71608"/>
    <w:rsid w:val="00B76429"/>
    <w:rsid w:val="00B928AB"/>
    <w:rsid w:val="00B95316"/>
    <w:rsid w:val="00B956D4"/>
    <w:rsid w:val="00B97446"/>
    <w:rsid w:val="00BA1573"/>
    <w:rsid w:val="00BA7432"/>
    <w:rsid w:val="00BB2764"/>
    <w:rsid w:val="00BC1AA0"/>
    <w:rsid w:val="00BC2495"/>
    <w:rsid w:val="00BC5F01"/>
    <w:rsid w:val="00BC7EB9"/>
    <w:rsid w:val="00BD2643"/>
    <w:rsid w:val="00BD56B1"/>
    <w:rsid w:val="00BD6558"/>
    <w:rsid w:val="00BF0708"/>
    <w:rsid w:val="00BF2F76"/>
    <w:rsid w:val="00BF3022"/>
    <w:rsid w:val="00BF3214"/>
    <w:rsid w:val="00BF5573"/>
    <w:rsid w:val="00C15867"/>
    <w:rsid w:val="00C2296D"/>
    <w:rsid w:val="00C23155"/>
    <w:rsid w:val="00C40C41"/>
    <w:rsid w:val="00C45885"/>
    <w:rsid w:val="00C50F22"/>
    <w:rsid w:val="00C57971"/>
    <w:rsid w:val="00C65BD7"/>
    <w:rsid w:val="00C76BA4"/>
    <w:rsid w:val="00C83A48"/>
    <w:rsid w:val="00C85865"/>
    <w:rsid w:val="00C85E85"/>
    <w:rsid w:val="00C871A3"/>
    <w:rsid w:val="00C96F1E"/>
    <w:rsid w:val="00CA2EAE"/>
    <w:rsid w:val="00CA4AC1"/>
    <w:rsid w:val="00CB0316"/>
    <w:rsid w:val="00CB0B11"/>
    <w:rsid w:val="00CB426A"/>
    <w:rsid w:val="00CB5354"/>
    <w:rsid w:val="00CB7228"/>
    <w:rsid w:val="00CC3C9E"/>
    <w:rsid w:val="00CC6A14"/>
    <w:rsid w:val="00CC70A3"/>
    <w:rsid w:val="00CD4442"/>
    <w:rsid w:val="00CD53C3"/>
    <w:rsid w:val="00CD574E"/>
    <w:rsid w:val="00CE4C22"/>
    <w:rsid w:val="00CF41EC"/>
    <w:rsid w:val="00CF5D04"/>
    <w:rsid w:val="00D04DE4"/>
    <w:rsid w:val="00D063F1"/>
    <w:rsid w:val="00D11899"/>
    <w:rsid w:val="00D14F22"/>
    <w:rsid w:val="00D4741C"/>
    <w:rsid w:val="00D5583A"/>
    <w:rsid w:val="00D57522"/>
    <w:rsid w:val="00D57918"/>
    <w:rsid w:val="00D73DC6"/>
    <w:rsid w:val="00D74C1A"/>
    <w:rsid w:val="00D754C1"/>
    <w:rsid w:val="00D77393"/>
    <w:rsid w:val="00D77A35"/>
    <w:rsid w:val="00D81B3E"/>
    <w:rsid w:val="00D90C70"/>
    <w:rsid w:val="00D90E49"/>
    <w:rsid w:val="00D96ADE"/>
    <w:rsid w:val="00DA0CE2"/>
    <w:rsid w:val="00DB42F0"/>
    <w:rsid w:val="00DB44AC"/>
    <w:rsid w:val="00DB5FAE"/>
    <w:rsid w:val="00DC4DB8"/>
    <w:rsid w:val="00DC5271"/>
    <w:rsid w:val="00DC6A10"/>
    <w:rsid w:val="00DD5791"/>
    <w:rsid w:val="00DD599B"/>
    <w:rsid w:val="00DE657E"/>
    <w:rsid w:val="00DF4704"/>
    <w:rsid w:val="00E024AA"/>
    <w:rsid w:val="00E14E2F"/>
    <w:rsid w:val="00E15C77"/>
    <w:rsid w:val="00E17AA3"/>
    <w:rsid w:val="00E250F1"/>
    <w:rsid w:val="00E2652A"/>
    <w:rsid w:val="00E335BB"/>
    <w:rsid w:val="00E3550D"/>
    <w:rsid w:val="00E52838"/>
    <w:rsid w:val="00E6049E"/>
    <w:rsid w:val="00E614E0"/>
    <w:rsid w:val="00E73F7F"/>
    <w:rsid w:val="00E754AA"/>
    <w:rsid w:val="00E763AC"/>
    <w:rsid w:val="00E85409"/>
    <w:rsid w:val="00E8680F"/>
    <w:rsid w:val="00E95194"/>
    <w:rsid w:val="00EA429F"/>
    <w:rsid w:val="00EA4F9E"/>
    <w:rsid w:val="00EA63CA"/>
    <w:rsid w:val="00EA6D3B"/>
    <w:rsid w:val="00EA7565"/>
    <w:rsid w:val="00EB00AD"/>
    <w:rsid w:val="00EB06A9"/>
    <w:rsid w:val="00EB136C"/>
    <w:rsid w:val="00EB480E"/>
    <w:rsid w:val="00EB5EC6"/>
    <w:rsid w:val="00EB7FC9"/>
    <w:rsid w:val="00ED27E8"/>
    <w:rsid w:val="00ED3A57"/>
    <w:rsid w:val="00ED7137"/>
    <w:rsid w:val="00EF06EA"/>
    <w:rsid w:val="00F2010D"/>
    <w:rsid w:val="00F21088"/>
    <w:rsid w:val="00F327E7"/>
    <w:rsid w:val="00F35746"/>
    <w:rsid w:val="00F447C7"/>
    <w:rsid w:val="00F459B4"/>
    <w:rsid w:val="00F47993"/>
    <w:rsid w:val="00F5211B"/>
    <w:rsid w:val="00F554A9"/>
    <w:rsid w:val="00F67239"/>
    <w:rsid w:val="00F716FD"/>
    <w:rsid w:val="00F80355"/>
    <w:rsid w:val="00F80A26"/>
    <w:rsid w:val="00F87C43"/>
    <w:rsid w:val="00FA55CF"/>
    <w:rsid w:val="00FB0C81"/>
    <w:rsid w:val="00FC2200"/>
    <w:rsid w:val="00FC2540"/>
    <w:rsid w:val="00FE2E9D"/>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A0D9A"/>
  <w15:docId w15:val="{75C62962-C991-4D6A-8EE9-9B38C3B8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nhideWhenUsed/>
    <w:rsid w:val="006E126D"/>
    <w:rPr>
      <w:sz w:val="20"/>
      <w:szCs w:val="20"/>
    </w:rPr>
  </w:style>
  <w:style w:type="character" w:customStyle="1" w:styleId="FootnoteTextChar">
    <w:name w:val="Footnote Text Char"/>
    <w:basedOn w:val="DefaultParagraphFont"/>
    <w:link w:val="FootnoteText"/>
    <w:rsid w:val="006E126D"/>
    <w:rPr>
      <w:lang w:val="en-GB"/>
    </w:rPr>
  </w:style>
  <w:style w:type="character" w:styleId="FootnoteReference">
    <w:name w:val="footnote reference"/>
    <w:basedOn w:val="DefaultParagraphFont"/>
    <w:unhideWhenUsed/>
    <w:rsid w:val="006E126D"/>
    <w:rPr>
      <w:vertAlign w:val="superscript"/>
    </w:rPr>
  </w:style>
  <w:style w:type="paragraph" w:customStyle="1" w:styleId="Title2">
    <w:name w:val="Title2"/>
    <w:rsid w:val="00AB4968"/>
    <w:pPr>
      <w:jc w:val="center"/>
      <w:outlineLvl w:val="0"/>
    </w:pPr>
    <w:rPr>
      <w:b/>
      <w:caps/>
      <w:sz w:val="22"/>
      <w:szCs w:val="22"/>
      <w:lang w:val="en-GB"/>
    </w:rPr>
  </w:style>
  <w:style w:type="paragraph" w:customStyle="1" w:styleId="subhead">
    <w:name w:val="subhead"/>
    <w:basedOn w:val="Normal"/>
    <w:next w:val="Normal"/>
    <w:uiPriority w:val="99"/>
    <w:rsid w:val="00AB4968"/>
    <w:pPr>
      <w:tabs>
        <w:tab w:val="left" w:pos="-720"/>
        <w:tab w:val="left" w:pos="0"/>
        <w:tab w:val="left" w:pos="720"/>
        <w:tab w:val="left" w:pos="1440"/>
        <w:tab w:val="left" w:pos="2160"/>
        <w:tab w:val="left" w:pos="2880"/>
        <w:tab w:val="left" w:pos="3600"/>
      </w:tabs>
      <w:jc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301">
      <w:bodyDiv w:val="1"/>
      <w:marLeft w:val="0"/>
      <w:marRight w:val="0"/>
      <w:marTop w:val="0"/>
      <w:marBottom w:val="0"/>
      <w:divBdr>
        <w:top w:val="none" w:sz="0" w:space="0" w:color="auto"/>
        <w:left w:val="none" w:sz="0" w:space="0" w:color="auto"/>
        <w:bottom w:val="none" w:sz="0" w:space="0" w:color="auto"/>
        <w:right w:val="none" w:sz="0" w:space="0" w:color="auto"/>
      </w:divBdr>
    </w:div>
    <w:div w:id="393701532">
      <w:bodyDiv w:val="1"/>
      <w:marLeft w:val="0"/>
      <w:marRight w:val="0"/>
      <w:marTop w:val="0"/>
      <w:marBottom w:val="0"/>
      <w:divBdr>
        <w:top w:val="none" w:sz="0" w:space="0" w:color="auto"/>
        <w:left w:val="none" w:sz="0" w:space="0" w:color="auto"/>
        <w:bottom w:val="none" w:sz="0" w:space="0" w:color="auto"/>
        <w:right w:val="none" w:sz="0" w:space="0" w:color="auto"/>
      </w:divBdr>
    </w:div>
    <w:div w:id="484786583">
      <w:bodyDiv w:val="1"/>
      <w:marLeft w:val="0"/>
      <w:marRight w:val="0"/>
      <w:marTop w:val="0"/>
      <w:marBottom w:val="0"/>
      <w:divBdr>
        <w:top w:val="none" w:sz="0" w:space="0" w:color="auto"/>
        <w:left w:val="none" w:sz="0" w:space="0" w:color="auto"/>
        <w:bottom w:val="none" w:sz="0" w:space="0" w:color="auto"/>
        <w:right w:val="none" w:sz="0" w:space="0" w:color="auto"/>
      </w:divBdr>
    </w:div>
    <w:div w:id="1085032742">
      <w:bodyDiv w:val="1"/>
      <w:marLeft w:val="0"/>
      <w:marRight w:val="0"/>
      <w:marTop w:val="0"/>
      <w:marBottom w:val="0"/>
      <w:divBdr>
        <w:top w:val="none" w:sz="0" w:space="0" w:color="auto"/>
        <w:left w:val="none" w:sz="0" w:space="0" w:color="auto"/>
        <w:bottom w:val="none" w:sz="0" w:space="0" w:color="auto"/>
        <w:right w:val="none" w:sz="0" w:space="0" w:color="auto"/>
      </w:divBdr>
    </w:div>
    <w:div w:id="187087100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181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UNEP/OzL.Pro/ExCom/86/27</Document_x0020_Number>
    <Posted_x0020_after_x0020_IAP xmlns="4aeb65a0-cd8f-45aa-a04d-ad1384b86dfc">true</Posted_x0020_after_x0020_IAP>
  </documentManagement>
</p:properties>
</file>

<file path=customXml/itemProps1.xml><?xml version="1.0" encoding="utf-8"?>
<ds:datastoreItem xmlns:ds="http://schemas.openxmlformats.org/officeDocument/2006/customXml" ds:itemID="{1E3912D0-3D01-4FCE-AAA6-D819BBC35029}"/>
</file>

<file path=customXml/itemProps2.xml><?xml version="1.0" encoding="utf-8"?>
<ds:datastoreItem xmlns:ds="http://schemas.openxmlformats.org/officeDocument/2006/customXml" ds:itemID="{C3AB000D-441F-4D22-80BB-B74E15ECD6D5}"/>
</file>

<file path=customXml/itemProps3.xml><?xml version="1.0" encoding="utf-8"?>
<ds:datastoreItem xmlns:ds="http://schemas.openxmlformats.org/officeDocument/2006/customXml" ds:itemID="{13EA1B5D-28EC-4033-8D61-7B0883E0A8A4}"/>
</file>

<file path=customXml/itemProps4.xml><?xml version="1.0" encoding="utf-8"?>
<ds:datastoreItem xmlns:ds="http://schemas.openxmlformats.org/officeDocument/2006/customXml" ds:itemID="{4E399460-A5FD-48B3-9D13-39965AEB8A7A}"/>
</file>

<file path=docProps/app.xml><?xml version="1.0" encoding="utf-8"?>
<Properties xmlns="http://schemas.openxmlformats.org/officeDocument/2006/extended-properties" xmlns:vt="http://schemas.openxmlformats.org/officeDocument/2006/docPropsVTypes">
  <Template>Normal</Template>
  <TotalTime>17</TotalTime>
  <Pages>6</Pages>
  <Words>1900</Words>
  <Characters>9159</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Plan administrativo del PNUD para 2021–2023</vt:lpstr>
    </vt:vector>
  </TitlesOfParts>
  <Company>UNMFS</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administrativo del PNUD para 2021–2023</dc:title>
  <dc:creator>Muriel Aguiar</dc:creator>
  <cp:lastModifiedBy>HB</cp:lastModifiedBy>
  <cp:revision>7</cp:revision>
  <cp:lastPrinted>2001-05-26T16:40:00Z</cp:lastPrinted>
  <dcterms:created xsi:type="dcterms:W3CDTF">2021-02-20T15:17:00Z</dcterms:created>
  <dcterms:modified xsi:type="dcterms:W3CDTF">2021-02-26T02:02:00Z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UNEP/OzL.Pro/ExCom/86/27</vt:lpwstr>
  </property>
  <property fmtid="{D5CDD505-2E9C-101B-9397-08002B2CF9AE}" pid="3" name="Revision date">
    <vt:lpwstr>2/16/2021</vt:lpwstr>
  </property>
  <property fmtid="{D5CDD505-2E9C-101B-9397-08002B2CF9AE}" pid="4" name="ContentTypeId">
    <vt:lpwstr>0x0101009701D9FFF1782646B282AA80F917E68F</vt:lpwstr>
  </property>
</Properties>
</file>