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12" w:type="dxa"/>
        <w:tblInd w:w="-432" w:type="dxa"/>
        <w:tblLayout w:type="fixed"/>
        <w:tblLook w:val="0000" w:firstRow="0" w:lastRow="0" w:firstColumn="0" w:lastColumn="0" w:noHBand="0" w:noVBand="0"/>
      </w:tblPr>
      <w:tblGrid>
        <w:gridCol w:w="2070"/>
        <w:gridCol w:w="3852"/>
        <w:gridCol w:w="4590"/>
      </w:tblGrid>
      <w:tr w:rsidR="00071E00" w:rsidRPr="008D2076" w14:paraId="48997FC6" w14:textId="77777777" w:rsidTr="00754085">
        <w:trPr>
          <w:trHeight w:val="720"/>
        </w:trPr>
        <w:tc>
          <w:tcPr>
            <w:tcW w:w="5922" w:type="dxa"/>
            <w:gridSpan w:val="2"/>
            <w:tcBorders>
              <w:bottom w:val="single" w:sz="18" w:space="0" w:color="auto"/>
            </w:tcBorders>
          </w:tcPr>
          <w:p w14:paraId="14178BE3" w14:textId="77777777" w:rsidR="00071E00" w:rsidRPr="008D2076" w:rsidRDefault="00071E00" w:rsidP="003F05D0">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lang w:val="es-419"/>
              </w:rPr>
            </w:pPr>
            <w:r w:rsidRPr="008D2076">
              <w:rPr>
                <w:rFonts w:ascii="Univers" w:hAnsi="Univers"/>
                <w:b/>
                <w:sz w:val="28"/>
                <w:szCs w:val="28"/>
                <w:lang w:val="es-419"/>
              </w:rPr>
              <w:t>NACIONES</w:t>
            </w:r>
            <w:r w:rsidRPr="008D2076">
              <w:rPr>
                <w:rFonts w:ascii="Univers" w:hAnsi="Univers"/>
                <w:b/>
                <w:sz w:val="28"/>
                <w:szCs w:val="28"/>
                <w:lang w:val="es-419"/>
              </w:rPr>
              <w:br/>
              <w:t>UNIDAS</w:t>
            </w:r>
          </w:p>
        </w:tc>
        <w:tc>
          <w:tcPr>
            <w:tcW w:w="4590" w:type="dxa"/>
            <w:tcBorders>
              <w:bottom w:val="single" w:sz="18" w:space="0" w:color="auto"/>
            </w:tcBorders>
          </w:tcPr>
          <w:p w14:paraId="665E3EBB" w14:textId="77777777" w:rsidR="00071E00" w:rsidRPr="008D2076" w:rsidRDefault="00071E00" w:rsidP="003F05D0">
            <w:pPr>
              <w:jc w:val="right"/>
              <w:rPr>
                <w:sz w:val="52"/>
                <w:szCs w:val="52"/>
                <w:lang w:val="es-419"/>
              </w:rPr>
            </w:pPr>
            <w:r w:rsidRPr="008D2076">
              <w:rPr>
                <w:rFonts w:ascii="Univers Bold" w:hAnsi="Univers Bold"/>
                <w:b/>
                <w:sz w:val="72"/>
                <w:lang w:val="es-419"/>
              </w:rPr>
              <w:t>EP</w:t>
            </w:r>
          </w:p>
        </w:tc>
      </w:tr>
      <w:tr w:rsidR="00071E00" w:rsidRPr="008D2076" w14:paraId="628A65C7" w14:textId="77777777" w:rsidTr="00754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43C7A1BA" w14:textId="77777777" w:rsidR="00071E00" w:rsidRPr="008D2076" w:rsidRDefault="00071E00" w:rsidP="003F05D0">
            <w:pPr>
              <w:spacing w:before="120"/>
              <w:rPr>
                <w:lang w:val="es-419"/>
              </w:rPr>
            </w:pPr>
            <w:r w:rsidRPr="008D2076">
              <w:rPr>
                <w:noProof/>
                <w:lang w:val="en-US"/>
              </w:rPr>
              <mc:AlternateContent>
                <mc:Choice Requires="wpg">
                  <w:drawing>
                    <wp:anchor distT="0" distB="0" distL="114300" distR="114300" simplePos="0" relativeHeight="251659264" behindDoc="0" locked="0" layoutInCell="1" allowOverlap="1" wp14:anchorId="7B7B0DC1" wp14:editId="3ACB9309">
                      <wp:simplePos x="0" y="0"/>
                      <wp:positionH relativeFrom="column">
                        <wp:posOffset>2540</wp:posOffset>
                      </wp:positionH>
                      <wp:positionV relativeFrom="paragraph">
                        <wp:posOffset>36195</wp:posOffset>
                      </wp:positionV>
                      <wp:extent cx="844550" cy="1616075"/>
                      <wp:effectExtent l="0" t="0" r="0" b="3175"/>
                      <wp:wrapNone/>
                      <wp:docPr id="1" name="Group 1"/>
                      <wp:cNvGraphicFramePr/>
                      <a:graphic xmlns:a="http://schemas.openxmlformats.org/drawingml/2006/main">
                        <a:graphicData uri="http://schemas.microsoft.com/office/word/2010/wordprocessingGroup">
                          <wpg:wgp>
                            <wpg:cNvGrpSpPr/>
                            <wpg:grpSpPr>
                              <a:xfrm>
                                <a:off x="0" y="0"/>
                                <a:ext cx="844550" cy="1616075"/>
                                <a:chOff x="0" y="0"/>
                                <a:chExt cx="844550" cy="1616075"/>
                              </a:xfrm>
                            </wpg:grpSpPr>
                            <pic:pic xmlns:pic="http://schemas.openxmlformats.org/drawingml/2006/picture">
                              <pic:nvPicPr>
                                <pic:cNvPr id="2" name="Picture 2" descr="UNEP"/>
                                <pic:cNvPicPr>
                                  <a:picLocks noChangeAspect="1"/>
                                </pic:cNvPicPr>
                              </pic:nvPicPr>
                              <pic:blipFill>
                                <a:blip r:embed="rId8" cstate="print"/>
                                <a:srcRect/>
                                <a:stretch>
                                  <a:fillRect/>
                                </a:stretch>
                              </pic:blipFill>
                              <pic:spPr bwMode="auto">
                                <a:xfrm>
                                  <a:off x="6350" y="768350"/>
                                  <a:ext cx="838200" cy="847725"/>
                                </a:xfrm>
                                <a:prstGeom prst="rect">
                                  <a:avLst/>
                                </a:prstGeom>
                                <a:noFill/>
                              </pic:spPr>
                            </pic:pic>
                            <pic:pic xmlns:pic="http://schemas.openxmlformats.org/drawingml/2006/picture">
                              <pic:nvPicPr>
                                <pic:cNvPr id="3" name="Picture 3"/>
                                <pic:cNvPicPr>
                                  <a:picLocks noChangeAspect="1"/>
                                </pic:cNvPicPr>
                              </pic:nvPicPr>
                              <pic:blipFill>
                                <a:blip r:embed="rId9" cstate="print"/>
                                <a:srcRect/>
                                <a:stretch>
                                  <a:fillRect/>
                                </a:stretch>
                              </pic:blipFill>
                              <pic:spPr bwMode="auto">
                                <a:xfrm>
                                  <a:off x="0" y="0"/>
                                  <a:ext cx="822325" cy="730885"/>
                                </a:xfrm>
                                <a:prstGeom prst="rect">
                                  <a:avLst/>
                                </a:prstGeom>
                                <a:noFill/>
                              </pic:spPr>
                            </pic:pic>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C02717F" id="Group 1" o:spid="_x0000_s1026" style="position:absolute;margin-left:.2pt;margin-top:2.85pt;width:66.5pt;height:127.25pt;z-index:251659264" coordsize="8445,16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EP" style="position:absolute;left:63;top:7683;width:8382;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">
                        <v:imagedata r:id="rId10" o:title="UNEP"/>
                      </v:shape>
                      <v:shape id="Picture 3" o:spid="_x0000_s1028" type="#_x0000_t75" style="position:absolute;width:8223;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">
                        <v:imagedata r:id="rId11" o:title=""/>
                      </v:shape>
                    </v:group>
                  </w:pict>
                </mc:Fallback>
              </mc:AlternateContent>
            </w:r>
          </w:p>
        </w:tc>
        <w:tc>
          <w:tcPr>
            <w:tcW w:w="3852" w:type="dxa"/>
            <w:tcBorders>
              <w:top w:val="nil"/>
              <w:left w:val="nil"/>
              <w:bottom w:val="single" w:sz="36" w:space="0" w:color="auto"/>
              <w:right w:val="nil"/>
            </w:tcBorders>
          </w:tcPr>
          <w:p w14:paraId="4EA309B4" w14:textId="77777777" w:rsidR="00754085" w:rsidRDefault="00754085" w:rsidP="003F05D0">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lang w:val="es-419"/>
              </w:rPr>
            </w:pPr>
          </w:p>
          <w:p w14:paraId="5C942B65" w14:textId="2A95C493" w:rsidR="00071E00" w:rsidRPr="008D2076" w:rsidRDefault="00071E00" w:rsidP="003F05D0">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lang w:val="es-419"/>
              </w:rPr>
            </w:pPr>
            <w:r w:rsidRPr="008D2076">
              <w:rPr>
                <w:rFonts w:ascii="Univers" w:hAnsi="Univers"/>
                <w:b/>
                <w:sz w:val="32"/>
                <w:lang w:val="es-419"/>
              </w:rPr>
              <w:t>Programa de las</w:t>
            </w:r>
          </w:p>
          <w:p w14:paraId="3B519ED4" w14:textId="77777777" w:rsidR="00071E00" w:rsidRPr="008D2076" w:rsidRDefault="00071E00" w:rsidP="003F05D0">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lang w:val="es-419"/>
              </w:rPr>
            </w:pPr>
            <w:r w:rsidRPr="008D2076">
              <w:rPr>
                <w:rFonts w:ascii="Univers" w:hAnsi="Univers"/>
                <w:b/>
                <w:sz w:val="32"/>
                <w:lang w:val="es-419"/>
              </w:rPr>
              <w:t>Naciones Unidas</w:t>
            </w:r>
          </w:p>
          <w:p w14:paraId="4546FC63" w14:textId="77777777" w:rsidR="00071E00" w:rsidRPr="008D2076" w:rsidRDefault="00071E00" w:rsidP="003F05D0">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lang w:val="es-419"/>
              </w:rPr>
            </w:pPr>
            <w:r w:rsidRPr="008D2076">
              <w:rPr>
                <w:rFonts w:ascii="Univers" w:hAnsi="Univers"/>
                <w:b/>
                <w:sz w:val="32"/>
                <w:lang w:val="es-419"/>
              </w:rPr>
              <w:t>para el Medio Ambiente</w:t>
            </w:r>
          </w:p>
          <w:p w14:paraId="4F4D45D8" w14:textId="77777777" w:rsidR="00071E00" w:rsidRPr="008D2076" w:rsidRDefault="00071E00" w:rsidP="003F05D0">
            <w:pPr>
              <w:spacing w:before="720"/>
              <w:ind w:left="158"/>
              <w:rPr>
                <w:lang w:val="es-419"/>
              </w:rPr>
            </w:pPr>
          </w:p>
        </w:tc>
        <w:tc>
          <w:tcPr>
            <w:tcW w:w="4590" w:type="dxa"/>
            <w:tcBorders>
              <w:top w:val="nil"/>
              <w:left w:val="nil"/>
              <w:bottom w:val="single" w:sz="36" w:space="0" w:color="auto"/>
              <w:right w:val="nil"/>
            </w:tcBorders>
          </w:tcPr>
          <w:p w14:paraId="48C57813" w14:textId="77777777" w:rsidR="00754085" w:rsidRDefault="00754085" w:rsidP="003F05D0">
            <w:pPr>
              <w:rPr>
                <w:lang w:val="es-419"/>
              </w:rPr>
            </w:pPr>
          </w:p>
          <w:p w14:paraId="627D4E2D" w14:textId="0468EFD5" w:rsidR="00071E00" w:rsidRPr="008D2076" w:rsidRDefault="00071E00" w:rsidP="003F05D0">
            <w:pPr>
              <w:rPr>
                <w:lang w:val="es-419"/>
              </w:rPr>
            </w:pPr>
            <w:proofErr w:type="spellStart"/>
            <w:r w:rsidRPr="008D2076">
              <w:rPr>
                <w:lang w:val="es-419"/>
              </w:rPr>
              <w:t>Distr</w:t>
            </w:r>
            <w:proofErr w:type="spellEnd"/>
            <w:r w:rsidRPr="008D2076">
              <w:rPr>
                <w:lang w:val="es-419"/>
              </w:rPr>
              <w:t>.</w:t>
            </w:r>
          </w:p>
          <w:p w14:paraId="7C2D04F6" w14:textId="77777777" w:rsidR="00071E00" w:rsidRPr="008D2076" w:rsidRDefault="00071E00" w:rsidP="003F05D0">
            <w:pPr>
              <w:rPr>
                <w:lang w:val="es-419"/>
              </w:rPr>
            </w:pPr>
            <w:r w:rsidRPr="008D2076">
              <w:rPr>
                <w:lang w:val="es-419"/>
              </w:rPr>
              <w:t>GENERAL</w:t>
            </w:r>
          </w:p>
          <w:p w14:paraId="662451CB" w14:textId="77777777" w:rsidR="00071E00" w:rsidRPr="008D2076" w:rsidRDefault="00071E00" w:rsidP="003F05D0">
            <w:pPr>
              <w:rPr>
                <w:lang w:val="es-419"/>
              </w:rPr>
            </w:pPr>
          </w:p>
          <w:p w14:paraId="3DE6D41F" w14:textId="2E7AD3A6" w:rsidR="001E0146" w:rsidRPr="001E0146" w:rsidRDefault="001E0146" w:rsidP="001E0146">
            <w:pPr>
              <w:rPr>
                <w:lang w:val="es-419"/>
              </w:rPr>
            </w:pPr>
            <w:r>
              <w:fldChar w:fldCharType="begin"/>
            </w:r>
            <w:r w:rsidRPr="001E0146">
              <w:rPr>
                <w:lang w:val="es-419"/>
              </w:rPr>
              <w:instrText xml:space="preserve"> DOCPROPERTY "Document number"  \* MERGEFORMAT </w:instrText>
            </w:r>
            <w:r>
              <w:fldChar w:fldCharType="separate"/>
            </w:r>
            <w:r w:rsidR="008E3FFB">
              <w:rPr>
                <w:lang w:val="es-419"/>
              </w:rPr>
              <w:t>UNEP/</w:t>
            </w:r>
            <w:proofErr w:type="spellStart"/>
            <w:r w:rsidR="008E3FFB">
              <w:rPr>
                <w:lang w:val="es-419"/>
              </w:rPr>
              <w:t>OzL.Pro</w:t>
            </w:r>
            <w:proofErr w:type="spellEnd"/>
            <w:r w:rsidR="008E3FFB">
              <w:rPr>
                <w:lang w:val="es-419"/>
              </w:rPr>
              <w:t>/</w:t>
            </w:r>
            <w:proofErr w:type="spellStart"/>
            <w:r w:rsidR="008E3FFB">
              <w:rPr>
                <w:lang w:val="es-419"/>
              </w:rPr>
              <w:t>ExCom</w:t>
            </w:r>
            <w:proofErr w:type="spellEnd"/>
            <w:r w:rsidR="008E3FFB">
              <w:rPr>
                <w:lang w:val="es-419"/>
              </w:rPr>
              <w:t>/86/35</w:t>
            </w:r>
            <w:r>
              <w:fldChar w:fldCharType="end"/>
            </w:r>
          </w:p>
          <w:p w14:paraId="2E64A7D8" w14:textId="77777777" w:rsidR="00071E00" w:rsidRPr="008D2076" w:rsidRDefault="00071E00" w:rsidP="003F05D0">
            <w:pPr>
              <w:rPr>
                <w:lang w:val="es-419"/>
              </w:rPr>
            </w:pPr>
            <w:r w:rsidRPr="008D2076">
              <w:rPr>
                <w:lang w:val="es-419"/>
              </w:rPr>
              <w:t>2 de noviembre de 2020</w:t>
            </w:r>
          </w:p>
          <w:p w14:paraId="6687CB67" w14:textId="4AAAA62E" w:rsidR="00071E00" w:rsidRDefault="00071E00" w:rsidP="003F05D0">
            <w:pPr>
              <w:rPr>
                <w:caps/>
                <w:lang w:val="es-419"/>
              </w:rPr>
            </w:pPr>
          </w:p>
          <w:p w14:paraId="0FB62248" w14:textId="35009BC0" w:rsidR="001E0146" w:rsidRPr="008D2076" w:rsidRDefault="001E0146" w:rsidP="003F05D0">
            <w:pPr>
              <w:rPr>
                <w:caps/>
                <w:lang w:val="es-419"/>
              </w:rPr>
            </w:pPr>
            <w:r>
              <w:rPr>
                <w:caps/>
                <w:lang w:val="es-419"/>
              </w:rPr>
              <w:t>español</w:t>
            </w:r>
          </w:p>
          <w:p w14:paraId="029328A1" w14:textId="77777777" w:rsidR="00071E00" w:rsidRPr="008D2076" w:rsidRDefault="00071E00" w:rsidP="003F05D0">
            <w:pPr>
              <w:rPr>
                <w:lang w:val="es-419"/>
              </w:rPr>
            </w:pPr>
            <w:r w:rsidRPr="008D2076">
              <w:rPr>
                <w:lang w:val="es-419"/>
              </w:rPr>
              <w:t>ORIGINAL: INGLÉS</w:t>
            </w:r>
          </w:p>
        </w:tc>
      </w:tr>
    </w:tbl>
    <w:p w14:paraId="726F7376" w14:textId="77777777" w:rsidR="00071E00" w:rsidRPr="008D2076" w:rsidRDefault="00071E00" w:rsidP="00071E00">
      <w:pPr>
        <w:jc w:val="left"/>
        <w:rPr>
          <w:lang w:val="es-419"/>
        </w:rPr>
      </w:pPr>
      <w:r w:rsidRPr="008D2076">
        <w:rPr>
          <w:lang w:val="es-419"/>
        </w:rPr>
        <w:t>COMITÉ EJECUTIVO DEL FONDO MULTILATERAL</w:t>
      </w:r>
      <w:r w:rsidRPr="008D2076">
        <w:rPr>
          <w:lang w:val="es-419"/>
        </w:rPr>
        <w:br/>
        <w:t xml:space="preserve">  PARA LA APLICACIÓN DEL</w:t>
      </w:r>
      <w:r w:rsidRPr="008D2076">
        <w:rPr>
          <w:lang w:val="es-419"/>
        </w:rPr>
        <w:br/>
        <w:t xml:space="preserve">  PROTOCOLO DE MONTREAL</w:t>
      </w:r>
      <w:r w:rsidRPr="008D2076">
        <w:rPr>
          <w:lang w:val="es-419"/>
        </w:rPr>
        <w:br/>
        <w:t>Octogésima sexta Reunión</w:t>
      </w:r>
    </w:p>
    <w:p w14:paraId="38AD637D" w14:textId="77777777" w:rsidR="00071E00" w:rsidRPr="008D2076" w:rsidRDefault="00071E00" w:rsidP="00071E00">
      <w:pPr>
        <w:jc w:val="left"/>
        <w:rPr>
          <w:lang w:val="es-419"/>
        </w:rPr>
      </w:pPr>
      <w:r w:rsidRPr="008D2076">
        <w:rPr>
          <w:lang w:val="es-419"/>
        </w:rPr>
        <w:t>Montreal, 2-6 de noviembre de 2020</w:t>
      </w:r>
    </w:p>
    <w:p w14:paraId="6ECE825B" w14:textId="77777777" w:rsidR="00071E00" w:rsidRPr="008D2076" w:rsidRDefault="00071E00" w:rsidP="00071E00">
      <w:pPr>
        <w:jc w:val="left"/>
        <w:rPr>
          <w:lang w:val="es-419"/>
        </w:rPr>
      </w:pPr>
      <w:r w:rsidRPr="008D2076">
        <w:rPr>
          <w:lang w:val="es-419"/>
        </w:rPr>
        <w:t>Pospuesta: 8-12 de marzo de 2021</w:t>
      </w:r>
      <w:r w:rsidRPr="008D2076">
        <w:rPr>
          <w:rStyle w:val="FootnoteReference"/>
          <w:lang w:val="es-419"/>
        </w:rPr>
        <w:footnoteReference w:id="1"/>
      </w:r>
    </w:p>
    <w:p w14:paraId="036BD5FF" w14:textId="77777777" w:rsidR="00071E00" w:rsidRPr="008D2076" w:rsidRDefault="00071E00" w:rsidP="00071E00">
      <w:pPr>
        <w:jc w:val="left"/>
        <w:rPr>
          <w:lang w:val="es-419"/>
        </w:rPr>
      </w:pPr>
    </w:p>
    <w:p w14:paraId="5AFD51B4" w14:textId="77777777" w:rsidR="00071E00" w:rsidRPr="008D2076" w:rsidRDefault="00071E00" w:rsidP="00071E00">
      <w:pPr>
        <w:jc w:val="left"/>
        <w:rPr>
          <w:lang w:val="es-419"/>
        </w:rPr>
      </w:pPr>
    </w:p>
    <w:p w14:paraId="43345DD4" w14:textId="77777777" w:rsidR="00071E00" w:rsidRPr="008D2076" w:rsidRDefault="00071E00" w:rsidP="00071E00">
      <w:pPr>
        <w:jc w:val="left"/>
        <w:rPr>
          <w:lang w:val="es-419"/>
        </w:rPr>
      </w:pPr>
    </w:p>
    <w:p w14:paraId="4B005605" w14:textId="77777777" w:rsidR="00071E00" w:rsidRPr="008D2076" w:rsidRDefault="00071E00" w:rsidP="00071E00">
      <w:pPr>
        <w:pStyle w:val="Title1"/>
        <w:rPr>
          <w:lang w:val="es-419"/>
        </w:rPr>
      </w:pPr>
    </w:p>
    <w:p w14:paraId="17F75C77" w14:textId="3CBF17C9" w:rsidR="00754085" w:rsidRDefault="00D043AF" w:rsidP="00D043AF">
      <w:pPr>
        <w:pStyle w:val="StyleHeader4Para4Left0Firstline0"/>
        <w:numPr>
          <w:ilvl w:val="0"/>
          <w:numId w:val="0"/>
        </w:numPr>
        <w:spacing w:after="0"/>
        <w:jc w:val="center"/>
        <w:rPr>
          <w:b/>
          <w:sz w:val="22"/>
          <w:lang w:val="es-419"/>
        </w:rPr>
      </w:pPr>
      <w:r>
        <w:rPr>
          <w:b/>
          <w:sz w:val="22"/>
          <w:lang w:val="es-419"/>
        </w:rPr>
        <w:t xml:space="preserve">ENMIENDAS </w:t>
      </w:r>
      <w:r w:rsidR="00071E00" w:rsidRPr="008D2076">
        <w:rPr>
          <w:b/>
          <w:sz w:val="22"/>
          <w:lang w:val="es-419"/>
        </w:rPr>
        <w:t xml:space="preserve"> </w:t>
      </w:r>
      <w:r>
        <w:rPr>
          <w:b/>
          <w:sz w:val="22"/>
          <w:lang w:val="es-419"/>
        </w:rPr>
        <w:t>A</w:t>
      </w:r>
      <w:bookmarkStart w:id="0" w:name="_GoBack"/>
      <w:bookmarkEnd w:id="0"/>
      <w:r w:rsidR="00071E00" w:rsidRPr="008D2076">
        <w:rPr>
          <w:b/>
          <w:sz w:val="22"/>
          <w:lang w:val="es-419"/>
        </w:rPr>
        <w:t xml:space="preserve">L PROGRAMA DE TRABAJO DE LA ONUDI </w:t>
      </w:r>
    </w:p>
    <w:p w14:paraId="5B5FB9E8" w14:textId="77777777" w:rsidR="00754085" w:rsidRPr="00721D36" w:rsidRDefault="00754085" w:rsidP="00DA4F63">
      <w:pPr>
        <w:pStyle w:val="StyleHeader4Para4Left0Firstline0"/>
        <w:numPr>
          <w:ilvl w:val="0"/>
          <w:numId w:val="0"/>
        </w:numPr>
        <w:spacing w:after="0"/>
        <w:jc w:val="center"/>
        <w:rPr>
          <w:b/>
          <w:sz w:val="22"/>
          <w:lang w:val="es-419"/>
        </w:rPr>
      </w:pPr>
      <w:r w:rsidRPr="00721D36">
        <w:rPr>
          <w:b/>
          <w:sz w:val="22"/>
          <w:lang w:val="es-419"/>
        </w:rPr>
        <w:t xml:space="preserve">PARA </w:t>
      </w:r>
      <w:r w:rsidRPr="005E6E2B">
        <w:rPr>
          <w:b/>
          <w:sz w:val="22"/>
          <w:lang w:val="es-419"/>
        </w:rPr>
        <w:t xml:space="preserve">EL AÑO </w:t>
      </w:r>
      <w:r w:rsidRPr="00721D36">
        <w:rPr>
          <w:b/>
          <w:sz w:val="22"/>
          <w:lang w:val="es-419"/>
        </w:rPr>
        <w:t>2020</w:t>
      </w:r>
    </w:p>
    <w:p w14:paraId="6AE0CA9E" w14:textId="77777777" w:rsidR="00071E00" w:rsidRPr="008D2076" w:rsidRDefault="00071E00" w:rsidP="00071E00">
      <w:pPr>
        <w:pStyle w:val="StyleHeader4Para4Left0Firstline0"/>
        <w:numPr>
          <w:ilvl w:val="0"/>
          <w:numId w:val="0"/>
        </w:numPr>
        <w:jc w:val="center"/>
        <w:rPr>
          <w:b/>
          <w:sz w:val="22"/>
          <w:lang w:val="es-419"/>
        </w:rPr>
      </w:pPr>
    </w:p>
    <w:p w14:paraId="4CC9FBAB" w14:textId="77777777" w:rsidR="00071E00" w:rsidRPr="008D2076" w:rsidRDefault="00071E00" w:rsidP="00071E00">
      <w:pPr>
        <w:pStyle w:val="StyleHeader4Para4Left0Firstline0"/>
        <w:numPr>
          <w:ilvl w:val="0"/>
          <w:numId w:val="0"/>
        </w:numPr>
        <w:jc w:val="center"/>
        <w:rPr>
          <w:b/>
          <w:sz w:val="22"/>
          <w:lang w:val="es-419"/>
        </w:rPr>
      </w:pPr>
    </w:p>
    <w:p w14:paraId="7BC8BB17" w14:textId="77777777" w:rsidR="00071E00" w:rsidRPr="008D2076" w:rsidRDefault="00071E00" w:rsidP="00071E00">
      <w:pPr>
        <w:pStyle w:val="StyleHeader4Para4Left0Firstline0"/>
        <w:numPr>
          <w:ilvl w:val="0"/>
          <w:numId w:val="0"/>
        </w:numPr>
        <w:rPr>
          <w:lang w:val="es-419"/>
        </w:rPr>
      </w:pPr>
    </w:p>
    <w:p w14:paraId="5EBE57BE" w14:textId="77777777" w:rsidR="00071E00" w:rsidRPr="008D2076" w:rsidRDefault="00071E00" w:rsidP="00071E00">
      <w:pPr>
        <w:pStyle w:val="StyleHeader4Para4Left0Firstline0"/>
        <w:numPr>
          <w:ilvl w:val="0"/>
          <w:numId w:val="0"/>
        </w:numPr>
        <w:rPr>
          <w:lang w:val="es-419"/>
        </w:rPr>
      </w:pPr>
    </w:p>
    <w:p w14:paraId="4738ED90" w14:textId="77777777" w:rsidR="00071E00" w:rsidRPr="008D2076" w:rsidRDefault="00071E00" w:rsidP="00071E00">
      <w:pPr>
        <w:pStyle w:val="StyleHeader4Para4Left0Firstline0"/>
        <w:numPr>
          <w:ilvl w:val="0"/>
          <w:numId w:val="0"/>
        </w:numPr>
        <w:rPr>
          <w:lang w:val="es-419"/>
        </w:rPr>
      </w:pPr>
    </w:p>
    <w:p w14:paraId="6DFE8979" w14:textId="77777777" w:rsidR="00071E00" w:rsidRPr="008D2076" w:rsidRDefault="00071E00" w:rsidP="00071E00">
      <w:pPr>
        <w:pStyle w:val="StyleHeader4Para4Left0Firstline0"/>
        <w:numPr>
          <w:ilvl w:val="0"/>
          <w:numId w:val="0"/>
        </w:numPr>
        <w:jc w:val="left"/>
        <w:rPr>
          <w:sz w:val="22"/>
          <w:lang w:val="es-419"/>
        </w:rPr>
      </w:pPr>
    </w:p>
    <w:p w14:paraId="58ECD0D4" w14:textId="77777777" w:rsidR="00071E00" w:rsidRPr="008D2076" w:rsidRDefault="00071E00" w:rsidP="00071E00">
      <w:pPr>
        <w:rPr>
          <w:lang w:val="es-419"/>
        </w:rPr>
      </w:pPr>
    </w:p>
    <w:p w14:paraId="1014482F" w14:textId="77777777" w:rsidR="00071E00" w:rsidRPr="008D2076" w:rsidRDefault="00071E00" w:rsidP="00071E00">
      <w:pPr>
        <w:pStyle w:val="StyleHeader4Para4Left0Firstline0"/>
        <w:numPr>
          <w:ilvl w:val="0"/>
          <w:numId w:val="0"/>
        </w:numPr>
        <w:tabs>
          <w:tab w:val="clear" w:pos="2880"/>
          <w:tab w:val="clear" w:pos="5760"/>
        </w:tabs>
        <w:jc w:val="center"/>
        <w:rPr>
          <w:b/>
          <w:sz w:val="22"/>
          <w:lang w:val="es-419"/>
        </w:rPr>
      </w:pPr>
      <w:r w:rsidRPr="008D2076">
        <w:rPr>
          <w:lang w:val="es-419"/>
        </w:rPr>
        <w:br w:type="page"/>
      </w:r>
    </w:p>
    <w:p w14:paraId="7521ED84" w14:textId="77777777" w:rsidR="00071E00" w:rsidRPr="008D2076" w:rsidRDefault="00071E00" w:rsidP="00071E00">
      <w:pPr>
        <w:spacing w:after="240"/>
        <w:jc w:val="center"/>
        <w:rPr>
          <w:b/>
          <w:color w:val="000000" w:themeColor="text1"/>
          <w:lang w:val="es-419"/>
        </w:rPr>
      </w:pPr>
      <w:r w:rsidRPr="008D2076">
        <w:rPr>
          <w:b/>
          <w:color w:val="000000" w:themeColor="text1"/>
          <w:lang w:val="es-419"/>
        </w:rPr>
        <w:lastRenderedPageBreak/>
        <w:t>COMENTARIOS Y RECOMENDACIÓN DE LA SECRETARÍA DEL FONDO</w:t>
      </w:r>
    </w:p>
    <w:p w14:paraId="31A1D4DE" w14:textId="77777777" w:rsidR="00071E00" w:rsidRPr="008D2076" w:rsidRDefault="00071E00" w:rsidP="00071E00">
      <w:pPr>
        <w:pStyle w:val="Heading1"/>
        <w:rPr>
          <w:lang w:val="es-419"/>
        </w:rPr>
      </w:pPr>
      <w:r w:rsidRPr="008D2076">
        <w:rPr>
          <w:lang w:val="es-419"/>
        </w:rPr>
        <w:t>La ONUDI solicita al Comité Ejecutivo la aprobación de la cantidad de 2 141 711 $EUA, más unos gastos de apoyo del organismo de 151 120 $EUA, para las modificaciones de su programa de trabajo de 2020 que se exponen en la tabla 1</w:t>
      </w:r>
      <w:r w:rsidRPr="008D2076">
        <w:rPr>
          <w:rStyle w:val="FootnoteReference"/>
          <w:lang w:val="es-419"/>
        </w:rPr>
        <w:footnoteReference w:id="2"/>
      </w:r>
      <w:r w:rsidRPr="008D2076">
        <w:rPr>
          <w:lang w:val="es-419"/>
        </w:rPr>
        <w:t>. La presentación se adjunta al presente documento.</w:t>
      </w:r>
    </w:p>
    <w:p w14:paraId="2870227D" w14:textId="77777777" w:rsidR="00071E00" w:rsidRPr="008D2076" w:rsidRDefault="00071E00" w:rsidP="00071E00">
      <w:pPr>
        <w:pStyle w:val="Heading1"/>
        <w:numPr>
          <w:ilvl w:val="0"/>
          <w:numId w:val="0"/>
        </w:numPr>
        <w:spacing w:after="0"/>
        <w:rPr>
          <w:b/>
          <w:highlight w:val="yellow"/>
          <w:lang w:val="es-419"/>
        </w:rPr>
      </w:pPr>
      <w:r w:rsidRPr="008D2076">
        <w:rPr>
          <w:b/>
          <w:lang w:val="es-419"/>
        </w:rPr>
        <w:t>Tabla 1: Modificaciones del programa de trabajo de la ONUDI para 2020</w:t>
      </w: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6"/>
        <w:gridCol w:w="4870"/>
        <w:gridCol w:w="1160"/>
        <w:gridCol w:w="1619"/>
      </w:tblGrid>
      <w:tr w:rsidR="00071E00" w:rsidRPr="008D2076" w14:paraId="42BC189E" w14:textId="77777777" w:rsidTr="003F05D0">
        <w:trPr>
          <w:trHeight w:val="690"/>
          <w:tblHeader/>
        </w:trPr>
        <w:tc>
          <w:tcPr>
            <w:tcW w:w="951" w:type="pct"/>
          </w:tcPr>
          <w:p w14:paraId="70E7E714" w14:textId="77777777" w:rsidR="00071E00" w:rsidRPr="008D2076" w:rsidRDefault="00071E00" w:rsidP="003F05D0">
            <w:pPr>
              <w:jc w:val="center"/>
              <w:rPr>
                <w:b/>
                <w:color w:val="000000" w:themeColor="text1"/>
                <w:sz w:val="20"/>
                <w:szCs w:val="20"/>
                <w:lang w:val="es-419"/>
              </w:rPr>
            </w:pPr>
            <w:r w:rsidRPr="008D2076">
              <w:rPr>
                <w:b/>
                <w:color w:val="000000" w:themeColor="text1"/>
                <w:sz w:val="20"/>
                <w:szCs w:val="20"/>
                <w:lang w:val="es-419"/>
              </w:rPr>
              <w:t>País</w:t>
            </w:r>
          </w:p>
        </w:tc>
        <w:tc>
          <w:tcPr>
            <w:tcW w:w="2578" w:type="pct"/>
          </w:tcPr>
          <w:p w14:paraId="0B98EA06" w14:textId="77777777" w:rsidR="00071E00" w:rsidRPr="008D2076" w:rsidRDefault="00071E00" w:rsidP="003F05D0">
            <w:pPr>
              <w:jc w:val="center"/>
              <w:rPr>
                <w:b/>
                <w:color w:val="000000" w:themeColor="text1"/>
                <w:sz w:val="20"/>
                <w:szCs w:val="20"/>
                <w:lang w:val="es-419"/>
              </w:rPr>
            </w:pPr>
            <w:r w:rsidRPr="008D2076">
              <w:rPr>
                <w:b/>
                <w:color w:val="000000" w:themeColor="text1"/>
                <w:sz w:val="20"/>
                <w:szCs w:val="20"/>
                <w:lang w:val="es-419"/>
              </w:rPr>
              <w:t>Actividad/Proyecto</w:t>
            </w:r>
          </w:p>
        </w:tc>
        <w:tc>
          <w:tcPr>
            <w:tcW w:w="614" w:type="pct"/>
          </w:tcPr>
          <w:p w14:paraId="0456901F" w14:textId="77777777" w:rsidR="00071E00" w:rsidRPr="008D2076" w:rsidRDefault="00071E00" w:rsidP="003F05D0">
            <w:pPr>
              <w:jc w:val="center"/>
              <w:rPr>
                <w:b/>
                <w:color w:val="000000" w:themeColor="text1"/>
                <w:sz w:val="20"/>
                <w:szCs w:val="20"/>
                <w:lang w:val="es-419"/>
              </w:rPr>
            </w:pPr>
            <w:r w:rsidRPr="008D2076">
              <w:rPr>
                <w:b/>
                <w:color w:val="000000" w:themeColor="text1"/>
                <w:sz w:val="20"/>
                <w:szCs w:val="20"/>
                <w:lang w:val="es-419"/>
              </w:rPr>
              <w:t>Cantidad solicitada ($EUA)</w:t>
            </w:r>
          </w:p>
        </w:tc>
        <w:tc>
          <w:tcPr>
            <w:tcW w:w="857" w:type="pct"/>
          </w:tcPr>
          <w:p w14:paraId="07E3A19F" w14:textId="77777777" w:rsidR="00071E00" w:rsidRPr="008D2076" w:rsidRDefault="00071E00" w:rsidP="003F05D0">
            <w:pPr>
              <w:jc w:val="center"/>
              <w:rPr>
                <w:b/>
                <w:color w:val="000000" w:themeColor="text1"/>
                <w:sz w:val="20"/>
                <w:szCs w:val="20"/>
                <w:lang w:val="es-419"/>
              </w:rPr>
            </w:pPr>
            <w:r w:rsidRPr="008D2076">
              <w:rPr>
                <w:b/>
                <w:color w:val="000000" w:themeColor="text1"/>
                <w:sz w:val="20"/>
                <w:szCs w:val="20"/>
                <w:lang w:val="es-419"/>
              </w:rPr>
              <w:t>Cantidad recomendada ($EUA)</w:t>
            </w:r>
          </w:p>
        </w:tc>
      </w:tr>
      <w:tr w:rsidR="00071E00" w:rsidRPr="00D043AF" w14:paraId="0FE86C08" w14:textId="77777777" w:rsidTr="003F05D0">
        <w:trPr>
          <w:trHeight w:val="219"/>
        </w:trPr>
        <w:tc>
          <w:tcPr>
            <w:tcW w:w="5000" w:type="pct"/>
            <w:gridSpan w:val="4"/>
          </w:tcPr>
          <w:p w14:paraId="450946A8" w14:textId="77777777" w:rsidR="00071E00" w:rsidRPr="008D2076" w:rsidRDefault="00071E00" w:rsidP="003F05D0">
            <w:pPr>
              <w:widowControl w:val="0"/>
              <w:rPr>
                <w:color w:val="000000" w:themeColor="text1"/>
                <w:sz w:val="20"/>
                <w:szCs w:val="20"/>
                <w:lang w:val="es-419"/>
              </w:rPr>
            </w:pPr>
            <w:r w:rsidRPr="008D2076">
              <w:rPr>
                <w:b/>
                <w:color w:val="000000" w:themeColor="text1"/>
                <w:sz w:val="20"/>
                <w:szCs w:val="20"/>
                <w:lang w:val="es-419"/>
              </w:rPr>
              <w:t>SECCIÓN A: ACTIVIDADES RECOMENDADAS PARA APROBACIÓN GENERAL</w:t>
            </w:r>
          </w:p>
        </w:tc>
      </w:tr>
      <w:tr w:rsidR="00071E00" w:rsidRPr="00D043AF" w14:paraId="2A8D23DE" w14:textId="77777777" w:rsidTr="003F05D0">
        <w:trPr>
          <w:trHeight w:val="235"/>
        </w:trPr>
        <w:tc>
          <w:tcPr>
            <w:tcW w:w="5000" w:type="pct"/>
            <w:gridSpan w:val="4"/>
          </w:tcPr>
          <w:p w14:paraId="62852FF1" w14:textId="77777777" w:rsidR="00071E00" w:rsidRPr="008D2076" w:rsidRDefault="00071E00" w:rsidP="003F05D0">
            <w:pPr>
              <w:rPr>
                <w:b/>
                <w:bCs/>
                <w:color w:val="000000" w:themeColor="text1"/>
                <w:sz w:val="20"/>
                <w:szCs w:val="20"/>
                <w:lang w:val="es-419"/>
              </w:rPr>
            </w:pPr>
            <w:r w:rsidRPr="008D2076">
              <w:rPr>
                <w:b/>
                <w:bCs/>
                <w:color w:val="000000" w:themeColor="text1"/>
                <w:sz w:val="20"/>
                <w:szCs w:val="20"/>
                <w:lang w:val="es-419"/>
              </w:rPr>
              <w:t>A1: Renovación de proyectos de fortalecimiento institucional</w:t>
            </w:r>
          </w:p>
        </w:tc>
      </w:tr>
      <w:tr w:rsidR="00071E00" w:rsidRPr="008D2076" w14:paraId="7158DFD8" w14:textId="77777777" w:rsidTr="003F05D0">
        <w:trPr>
          <w:trHeight w:val="219"/>
        </w:trPr>
        <w:tc>
          <w:tcPr>
            <w:tcW w:w="951" w:type="pct"/>
            <w:shd w:val="clear" w:color="auto" w:fill="auto"/>
            <w:vAlign w:val="bottom"/>
          </w:tcPr>
          <w:p w14:paraId="03A5C408" w14:textId="77777777" w:rsidR="00071E00" w:rsidRPr="008D2076" w:rsidRDefault="00071E00" w:rsidP="003F05D0">
            <w:pPr>
              <w:jc w:val="left"/>
              <w:rPr>
                <w:color w:val="000000"/>
                <w:sz w:val="20"/>
                <w:szCs w:val="20"/>
                <w:lang w:val="es-419"/>
              </w:rPr>
            </w:pPr>
            <w:r w:rsidRPr="008D2076">
              <w:rPr>
                <w:color w:val="000000"/>
                <w:sz w:val="20"/>
                <w:szCs w:val="20"/>
                <w:lang w:val="es-419"/>
              </w:rPr>
              <w:t>Armenia</w:t>
            </w:r>
          </w:p>
        </w:tc>
        <w:tc>
          <w:tcPr>
            <w:tcW w:w="2578" w:type="pct"/>
            <w:shd w:val="clear" w:color="auto" w:fill="auto"/>
            <w:vAlign w:val="center"/>
          </w:tcPr>
          <w:p w14:paraId="095E2C38" w14:textId="77777777" w:rsidR="00071E00" w:rsidRPr="008D2076" w:rsidRDefault="00071E00" w:rsidP="003F05D0">
            <w:pPr>
              <w:snapToGrid w:val="0"/>
              <w:rPr>
                <w:sz w:val="20"/>
                <w:szCs w:val="20"/>
                <w:lang w:val="es-419"/>
              </w:rPr>
            </w:pPr>
            <w:r w:rsidRPr="008D2076">
              <w:rPr>
                <w:sz w:val="20"/>
                <w:szCs w:val="20"/>
                <w:lang w:val="es-419"/>
              </w:rPr>
              <w:t>Renovación del proyecto de fortalecimiento institucional (fase VII)</w:t>
            </w:r>
          </w:p>
        </w:tc>
        <w:tc>
          <w:tcPr>
            <w:tcW w:w="614" w:type="pct"/>
            <w:shd w:val="clear" w:color="auto" w:fill="auto"/>
          </w:tcPr>
          <w:p w14:paraId="7CD3147E" w14:textId="77777777" w:rsidR="00071E00" w:rsidRPr="008D2076" w:rsidRDefault="00071E00" w:rsidP="003F05D0">
            <w:pPr>
              <w:snapToGrid w:val="0"/>
              <w:jc w:val="right"/>
              <w:rPr>
                <w:color w:val="000000"/>
                <w:sz w:val="20"/>
                <w:szCs w:val="20"/>
                <w:lang w:val="es-419"/>
              </w:rPr>
            </w:pPr>
            <w:r w:rsidRPr="008D2076">
              <w:rPr>
                <w:color w:val="000000"/>
                <w:sz w:val="20"/>
                <w:szCs w:val="20"/>
                <w:lang w:val="es-419"/>
              </w:rPr>
              <w:t>153 600</w:t>
            </w:r>
          </w:p>
        </w:tc>
        <w:tc>
          <w:tcPr>
            <w:tcW w:w="857" w:type="pct"/>
            <w:shd w:val="clear" w:color="auto" w:fill="auto"/>
          </w:tcPr>
          <w:p w14:paraId="48C60FCC" w14:textId="77777777" w:rsidR="00071E00" w:rsidRPr="008D2076" w:rsidRDefault="00071E00" w:rsidP="003F05D0">
            <w:pPr>
              <w:snapToGrid w:val="0"/>
              <w:jc w:val="right"/>
              <w:rPr>
                <w:color w:val="000000"/>
                <w:sz w:val="20"/>
                <w:szCs w:val="20"/>
                <w:lang w:val="es-419"/>
              </w:rPr>
            </w:pPr>
            <w:r w:rsidRPr="008D2076">
              <w:rPr>
                <w:color w:val="000000"/>
                <w:sz w:val="20"/>
                <w:szCs w:val="20"/>
                <w:lang w:val="es-419"/>
              </w:rPr>
              <w:t>153 600</w:t>
            </w:r>
          </w:p>
        </w:tc>
      </w:tr>
      <w:tr w:rsidR="00071E00" w:rsidRPr="008D2076" w14:paraId="2630FD25" w14:textId="77777777" w:rsidTr="003F05D0">
        <w:trPr>
          <w:trHeight w:val="219"/>
        </w:trPr>
        <w:tc>
          <w:tcPr>
            <w:tcW w:w="951" w:type="pct"/>
            <w:shd w:val="clear" w:color="auto" w:fill="auto"/>
            <w:vAlign w:val="bottom"/>
          </w:tcPr>
          <w:p w14:paraId="79906065" w14:textId="77777777" w:rsidR="00071E00" w:rsidRPr="008D2076" w:rsidRDefault="00071E00" w:rsidP="003F05D0">
            <w:pPr>
              <w:rPr>
                <w:color w:val="000000"/>
                <w:sz w:val="20"/>
                <w:szCs w:val="20"/>
                <w:lang w:val="es-419"/>
              </w:rPr>
            </w:pPr>
            <w:r w:rsidRPr="008D2076">
              <w:rPr>
                <w:color w:val="000000"/>
                <w:sz w:val="20"/>
                <w:szCs w:val="20"/>
                <w:lang w:val="es-419"/>
              </w:rPr>
              <w:t>Egipto</w:t>
            </w:r>
          </w:p>
        </w:tc>
        <w:tc>
          <w:tcPr>
            <w:tcW w:w="2578" w:type="pct"/>
            <w:shd w:val="clear" w:color="auto" w:fill="auto"/>
            <w:vAlign w:val="center"/>
          </w:tcPr>
          <w:p w14:paraId="32CEF781" w14:textId="77777777" w:rsidR="00071E00" w:rsidRPr="008D2076" w:rsidRDefault="00071E00" w:rsidP="003F05D0">
            <w:pPr>
              <w:snapToGrid w:val="0"/>
              <w:rPr>
                <w:sz w:val="20"/>
                <w:szCs w:val="20"/>
                <w:lang w:val="es-419"/>
              </w:rPr>
            </w:pPr>
            <w:r w:rsidRPr="008D2076">
              <w:rPr>
                <w:sz w:val="20"/>
                <w:szCs w:val="20"/>
                <w:lang w:val="es-419"/>
              </w:rPr>
              <w:t>Renovación del proyecto de fortalecimiento institucional (fase XIII)</w:t>
            </w:r>
          </w:p>
        </w:tc>
        <w:tc>
          <w:tcPr>
            <w:tcW w:w="614" w:type="pct"/>
            <w:shd w:val="clear" w:color="auto" w:fill="auto"/>
          </w:tcPr>
          <w:p w14:paraId="48F9F098" w14:textId="77777777" w:rsidR="00071E00" w:rsidRPr="008D2076" w:rsidRDefault="00071E00" w:rsidP="003F05D0">
            <w:pPr>
              <w:snapToGrid w:val="0"/>
              <w:jc w:val="right"/>
              <w:rPr>
                <w:color w:val="000000"/>
                <w:sz w:val="20"/>
                <w:szCs w:val="20"/>
                <w:lang w:val="es-419"/>
              </w:rPr>
            </w:pPr>
            <w:r w:rsidRPr="008D2076">
              <w:rPr>
                <w:color w:val="000000"/>
                <w:sz w:val="20"/>
                <w:szCs w:val="20"/>
                <w:lang w:val="es-419"/>
              </w:rPr>
              <w:t>292 253</w:t>
            </w:r>
          </w:p>
        </w:tc>
        <w:tc>
          <w:tcPr>
            <w:tcW w:w="857" w:type="pct"/>
            <w:shd w:val="clear" w:color="auto" w:fill="auto"/>
          </w:tcPr>
          <w:p w14:paraId="378FE42A" w14:textId="77777777" w:rsidR="00071E00" w:rsidRPr="008D2076" w:rsidRDefault="00071E00" w:rsidP="003F05D0">
            <w:pPr>
              <w:snapToGrid w:val="0"/>
              <w:jc w:val="right"/>
              <w:rPr>
                <w:color w:val="000000"/>
                <w:sz w:val="20"/>
                <w:szCs w:val="20"/>
                <w:lang w:val="es-419"/>
              </w:rPr>
            </w:pPr>
            <w:r w:rsidRPr="008D2076">
              <w:rPr>
                <w:color w:val="000000"/>
                <w:sz w:val="20"/>
                <w:szCs w:val="20"/>
                <w:lang w:val="es-419"/>
              </w:rPr>
              <w:t>292 253</w:t>
            </w:r>
          </w:p>
        </w:tc>
      </w:tr>
      <w:tr w:rsidR="00071E00" w:rsidRPr="008D2076" w14:paraId="1D310A19" w14:textId="77777777" w:rsidTr="003F05D0">
        <w:trPr>
          <w:trHeight w:val="219"/>
        </w:trPr>
        <w:tc>
          <w:tcPr>
            <w:tcW w:w="951" w:type="pct"/>
            <w:shd w:val="clear" w:color="auto" w:fill="auto"/>
            <w:vAlign w:val="bottom"/>
          </w:tcPr>
          <w:p w14:paraId="406C3EC5" w14:textId="77777777" w:rsidR="00071E00" w:rsidRPr="008D2076" w:rsidRDefault="00071E00" w:rsidP="003F05D0">
            <w:pPr>
              <w:rPr>
                <w:color w:val="000000"/>
                <w:sz w:val="20"/>
                <w:szCs w:val="20"/>
                <w:lang w:val="es-419"/>
              </w:rPr>
            </w:pPr>
            <w:r w:rsidRPr="008D2076">
              <w:rPr>
                <w:color w:val="000000"/>
                <w:sz w:val="20"/>
                <w:szCs w:val="20"/>
                <w:lang w:val="es-419"/>
              </w:rPr>
              <w:t>México</w:t>
            </w:r>
          </w:p>
        </w:tc>
        <w:tc>
          <w:tcPr>
            <w:tcW w:w="2578" w:type="pct"/>
            <w:shd w:val="clear" w:color="auto" w:fill="auto"/>
            <w:vAlign w:val="center"/>
          </w:tcPr>
          <w:p w14:paraId="13B0EC9A" w14:textId="77777777" w:rsidR="00071E00" w:rsidRPr="008D2076" w:rsidRDefault="00071E00" w:rsidP="003F05D0">
            <w:pPr>
              <w:snapToGrid w:val="0"/>
              <w:rPr>
                <w:sz w:val="20"/>
                <w:szCs w:val="20"/>
                <w:lang w:val="es-419"/>
              </w:rPr>
            </w:pPr>
            <w:r w:rsidRPr="008D2076">
              <w:rPr>
                <w:sz w:val="20"/>
                <w:szCs w:val="20"/>
                <w:lang w:val="es-419"/>
              </w:rPr>
              <w:t>Renovación del proyecto de fortalecimiento institucional (fase XV)</w:t>
            </w:r>
          </w:p>
        </w:tc>
        <w:tc>
          <w:tcPr>
            <w:tcW w:w="614" w:type="pct"/>
            <w:shd w:val="clear" w:color="auto" w:fill="auto"/>
          </w:tcPr>
          <w:p w14:paraId="05718C0B" w14:textId="77777777" w:rsidR="00071E00" w:rsidRPr="008D2076" w:rsidRDefault="00071E00" w:rsidP="003F05D0">
            <w:pPr>
              <w:snapToGrid w:val="0"/>
              <w:jc w:val="right"/>
              <w:rPr>
                <w:color w:val="000000"/>
                <w:sz w:val="20"/>
                <w:szCs w:val="20"/>
                <w:lang w:val="es-419"/>
              </w:rPr>
            </w:pPr>
            <w:r w:rsidRPr="008D2076">
              <w:rPr>
                <w:color w:val="000000"/>
                <w:sz w:val="20"/>
                <w:szCs w:val="20"/>
                <w:lang w:val="es-419"/>
              </w:rPr>
              <w:t>316 160</w:t>
            </w:r>
          </w:p>
        </w:tc>
        <w:tc>
          <w:tcPr>
            <w:tcW w:w="857" w:type="pct"/>
            <w:shd w:val="clear" w:color="auto" w:fill="auto"/>
          </w:tcPr>
          <w:p w14:paraId="70162908" w14:textId="77777777" w:rsidR="00071E00" w:rsidRPr="008D2076" w:rsidRDefault="00071E00" w:rsidP="003F05D0">
            <w:pPr>
              <w:snapToGrid w:val="0"/>
              <w:jc w:val="right"/>
              <w:rPr>
                <w:color w:val="000000"/>
                <w:sz w:val="20"/>
                <w:szCs w:val="20"/>
                <w:lang w:val="es-419"/>
              </w:rPr>
            </w:pPr>
            <w:r w:rsidRPr="008D2076">
              <w:rPr>
                <w:color w:val="000000"/>
                <w:sz w:val="20"/>
                <w:szCs w:val="20"/>
                <w:lang w:val="es-419"/>
              </w:rPr>
              <w:t>316 160</w:t>
            </w:r>
          </w:p>
        </w:tc>
      </w:tr>
      <w:tr w:rsidR="00071E00" w:rsidRPr="008D2076" w14:paraId="6A68AB12" w14:textId="77777777" w:rsidTr="003F05D0">
        <w:trPr>
          <w:trHeight w:val="219"/>
        </w:trPr>
        <w:tc>
          <w:tcPr>
            <w:tcW w:w="951" w:type="pct"/>
            <w:shd w:val="clear" w:color="auto" w:fill="auto"/>
            <w:vAlign w:val="bottom"/>
          </w:tcPr>
          <w:p w14:paraId="7D5D3406" w14:textId="77777777" w:rsidR="00071E00" w:rsidRPr="008D2076" w:rsidRDefault="00071E00" w:rsidP="003F05D0">
            <w:pPr>
              <w:rPr>
                <w:color w:val="000000"/>
                <w:sz w:val="20"/>
                <w:szCs w:val="20"/>
                <w:lang w:val="es-419"/>
              </w:rPr>
            </w:pPr>
            <w:r w:rsidRPr="008D2076">
              <w:rPr>
                <w:color w:val="000000"/>
                <w:sz w:val="20"/>
                <w:szCs w:val="20"/>
                <w:lang w:val="es-419"/>
              </w:rPr>
              <w:t>Omán</w:t>
            </w:r>
          </w:p>
        </w:tc>
        <w:tc>
          <w:tcPr>
            <w:tcW w:w="2578" w:type="pct"/>
            <w:shd w:val="clear" w:color="auto" w:fill="auto"/>
            <w:vAlign w:val="center"/>
          </w:tcPr>
          <w:p w14:paraId="7BA1CD4D" w14:textId="77777777" w:rsidR="00071E00" w:rsidRPr="008D2076" w:rsidRDefault="00071E00" w:rsidP="003F05D0">
            <w:pPr>
              <w:snapToGrid w:val="0"/>
              <w:rPr>
                <w:sz w:val="20"/>
                <w:szCs w:val="20"/>
                <w:lang w:val="es-419"/>
              </w:rPr>
            </w:pPr>
            <w:r w:rsidRPr="008D2076">
              <w:rPr>
                <w:sz w:val="20"/>
                <w:szCs w:val="20"/>
                <w:lang w:val="es-419"/>
              </w:rPr>
              <w:t>Renovación del proyecto de fortalecimiento institucional (fase VIII)</w:t>
            </w:r>
          </w:p>
        </w:tc>
        <w:tc>
          <w:tcPr>
            <w:tcW w:w="614" w:type="pct"/>
            <w:shd w:val="clear" w:color="auto" w:fill="auto"/>
          </w:tcPr>
          <w:p w14:paraId="094DFE62" w14:textId="77777777" w:rsidR="00071E00" w:rsidRPr="008D2076" w:rsidRDefault="00071E00" w:rsidP="003F05D0">
            <w:pPr>
              <w:snapToGrid w:val="0"/>
              <w:jc w:val="right"/>
              <w:rPr>
                <w:color w:val="000000"/>
                <w:sz w:val="20"/>
                <w:szCs w:val="20"/>
                <w:lang w:val="es-419"/>
              </w:rPr>
            </w:pPr>
            <w:r w:rsidRPr="008D2076">
              <w:rPr>
                <w:color w:val="000000"/>
                <w:sz w:val="20"/>
                <w:szCs w:val="20"/>
                <w:lang w:val="es-419"/>
              </w:rPr>
              <w:t>87 638</w:t>
            </w:r>
          </w:p>
        </w:tc>
        <w:tc>
          <w:tcPr>
            <w:tcW w:w="857" w:type="pct"/>
            <w:shd w:val="clear" w:color="auto" w:fill="auto"/>
          </w:tcPr>
          <w:p w14:paraId="1024AF60" w14:textId="77777777" w:rsidR="00071E00" w:rsidRPr="008D2076" w:rsidRDefault="00071E00" w:rsidP="003F05D0">
            <w:pPr>
              <w:snapToGrid w:val="0"/>
              <w:jc w:val="right"/>
              <w:rPr>
                <w:color w:val="000000"/>
                <w:sz w:val="20"/>
                <w:szCs w:val="20"/>
                <w:lang w:val="es-419"/>
              </w:rPr>
            </w:pPr>
            <w:r w:rsidRPr="008D2076">
              <w:rPr>
                <w:color w:val="000000"/>
                <w:sz w:val="20"/>
                <w:szCs w:val="20"/>
                <w:lang w:val="es-419"/>
              </w:rPr>
              <w:t>87 638</w:t>
            </w:r>
          </w:p>
        </w:tc>
      </w:tr>
      <w:tr w:rsidR="00071E00" w:rsidRPr="008D2076" w14:paraId="32FAD82D" w14:textId="77777777" w:rsidTr="003F05D0">
        <w:trPr>
          <w:trHeight w:val="219"/>
        </w:trPr>
        <w:tc>
          <w:tcPr>
            <w:tcW w:w="951" w:type="pct"/>
            <w:shd w:val="clear" w:color="auto" w:fill="auto"/>
            <w:vAlign w:val="bottom"/>
          </w:tcPr>
          <w:p w14:paraId="4C77D064" w14:textId="77777777" w:rsidR="00071E00" w:rsidRPr="008D2076" w:rsidRDefault="00071E00" w:rsidP="003F05D0">
            <w:pPr>
              <w:rPr>
                <w:color w:val="000000"/>
                <w:sz w:val="20"/>
                <w:szCs w:val="20"/>
                <w:lang w:val="es-419"/>
              </w:rPr>
            </w:pPr>
            <w:r w:rsidRPr="008D2076">
              <w:rPr>
                <w:color w:val="000000"/>
                <w:sz w:val="20"/>
                <w:szCs w:val="20"/>
                <w:lang w:val="es-419"/>
              </w:rPr>
              <w:t>Turkmenistán</w:t>
            </w:r>
          </w:p>
        </w:tc>
        <w:tc>
          <w:tcPr>
            <w:tcW w:w="2578" w:type="pct"/>
            <w:shd w:val="clear" w:color="auto" w:fill="auto"/>
            <w:vAlign w:val="center"/>
          </w:tcPr>
          <w:p w14:paraId="2B827A06" w14:textId="77777777" w:rsidR="00071E00" w:rsidRPr="008D2076" w:rsidRDefault="00071E00" w:rsidP="003F05D0">
            <w:pPr>
              <w:snapToGrid w:val="0"/>
              <w:rPr>
                <w:sz w:val="20"/>
                <w:szCs w:val="20"/>
                <w:lang w:val="es-419"/>
              </w:rPr>
            </w:pPr>
            <w:r w:rsidRPr="008D2076">
              <w:rPr>
                <w:sz w:val="20"/>
                <w:szCs w:val="20"/>
                <w:lang w:val="es-419"/>
              </w:rPr>
              <w:t>Renovación del proyecto de fortalecimiento institucional (fase V)</w:t>
            </w:r>
          </w:p>
        </w:tc>
        <w:tc>
          <w:tcPr>
            <w:tcW w:w="614" w:type="pct"/>
            <w:shd w:val="clear" w:color="auto" w:fill="auto"/>
          </w:tcPr>
          <w:p w14:paraId="47900F05" w14:textId="77777777" w:rsidR="00071E00" w:rsidRPr="008D2076" w:rsidRDefault="00071E00" w:rsidP="003F05D0">
            <w:pPr>
              <w:snapToGrid w:val="0"/>
              <w:jc w:val="right"/>
              <w:rPr>
                <w:color w:val="000000"/>
                <w:sz w:val="20"/>
                <w:szCs w:val="20"/>
                <w:lang w:val="es-419"/>
              </w:rPr>
            </w:pPr>
            <w:r w:rsidRPr="008D2076">
              <w:rPr>
                <w:color w:val="000000"/>
                <w:sz w:val="20"/>
                <w:szCs w:val="20"/>
                <w:lang w:val="es-419"/>
              </w:rPr>
              <w:t>98 560</w:t>
            </w:r>
          </w:p>
        </w:tc>
        <w:tc>
          <w:tcPr>
            <w:tcW w:w="857" w:type="pct"/>
            <w:shd w:val="clear" w:color="auto" w:fill="auto"/>
          </w:tcPr>
          <w:p w14:paraId="7C9D20A8" w14:textId="77777777" w:rsidR="00071E00" w:rsidRPr="008D2076" w:rsidRDefault="00071E00" w:rsidP="003F05D0">
            <w:pPr>
              <w:snapToGrid w:val="0"/>
              <w:jc w:val="right"/>
              <w:rPr>
                <w:color w:val="000000"/>
                <w:sz w:val="20"/>
                <w:szCs w:val="20"/>
                <w:lang w:val="es-419"/>
              </w:rPr>
            </w:pPr>
            <w:r w:rsidRPr="008D2076">
              <w:rPr>
                <w:color w:val="000000"/>
                <w:sz w:val="20"/>
                <w:szCs w:val="20"/>
                <w:lang w:val="es-419"/>
              </w:rPr>
              <w:t>98 560</w:t>
            </w:r>
          </w:p>
        </w:tc>
      </w:tr>
      <w:tr w:rsidR="00071E00" w:rsidRPr="008D2076" w14:paraId="583024C2" w14:textId="77777777" w:rsidTr="003F05D0">
        <w:trPr>
          <w:trHeight w:val="219"/>
        </w:trPr>
        <w:tc>
          <w:tcPr>
            <w:tcW w:w="3529" w:type="pct"/>
            <w:gridSpan w:val="2"/>
            <w:shd w:val="clear" w:color="auto" w:fill="auto"/>
          </w:tcPr>
          <w:p w14:paraId="5C43F5A9" w14:textId="77777777" w:rsidR="00071E00" w:rsidRPr="008D2076" w:rsidRDefault="00071E00" w:rsidP="003F05D0">
            <w:pPr>
              <w:snapToGrid w:val="0"/>
              <w:jc w:val="right"/>
              <w:rPr>
                <w:sz w:val="20"/>
                <w:szCs w:val="20"/>
                <w:lang w:val="es-419"/>
              </w:rPr>
            </w:pPr>
            <w:r w:rsidRPr="008D2076">
              <w:rPr>
                <w:color w:val="000000" w:themeColor="text1"/>
                <w:sz w:val="20"/>
                <w:szCs w:val="20"/>
                <w:lang w:val="es-419"/>
              </w:rPr>
              <w:t>Subtotal para A1</w:t>
            </w:r>
          </w:p>
        </w:tc>
        <w:tc>
          <w:tcPr>
            <w:tcW w:w="614" w:type="pct"/>
            <w:shd w:val="clear" w:color="auto" w:fill="auto"/>
            <w:vAlign w:val="bottom"/>
          </w:tcPr>
          <w:p w14:paraId="363440E4" w14:textId="77777777" w:rsidR="00071E00" w:rsidRPr="008D2076" w:rsidRDefault="00071E00" w:rsidP="003F05D0">
            <w:pPr>
              <w:snapToGrid w:val="0"/>
              <w:jc w:val="right"/>
              <w:rPr>
                <w:color w:val="000000"/>
                <w:sz w:val="20"/>
                <w:szCs w:val="20"/>
                <w:lang w:val="es-419"/>
              </w:rPr>
            </w:pPr>
            <w:r w:rsidRPr="008D2076">
              <w:rPr>
                <w:color w:val="000000"/>
                <w:sz w:val="20"/>
                <w:szCs w:val="20"/>
                <w:lang w:val="es-419"/>
              </w:rPr>
              <w:t>948 211</w:t>
            </w:r>
          </w:p>
        </w:tc>
        <w:tc>
          <w:tcPr>
            <w:tcW w:w="857" w:type="pct"/>
            <w:shd w:val="clear" w:color="auto" w:fill="auto"/>
            <w:vAlign w:val="bottom"/>
          </w:tcPr>
          <w:p w14:paraId="0DAA4545" w14:textId="77777777" w:rsidR="00071E00" w:rsidRPr="008D2076" w:rsidRDefault="00071E00" w:rsidP="003F05D0">
            <w:pPr>
              <w:snapToGrid w:val="0"/>
              <w:jc w:val="right"/>
              <w:rPr>
                <w:color w:val="000000"/>
                <w:sz w:val="20"/>
                <w:szCs w:val="20"/>
                <w:lang w:val="es-419"/>
              </w:rPr>
            </w:pPr>
            <w:r w:rsidRPr="008D2076">
              <w:rPr>
                <w:color w:val="000000"/>
                <w:sz w:val="20"/>
                <w:szCs w:val="20"/>
                <w:lang w:val="es-419"/>
              </w:rPr>
              <w:t>948 211</w:t>
            </w:r>
          </w:p>
        </w:tc>
      </w:tr>
      <w:tr w:rsidR="00071E00" w:rsidRPr="008D2076" w14:paraId="68D73290" w14:textId="77777777" w:rsidTr="003F05D0">
        <w:trPr>
          <w:trHeight w:val="219"/>
        </w:trPr>
        <w:tc>
          <w:tcPr>
            <w:tcW w:w="3529" w:type="pct"/>
            <w:gridSpan w:val="2"/>
            <w:shd w:val="clear" w:color="auto" w:fill="auto"/>
          </w:tcPr>
          <w:p w14:paraId="49FF0543" w14:textId="77777777" w:rsidR="00071E00" w:rsidRPr="008D2076" w:rsidRDefault="00071E00" w:rsidP="003F05D0">
            <w:pPr>
              <w:snapToGrid w:val="0"/>
              <w:jc w:val="right"/>
              <w:rPr>
                <w:sz w:val="20"/>
                <w:szCs w:val="20"/>
                <w:lang w:val="es-419"/>
              </w:rPr>
            </w:pPr>
            <w:r w:rsidRPr="008D2076">
              <w:rPr>
                <w:color w:val="000000" w:themeColor="text1"/>
                <w:sz w:val="20"/>
                <w:szCs w:val="20"/>
                <w:lang w:val="es-419"/>
              </w:rPr>
              <w:t>Gastos de apoyo al organismo</w:t>
            </w:r>
          </w:p>
        </w:tc>
        <w:tc>
          <w:tcPr>
            <w:tcW w:w="614" w:type="pct"/>
            <w:shd w:val="clear" w:color="auto" w:fill="auto"/>
          </w:tcPr>
          <w:p w14:paraId="5779AC90" w14:textId="77777777" w:rsidR="00071E00" w:rsidRPr="008D2076" w:rsidRDefault="00071E00" w:rsidP="003F05D0">
            <w:pPr>
              <w:snapToGrid w:val="0"/>
              <w:jc w:val="right"/>
              <w:rPr>
                <w:color w:val="000000"/>
                <w:sz w:val="20"/>
                <w:szCs w:val="20"/>
                <w:lang w:val="es-419"/>
              </w:rPr>
            </w:pPr>
            <w:r w:rsidRPr="008D2076">
              <w:rPr>
                <w:color w:val="000000"/>
                <w:sz w:val="20"/>
                <w:szCs w:val="20"/>
                <w:lang w:val="es-419"/>
              </w:rPr>
              <w:t>66 375</w:t>
            </w:r>
          </w:p>
        </w:tc>
        <w:tc>
          <w:tcPr>
            <w:tcW w:w="857" w:type="pct"/>
            <w:shd w:val="clear" w:color="auto" w:fill="auto"/>
          </w:tcPr>
          <w:p w14:paraId="71DDE641" w14:textId="77777777" w:rsidR="00071E00" w:rsidRPr="008D2076" w:rsidRDefault="00071E00" w:rsidP="003F05D0">
            <w:pPr>
              <w:snapToGrid w:val="0"/>
              <w:jc w:val="right"/>
              <w:rPr>
                <w:color w:val="000000"/>
                <w:sz w:val="20"/>
                <w:szCs w:val="20"/>
                <w:lang w:val="es-419"/>
              </w:rPr>
            </w:pPr>
            <w:r w:rsidRPr="008D2076">
              <w:rPr>
                <w:color w:val="000000"/>
                <w:sz w:val="20"/>
                <w:szCs w:val="20"/>
                <w:lang w:val="es-419"/>
              </w:rPr>
              <w:t>66 375</w:t>
            </w:r>
          </w:p>
        </w:tc>
      </w:tr>
      <w:tr w:rsidR="00071E00" w:rsidRPr="008D2076" w14:paraId="1F176862" w14:textId="77777777" w:rsidTr="003F05D0">
        <w:trPr>
          <w:trHeight w:val="219"/>
        </w:trPr>
        <w:tc>
          <w:tcPr>
            <w:tcW w:w="3529" w:type="pct"/>
            <w:gridSpan w:val="2"/>
            <w:shd w:val="clear" w:color="auto" w:fill="auto"/>
          </w:tcPr>
          <w:p w14:paraId="22BBAE55" w14:textId="77777777" w:rsidR="00071E00" w:rsidRPr="008D2076" w:rsidRDefault="00071E00" w:rsidP="003F05D0">
            <w:pPr>
              <w:snapToGrid w:val="0"/>
              <w:jc w:val="right"/>
              <w:rPr>
                <w:sz w:val="20"/>
                <w:szCs w:val="20"/>
                <w:lang w:val="es-419"/>
              </w:rPr>
            </w:pPr>
            <w:r w:rsidRPr="008D2076">
              <w:rPr>
                <w:color w:val="000000" w:themeColor="text1"/>
                <w:sz w:val="20"/>
                <w:szCs w:val="20"/>
                <w:lang w:val="es-419"/>
              </w:rPr>
              <w:t>Total para A1</w:t>
            </w:r>
          </w:p>
        </w:tc>
        <w:tc>
          <w:tcPr>
            <w:tcW w:w="614" w:type="pct"/>
            <w:shd w:val="clear" w:color="auto" w:fill="auto"/>
            <w:vAlign w:val="center"/>
          </w:tcPr>
          <w:p w14:paraId="151BBB90" w14:textId="77777777" w:rsidR="00071E00" w:rsidRPr="008D2076" w:rsidRDefault="00071E00" w:rsidP="003F05D0">
            <w:pPr>
              <w:snapToGrid w:val="0"/>
              <w:jc w:val="right"/>
              <w:rPr>
                <w:color w:val="000000"/>
                <w:sz w:val="20"/>
                <w:szCs w:val="20"/>
                <w:lang w:val="es-419"/>
              </w:rPr>
            </w:pPr>
            <w:r w:rsidRPr="008D2076">
              <w:rPr>
                <w:color w:val="000000"/>
                <w:sz w:val="20"/>
                <w:szCs w:val="20"/>
                <w:lang w:val="es-419"/>
              </w:rPr>
              <w:t>1 014 586</w:t>
            </w:r>
          </w:p>
        </w:tc>
        <w:tc>
          <w:tcPr>
            <w:tcW w:w="857" w:type="pct"/>
            <w:shd w:val="clear" w:color="auto" w:fill="auto"/>
            <w:vAlign w:val="center"/>
          </w:tcPr>
          <w:p w14:paraId="63F73E21" w14:textId="77777777" w:rsidR="00071E00" w:rsidRPr="008D2076" w:rsidRDefault="00071E00" w:rsidP="003F05D0">
            <w:pPr>
              <w:snapToGrid w:val="0"/>
              <w:jc w:val="right"/>
              <w:rPr>
                <w:color w:val="000000"/>
                <w:sz w:val="20"/>
                <w:szCs w:val="20"/>
                <w:lang w:val="es-419"/>
              </w:rPr>
            </w:pPr>
            <w:r w:rsidRPr="008D2076">
              <w:rPr>
                <w:color w:val="000000"/>
                <w:sz w:val="20"/>
                <w:szCs w:val="20"/>
                <w:lang w:val="es-419"/>
              </w:rPr>
              <w:t>1 014 586</w:t>
            </w:r>
          </w:p>
        </w:tc>
      </w:tr>
      <w:tr w:rsidR="00071E00" w:rsidRPr="00D043AF" w14:paraId="5083D16A" w14:textId="77777777" w:rsidTr="003F05D0">
        <w:trPr>
          <w:trHeight w:val="219"/>
        </w:trPr>
        <w:tc>
          <w:tcPr>
            <w:tcW w:w="5000" w:type="pct"/>
            <w:gridSpan w:val="4"/>
            <w:shd w:val="clear" w:color="auto" w:fill="auto"/>
            <w:vAlign w:val="bottom"/>
          </w:tcPr>
          <w:p w14:paraId="600C3CC2" w14:textId="77777777" w:rsidR="00071E00" w:rsidRPr="008D2076" w:rsidRDefault="00071E00" w:rsidP="003F05D0">
            <w:pPr>
              <w:snapToGrid w:val="0"/>
              <w:jc w:val="left"/>
              <w:rPr>
                <w:color w:val="000000"/>
                <w:sz w:val="20"/>
                <w:szCs w:val="20"/>
                <w:lang w:val="es-419"/>
              </w:rPr>
            </w:pPr>
            <w:r w:rsidRPr="008D2076">
              <w:rPr>
                <w:b/>
                <w:color w:val="000000" w:themeColor="text1"/>
                <w:sz w:val="20"/>
                <w:szCs w:val="20"/>
                <w:lang w:val="es-419"/>
              </w:rPr>
              <w:t>A2: Asistencia técnica para preparar informes de verificación sobre el consumo de HCFC</w:t>
            </w:r>
          </w:p>
        </w:tc>
      </w:tr>
      <w:tr w:rsidR="00071E00" w:rsidRPr="008D2076" w14:paraId="3888A1A7" w14:textId="77777777" w:rsidTr="003F05D0">
        <w:trPr>
          <w:trHeight w:val="219"/>
        </w:trPr>
        <w:tc>
          <w:tcPr>
            <w:tcW w:w="951" w:type="pct"/>
            <w:shd w:val="clear" w:color="auto" w:fill="auto"/>
          </w:tcPr>
          <w:p w14:paraId="6C05C1C5" w14:textId="77777777" w:rsidR="00071E00" w:rsidRPr="008D2076" w:rsidRDefault="00071E00" w:rsidP="003F05D0">
            <w:pPr>
              <w:jc w:val="left"/>
              <w:rPr>
                <w:color w:val="000000"/>
                <w:sz w:val="20"/>
                <w:szCs w:val="20"/>
                <w:lang w:val="es-419"/>
              </w:rPr>
            </w:pPr>
            <w:r w:rsidRPr="008D2076">
              <w:rPr>
                <w:color w:val="000000" w:themeColor="text1"/>
                <w:sz w:val="20"/>
                <w:szCs w:val="20"/>
                <w:lang w:val="es-419"/>
              </w:rPr>
              <w:t>Bosnia y Herzegovina</w:t>
            </w:r>
          </w:p>
        </w:tc>
        <w:tc>
          <w:tcPr>
            <w:tcW w:w="2578" w:type="pct"/>
            <w:shd w:val="clear" w:color="auto" w:fill="auto"/>
          </w:tcPr>
          <w:p w14:paraId="33E7A2D8" w14:textId="77777777" w:rsidR="00071E00" w:rsidRPr="008D2076" w:rsidRDefault="00071E00" w:rsidP="003F05D0">
            <w:pPr>
              <w:snapToGrid w:val="0"/>
              <w:jc w:val="left"/>
              <w:rPr>
                <w:sz w:val="20"/>
                <w:szCs w:val="20"/>
                <w:lang w:val="es-419"/>
              </w:rPr>
            </w:pPr>
            <w:r w:rsidRPr="008D2076">
              <w:rPr>
                <w:sz w:val="20"/>
                <w:szCs w:val="20"/>
                <w:lang w:val="es-419"/>
              </w:rPr>
              <w:t>Informe de verificación para la etapa I del plan de gestión de la eliminación de los HCFC</w:t>
            </w:r>
          </w:p>
        </w:tc>
        <w:tc>
          <w:tcPr>
            <w:tcW w:w="614" w:type="pct"/>
            <w:shd w:val="clear" w:color="auto" w:fill="auto"/>
          </w:tcPr>
          <w:p w14:paraId="585F111C" w14:textId="77777777" w:rsidR="00071E00" w:rsidRPr="008D2076" w:rsidRDefault="00071E00" w:rsidP="003F05D0">
            <w:pPr>
              <w:snapToGrid w:val="0"/>
              <w:jc w:val="right"/>
              <w:rPr>
                <w:color w:val="000000"/>
                <w:sz w:val="20"/>
                <w:szCs w:val="20"/>
                <w:lang w:val="es-419"/>
              </w:rPr>
            </w:pPr>
            <w:r w:rsidRPr="008D2076">
              <w:rPr>
                <w:color w:val="000000" w:themeColor="text1"/>
                <w:sz w:val="20"/>
                <w:szCs w:val="20"/>
                <w:lang w:val="es-419"/>
              </w:rPr>
              <w:t>30 000</w:t>
            </w:r>
          </w:p>
        </w:tc>
        <w:tc>
          <w:tcPr>
            <w:tcW w:w="857" w:type="pct"/>
            <w:shd w:val="clear" w:color="auto" w:fill="auto"/>
          </w:tcPr>
          <w:p w14:paraId="52203471" w14:textId="77777777" w:rsidR="00071E00" w:rsidRPr="008D2076" w:rsidRDefault="00071E00" w:rsidP="003F05D0">
            <w:pPr>
              <w:snapToGrid w:val="0"/>
              <w:jc w:val="right"/>
              <w:rPr>
                <w:color w:val="000000"/>
                <w:sz w:val="20"/>
                <w:szCs w:val="20"/>
                <w:lang w:val="es-419"/>
              </w:rPr>
            </w:pPr>
            <w:r w:rsidRPr="008D2076">
              <w:rPr>
                <w:color w:val="000000" w:themeColor="text1"/>
                <w:sz w:val="20"/>
                <w:szCs w:val="20"/>
                <w:lang w:val="es-419"/>
              </w:rPr>
              <w:t>30 000</w:t>
            </w:r>
          </w:p>
        </w:tc>
      </w:tr>
      <w:tr w:rsidR="00071E00" w:rsidRPr="008D2076" w14:paraId="7C3189F3" w14:textId="77777777" w:rsidTr="003F05D0">
        <w:trPr>
          <w:trHeight w:val="219"/>
        </w:trPr>
        <w:tc>
          <w:tcPr>
            <w:tcW w:w="951" w:type="pct"/>
            <w:shd w:val="clear" w:color="auto" w:fill="auto"/>
          </w:tcPr>
          <w:p w14:paraId="6CAE4BE5" w14:textId="77777777" w:rsidR="00071E00" w:rsidRPr="008D2076" w:rsidRDefault="00071E00" w:rsidP="003F05D0">
            <w:pPr>
              <w:jc w:val="left"/>
              <w:rPr>
                <w:color w:val="000000"/>
                <w:sz w:val="20"/>
                <w:szCs w:val="20"/>
                <w:lang w:val="es-419"/>
              </w:rPr>
            </w:pPr>
            <w:r w:rsidRPr="008D2076">
              <w:rPr>
                <w:color w:val="000000" w:themeColor="text1"/>
                <w:sz w:val="20"/>
                <w:szCs w:val="20"/>
                <w:lang w:val="es-419"/>
              </w:rPr>
              <w:t>Macedonia del Norte</w:t>
            </w:r>
          </w:p>
        </w:tc>
        <w:tc>
          <w:tcPr>
            <w:tcW w:w="2578" w:type="pct"/>
            <w:shd w:val="clear" w:color="auto" w:fill="auto"/>
          </w:tcPr>
          <w:p w14:paraId="75A29449" w14:textId="77777777" w:rsidR="00071E00" w:rsidRPr="008D2076" w:rsidRDefault="00071E00" w:rsidP="003F05D0">
            <w:pPr>
              <w:snapToGrid w:val="0"/>
              <w:jc w:val="left"/>
              <w:rPr>
                <w:sz w:val="20"/>
                <w:szCs w:val="20"/>
                <w:lang w:val="es-419"/>
              </w:rPr>
            </w:pPr>
            <w:r w:rsidRPr="008D2076">
              <w:rPr>
                <w:sz w:val="20"/>
                <w:szCs w:val="20"/>
                <w:lang w:val="es-419"/>
              </w:rPr>
              <w:t>Informe de verificación para la etapa I del plan de gestión de la eliminación de los HCFC</w:t>
            </w:r>
          </w:p>
        </w:tc>
        <w:tc>
          <w:tcPr>
            <w:tcW w:w="614" w:type="pct"/>
            <w:shd w:val="clear" w:color="auto" w:fill="auto"/>
          </w:tcPr>
          <w:p w14:paraId="791FBDB6" w14:textId="77777777" w:rsidR="00071E00" w:rsidRPr="008D2076" w:rsidRDefault="00071E00" w:rsidP="003F05D0">
            <w:pPr>
              <w:snapToGrid w:val="0"/>
              <w:jc w:val="right"/>
              <w:rPr>
                <w:color w:val="000000"/>
                <w:sz w:val="20"/>
                <w:szCs w:val="20"/>
                <w:lang w:val="es-419"/>
              </w:rPr>
            </w:pPr>
            <w:r w:rsidRPr="008D2076">
              <w:rPr>
                <w:color w:val="000000" w:themeColor="text1"/>
                <w:sz w:val="20"/>
                <w:szCs w:val="20"/>
                <w:lang w:val="es-419"/>
              </w:rPr>
              <w:t>30 000</w:t>
            </w:r>
          </w:p>
        </w:tc>
        <w:tc>
          <w:tcPr>
            <w:tcW w:w="857" w:type="pct"/>
            <w:shd w:val="clear" w:color="auto" w:fill="auto"/>
          </w:tcPr>
          <w:p w14:paraId="51BDDF6F" w14:textId="77777777" w:rsidR="00071E00" w:rsidRPr="008D2076" w:rsidRDefault="00071E00" w:rsidP="003F05D0">
            <w:pPr>
              <w:snapToGrid w:val="0"/>
              <w:jc w:val="right"/>
              <w:rPr>
                <w:color w:val="000000"/>
                <w:sz w:val="20"/>
                <w:szCs w:val="20"/>
                <w:lang w:val="es-419"/>
              </w:rPr>
            </w:pPr>
            <w:r w:rsidRPr="008D2076">
              <w:rPr>
                <w:color w:val="000000" w:themeColor="text1"/>
                <w:sz w:val="20"/>
                <w:szCs w:val="20"/>
                <w:lang w:val="es-419"/>
              </w:rPr>
              <w:t>30 000</w:t>
            </w:r>
          </w:p>
        </w:tc>
      </w:tr>
      <w:tr w:rsidR="00071E00" w:rsidRPr="008D2076" w14:paraId="702CFEE7" w14:textId="77777777" w:rsidTr="003F05D0">
        <w:trPr>
          <w:trHeight w:val="219"/>
        </w:trPr>
        <w:tc>
          <w:tcPr>
            <w:tcW w:w="3529" w:type="pct"/>
            <w:gridSpan w:val="2"/>
            <w:shd w:val="clear" w:color="auto" w:fill="auto"/>
          </w:tcPr>
          <w:p w14:paraId="13862D4F" w14:textId="77777777" w:rsidR="00071E00" w:rsidRPr="008D2076" w:rsidRDefault="00071E00" w:rsidP="003F05D0">
            <w:pPr>
              <w:snapToGrid w:val="0"/>
              <w:jc w:val="right"/>
              <w:rPr>
                <w:sz w:val="20"/>
                <w:szCs w:val="20"/>
                <w:lang w:val="es-419"/>
              </w:rPr>
            </w:pPr>
            <w:r w:rsidRPr="008D2076">
              <w:rPr>
                <w:color w:val="000000" w:themeColor="text1"/>
                <w:sz w:val="20"/>
                <w:szCs w:val="20"/>
                <w:lang w:val="es-419"/>
              </w:rPr>
              <w:t>Subtotal para A2</w:t>
            </w:r>
          </w:p>
        </w:tc>
        <w:tc>
          <w:tcPr>
            <w:tcW w:w="614" w:type="pct"/>
            <w:shd w:val="clear" w:color="auto" w:fill="auto"/>
          </w:tcPr>
          <w:p w14:paraId="1D84F742" w14:textId="77777777" w:rsidR="00071E00" w:rsidRPr="008D2076" w:rsidRDefault="00071E00" w:rsidP="003F05D0">
            <w:pPr>
              <w:snapToGrid w:val="0"/>
              <w:jc w:val="right"/>
              <w:rPr>
                <w:color w:val="000000"/>
                <w:sz w:val="20"/>
                <w:szCs w:val="20"/>
                <w:lang w:val="es-419"/>
              </w:rPr>
            </w:pPr>
            <w:r w:rsidRPr="008D2076">
              <w:rPr>
                <w:color w:val="000000" w:themeColor="text1"/>
                <w:sz w:val="20"/>
                <w:szCs w:val="20"/>
                <w:lang w:val="es-419"/>
              </w:rPr>
              <w:t>60 000</w:t>
            </w:r>
          </w:p>
        </w:tc>
        <w:tc>
          <w:tcPr>
            <w:tcW w:w="857" w:type="pct"/>
            <w:shd w:val="clear" w:color="auto" w:fill="auto"/>
          </w:tcPr>
          <w:p w14:paraId="110E645D" w14:textId="77777777" w:rsidR="00071E00" w:rsidRPr="008D2076" w:rsidRDefault="00071E00" w:rsidP="003F05D0">
            <w:pPr>
              <w:snapToGrid w:val="0"/>
              <w:jc w:val="right"/>
              <w:rPr>
                <w:color w:val="000000"/>
                <w:sz w:val="20"/>
                <w:szCs w:val="20"/>
                <w:lang w:val="es-419"/>
              </w:rPr>
            </w:pPr>
            <w:r w:rsidRPr="008D2076">
              <w:rPr>
                <w:color w:val="000000" w:themeColor="text1"/>
                <w:sz w:val="20"/>
                <w:szCs w:val="20"/>
                <w:lang w:val="es-419"/>
              </w:rPr>
              <w:t>60 000</w:t>
            </w:r>
          </w:p>
        </w:tc>
      </w:tr>
      <w:tr w:rsidR="00071E00" w:rsidRPr="008D2076" w14:paraId="427BF109" w14:textId="77777777" w:rsidTr="003F05D0">
        <w:trPr>
          <w:trHeight w:val="219"/>
        </w:trPr>
        <w:tc>
          <w:tcPr>
            <w:tcW w:w="3529" w:type="pct"/>
            <w:gridSpan w:val="2"/>
            <w:shd w:val="clear" w:color="auto" w:fill="auto"/>
          </w:tcPr>
          <w:p w14:paraId="093BC9D3" w14:textId="77777777" w:rsidR="00071E00" w:rsidRPr="008D2076" w:rsidRDefault="00071E00" w:rsidP="003F05D0">
            <w:pPr>
              <w:snapToGrid w:val="0"/>
              <w:jc w:val="right"/>
              <w:rPr>
                <w:sz w:val="20"/>
                <w:szCs w:val="20"/>
                <w:lang w:val="es-419"/>
              </w:rPr>
            </w:pPr>
            <w:r w:rsidRPr="008D2076">
              <w:rPr>
                <w:color w:val="000000" w:themeColor="text1"/>
                <w:sz w:val="20"/>
                <w:szCs w:val="20"/>
                <w:lang w:val="es-419"/>
              </w:rPr>
              <w:t>Gastos de apoyo al organismo</w:t>
            </w:r>
          </w:p>
        </w:tc>
        <w:tc>
          <w:tcPr>
            <w:tcW w:w="614" w:type="pct"/>
            <w:shd w:val="clear" w:color="auto" w:fill="auto"/>
          </w:tcPr>
          <w:p w14:paraId="55BA5853" w14:textId="77777777" w:rsidR="00071E00" w:rsidRPr="008D2076" w:rsidRDefault="00071E00" w:rsidP="003F05D0">
            <w:pPr>
              <w:snapToGrid w:val="0"/>
              <w:jc w:val="right"/>
              <w:rPr>
                <w:color w:val="000000"/>
                <w:sz w:val="20"/>
                <w:szCs w:val="20"/>
                <w:lang w:val="es-419"/>
              </w:rPr>
            </w:pPr>
            <w:r w:rsidRPr="008D2076">
              <w:rPr>
                <w:color w:val="000000" w:themeColor="text1"/>
                <w:sz w:val="20"/>
                <w:szCs w:val="20"/>
                <w:lang w:val="es-419"/>
              </w:rPr>
              <w:t>5 400</w:t>
            </w:r>
          </w:p>
        </w:tc>
        <w:tc>
          <w:tcPr>
            <w:tcW w:w="857" w:type="pct"/>
            <w:shd w:val="clear" w:color="auto" w:fill="auto"/>
          </w:tcPr>
          <w:p w14:paraId="68DB5C97" w14:textId="77777777" w:rsidR="00071E00" w:rsidRPr="008D2076" w:rsidRDefault="00071E00" w:rsidP="003F05D0">
            <w:pPr>
              <w:snapToGrid w:val="0"/>
              <w:jc w:val="right"/>
              <w:rPr>
                <w:color w:val="000000"/>
                <w:sz w:val="20"/>
                <w:szCs w:val="20"/>
                <w:lang w:val="es-419"/>
              </w:rPr>
            </w:pPr>
            <w:r w:rsidRPr="008D2076">
              <w:rPr>
                <w:color w:val="000000" w:themeColor="text1"/>
                <w:sz w:val="20"/>
                <w:szCs w:val="20"/>
                <w:lang w:val="es-419"/>
              </w:rPr>
              <w:t>5 400</w:t>
            </w:r>
          </w:p>
        </w:tc>
      </w:tr>
      <w:tr w:rsidR="00071E00" w:rsidRPr="008D2076" w14:paraId="33415CF1" w14:textId="77777777" w:rsidTr="003F05D0">
        <w:trPr>
          <w:trHeight w:val="219"/>
        </w:trPr>
        <w:tc>
          <w:tcPr>
            <w:tcW w:w="3529" w:type="pct"/>
            <w:gridSpan w:val="2"/>
            <w:shd w:val="clear" w:color="auto" w:fill="auto"/>
          </w:tcPr>
          <w:p w14:paraId="27DABA7E" w14:textId="77777777" w:rsidR="00071E00" w:rsidRPr="008D2076" w:rsidRDefault="00071E00" w:rsidP="003F05D0">
            <w:pPr>
              <w:snapToGrid w:val="0"/>
              <w:jc w:val="right"/>
              <w:rPr>
                <w:sz w:val="20"/>
                <w:szCs w:val="20"/>
                <w:lang w:val="es-419"/>
              </w:rPr>
            </w:pPr>
            <w:r w:rsidRPr="008D2076">
              <w:rPr>
                <w:color w:val="000000" w:themeColor="text1"/>
                <w:sz w:val="20"/>
                <w:szCs w:val="20"/>
                <w:lang w:val="es-419"/>
              </w:rPr>
              <w:t>Total para A2</w:t>
            </w:r>
          </w:p>
        </w:tc>
        <w:tc>
          <w:tcPr>
            <w:tcW w:w="614" w:type="pct"/>
            <w:shd w:val="clear" w:color="auto" w:fill="auto"/>
          </w:tcPr>
          <w:p w14:paraId="0D312D8C" w14:textId="77777777" w:rsidR="00071E00" w:rsidRPr="008D2076" w:rsidRDefault="00071E00" w:rsidP="003F05D0">
            <w:pPr>
              <w:snapToGrid w:val="0"/>
              <w:jc w:val="right"/>
              <w:rPr>
                <w:color w:val="000000"/>
                <w:sz w:val="20"/>
                <w:szCs w:val="20"/>
                <w:lang w:val="es-419"/>
              </w:rPr>
            </w:pPr>
            <w:r w:rsidRPr="008D2076">
              <w:rPr>
                <w:color w:val="000000" w:themeColor="text1"/>
                <w:sz w:val="20"/>
                <w:szCs w:val="20"/>
                <w:lang w:val="es-419"/>
              </w:rPr>
              <w:t>65 400</w:t>
            </w:r>
          </w:p>
        </w:tc>
        <w:tc>
          <w:tcPr>
            <w:tcW w:w="857" w:type="pct"/>
            <w:shd w:val="clear" w:color="auto" w:fill="auto"/>
          </w:tcPr>
          <w:p w14:paraId="32AD090F" w14:textId="77777777" w:rsidR="00071E00" w:rsidRPr="008D2076" w:rsidRDefault="00071E00" w:rsidP="003F05D0">
            <w:pPr>
              <w:snapToGrid w:val="0"/>
              <w:jc w:val="right"/>
              <w:rPr>
                <w:color w:val="000000"/>
                <w:sz w:val="20"/>
                <w:szCs w:val="20"/>
                <w:lang w:val="es-419"/>
              </w:rPr>
            </w:pPr>
            <w:r w:rsidRPr="008D2076">
              <w:rPr>
                <w:color w:val="000000" w:themeColor="text1"/>
                <w:sz w:val="20"/>
                <w:szCs w:val="20"/>
                <w:lang w:val="es-419"/>
              </w:rPr>
              <w:t>65 400</w:t>
            </w:r>
          </w:p>
        </w:tc>
      </w:tr>
      <w:tr w:rsidR="00071E00" w:rsidRPr="00D043AF" w14:paraId="2C95CA58" w14:textId="77777777" w:rsidTr="003F05D0">
        <w:trPr>
          <w:trHeight w:val="235"/>
        </w:trPr>
        <w:tc>
          <w:tcPr>
            <w:tcW w:w="3529" w:type="pct"/>
            <w:gridSpan w:val="2"/>
          </w:tcPr>
          <w:p w14:paraId="6D9750E1" w14:textId="77777777" w:rsidR="00071E00" w:rsidRPr="008D2076" w:rsidRDefault="00071E00" w:rsidP="003F05D0">
            <w:pPr>
              <w:jc w:val="left"/>
              <w:rPr>
                <w:b/>
                <w:color w:val="000000" w:themeColor="text1"/>
                <w:sz w:val="20"/>
                <w:szCs w:val="20"/>
                <w:lang w:val="es-419"/>
              </w:rPr>
            </w:pPr>
            <w:r w:rsidRPr="008D2076">
              <w:rPr>
                <w:b/>
                <w:color w:val="000000" w:themeColor="text1"/>
                <w:sz w:val="20"/>
                <w:szCs w:val="20"/>
                <w:lang w:val="es-419"/>
              </w:rPr>
              <w:t>A3: Preparación de proyectos para planes de gestión de la eliminación de los HCFC (PGEH)</w:t>
            </w:r>
          </w:p>
        </w:tc>
        <w:tc>
          <w:tcPr>
            <w:tcW w:w="614" w:type="pct"/>
          </w:tcPr>
          <w:p w14:paraId="6106C4F1" w14:textId="77777777" w:rsidR="00071E00" w:rsidRPr="008D2076" w:rsidRDefault="00071E00" w:rsidP="003F05D0">
            <w:pPr>
              <w:jc w:val="right"/>
              <w:rPr>
                <w:color w:val="000000" w:themeColor="text1"/>
                <w:sz w:val="20"/>
                <w:szCs w:val="20"/>
                <w:highlight w:val="yellow"/>
                <w:lang w:val="es-419"/>
              </w:rPr>
            </w:pPr>
          </w:p>
        </w:tc>
        <w:tc>
          <w:tcPr>
            <w:tcW w:w="857" w:type="pct"/>
          </w:tcPr>
          <w:p w14:paraId="5BBE3F78" w14:textId="77777777" w:rsidR="00071E00" w:rsidRPr="008D2076" w:rsidRDefault="00071E00" w:rsidP="003F05D0">
            <w:pPr>
              <w:jc w:val="right"/>
              <w:rPr>
                <w:color w:val="000000" w:themeColor="text1"/>
                <w:sz w:val="20"/>
                <w:szCs w:val="20"/>
                <w:highlight w:val="yellow"/>
                <w:lang w:val="es-419"/>
              </w:rPr>
            </w:pPr>
          </w:p>
        </w:tc>
      </w:tr>
      <w:tr w:rsidR="00071E00" w:rsidRPr="008D2076" w14:paraId="3953AE8E" w14:textId="77777777" w:rsidTr="003F05D0">
        <w:trPr>
          <w:trHeight w:val="235"/>
        </w:trPr>
        <w:tc>
          <w:tcPr>
            <w:tcW w:w="951" w:type="pct"/>
            <w:vAlign w:val="center"/>
          </w:tcPr>
          <w:p w14:paraId="09804D17" w14:textId="77777777" w:rsidR="00071E00" w:rsidRPr="008D2076" w:rsidRDefault="00071E00" w:rsidP="003F05D0">
            <w:pPr>
              <w:snapToGrid w:val="0"/>
              <w:rPr>
                <w:sz w:val="20"/>
                <w:szCs w:val="20"/>
                <w:lang w:val="es-419"/>
              </w:rPr>
            </w:pPr>
            <w:r w:rsidRPr="008D2076">
              <w:rPr>
                <w:bCs/>
                <w:color w:val="000000"/>
                <w:sz w:val="20"/>
                <w:szCs w:val="20"/>
                <w:lang w:val="es-419"/>
              </w:rPr>
              <w:t>Chile*</w:t>
            </w:r>
          </w:p>
        </w:tc>
        <w:tc>
          <w:tcPr>
            <w:tcW w:w="2578" w:type="pct"/>
            <w:vAlign w:val="center"/>
          </w:tcPr>
          <w:p w14:paraId="1A1A2AE6" w14:textId="77777777" w:rsidR="00071E00" w:rsidRPr="008D2076" w:rsidRDefault="00071E00" w:rsidP="003F05D0">
            <w:pPr>
              <w:snapToGrid w:val="0"/>
              <w:rPr>
                <w:lang w:val="es-419"/>
              </w:rPr>
            </w:pPr>
            <w:r w:rsidRPr="008D2076">
              <w:rPr>
                <w:color w:val="000000" w:themeColor="text1"/>
                <w:sz w:val="20"/>
                <w:szCs w:val="20"/>
                <w:lang w:val="es-419"/>
              </w:rPr>
              <w:t>Preparación de un PGEH (etapa III)</w:t>
            </w:r>
          </w:p>
        </w:tc>
        <w:tc>
          <w:tcPr>
            <w:tcW w:w="614" w:type="pct"/>
          </w:tcPr>
          <w:p w14:paraId="78EC6E3A" w14:textId="77777777" w:rsidR="00071E00" w:rsidRPr="008D2076" w:rsidRDefault="00071E00" w:rsidP="003F05D0">
            <w:pPr>
              <w:jc w:val="right"/>
              <w:rPr>
                <w:sz w:val="20"/>
                <w:szCs w:val="20"/>
                <w:lang w:val="es-419"/>
              </w:rPr>
            </w:pPr>
            <w:r w:rsidRPr="008D2076">
              <w:rPr>
                <w:bCs/>
                <w:sz w:val="20"/>
                <w:szCs w:val="20"/>
                <w:lang w:val="es-419"/>
              </w:rPr>
              <w:t>45 000</w:t>
            </w:r>
          </w:p>
        </w:tc>
        <w:tc>
          <w:tcPr>
            <w:tcW w:w="857" w:type="pct"/>
          </w:tcPr>
          <w:p w14:paraId="214D9B83" w14:textId="77777777" w:rsidR="00071E00" w:rsidRPr="008D2076" w:rsidRDefault="00071E00" w:rsidP="003F05D0">
            <w:pPr>
              <w:jc w:val="right"/>
              <w:rPr>
                <w:sz w:val="20"/>
                <w:szCs w:val="20"/>
                <w:lang w:val="es-419"/>
              </w:rPr>
            </w:pPr>
            <w:r w:rsidRPr="008D2076">
              <w:rPr>
                <w:bCs/>
                <w:sz w:val="20"/>
                <w:szCs w:val="20"/>
                <w:lang w:val="es-419"/>
              </w:rPr>
              <w:t>45 000</w:t>
            </w:r>
          </w:p>
        </w:tc>
      </w:tr>
      <w:tr w:rsidR="00071E00" w:rsidRPr="008D2076" w14:paraId="48C1EBA5" w14:textId="77777777" w:rsidTr="003F05D0">
        <w:trPr>
          <w:trHeight w:val="235"/>
        </w:trPr>
        <w:tc>
          <w:tcPr>
            <w:tcW w:w="951" w:type="pct"/>
            <w:vAlign w:val="center"/>
          </w:tcPr>
          <w:p w14:paraId="5A5C5FBE" w14:textId="77777777" w:rsidR="00071E00" w:rsidRPr="008D2076" w:rsidRDefault="00071E00" w:rsidP="003F05D0">
            <w:pPr>
              <w:snapToGrid w:val="0"/>
              <w:rPr>
                <w:sz w:val="20"/>
                <w:szCs w:val="20"/>
                <w:lang w:val="es-419"/>
              </w:rPr>
            </w:pPr>
            <w:r w:rsidRPr="008D2076">
              <w:rPr>
                <w:bCs/>
                <w:color w:val="000000"/>
                <w:sz w:val="20"/>
                <w:szCs w:val="20"/>
                <w:lang w:val="es-419"/>
              </w:rPr>
              <w:t>Guinea**</w:t>
            </w:r>
          </w:p>
        </w:tc>
        <w:tc>
          <w:tcPr>
            <w:tcW w:w="2578" w:type="pct"/>
          </w:tcPr>
          <w:p w14:paraId="24D1D3EB" w14:textId="77777777" w:rsidR="00071E00" w:rsidRPr="008D2076" w:rsidRDefault="00071E00" w:rsidP="003F05D0">
            <w:pPr>
              <w:snapToGrid w:val="0"/>
              <w:rPr>
                <w:lang w:val="es-419"/>
              </w:rPr>
            </w:pPr>
            <w:r w:rsidRPr="008D2076">
              <w:rPr>
                <w:color w:val="000000" w:themeColor="text1"/>
                <w:sz w:val="20"/>
                <w:szCs w:val="20"/>
                <w:lang w:val="es-419"/>
              </w:rPr>
              <w:t>Preparación de un PGEH (etapa II)</w:t>
            </w:r>
          </w:p>
        </w:tc>
        <w:tc>
          <w:tcPr>
            <w:tcW w:w="614" w:type="pct"/>
          </w:tcPr>
          <w:p w14:paraId="20BB9452" w14:textId="77777777" w:rsidR="00071E00" w:rsidRPr="008D2076" w:rsidRDefault="00071E00" w:rsidP="003F05D0">
            <w:pPr>
              <w:jc w:val="right"/>
              <w:rPr>
                <w:sz w:val="20"/>
                <w:szCs w:val="20"/>
                <w:lang w:val="es-419"/>
              </w:rPr>
            </w:pPr>
            <w:r w:rsidRPr="008D2076">
              <w:rPr>
                <w:sz w:val="20"/>
                <w:szCs w:val="20"/>
                <w:lang w:val="es-419"/>
              </w:rPr>
              <w:t>10 000</w:t>
            </w:r>
          </w:p>
        </w:tc>
        <w:tc>
          <w:tcPr>
            <w:tcW w:w="857" w:type="pct"/>
          </w:tcPr>
          <w:p w14:paraId="5735DF3C" w14:textId="77777777" w:rsidR="00071E00" w:rsidRPr="008D2076" w:rsidRDefault="00071E00" w:rsidP="003F05D0">
            <w:pPr>
              <w:jc w:val="right"/>
              <w:rPr>
                <w:sz w:val="20"/>
                <w:szCs w:val="20"/>
                <w:lang w:val="es-419"/>
              </w:rPr>
            </w:pPr>
            <w:r w:rsidRPr="008D2076">
              <w:rPr>
                <w:sz w:val="20"/>
                <w:szCs w:val="20"/>
                <w:lang w:val="es-419"/>
              </w:rPr>
              <w:t>10 000</w:t>
            </w:r>
          </w:p>
        </w:tc>
      </w:tr>
      <w:tr w:rsidR="00071E00" w:rsidRPr="008D2076" w14:paraId="45DA65D2" w14:textId="77777777" w:rsidTr="003F05D0">
        <w:trPr>
          <w:trHeight w:val="235"/>
        </w:trPr>
        <w:tc>
          <w:tcPr>
            <w:tcW w:w="951" w:type="pct"/>
            <w:vAlign w:val="center"/>
          </w:tcPr>
          <w:p w14:paraId="5279F387" w14:textId="77777777" w:rsidR="00071E00" w:rsidRPr="008D2076" w:rsidRDefault="00071E00" w:rsidP="003F05D0">
            <w:pPr>
              <w:snapToGrid w:val="0"/>
              <w:rPr>
                <w:sz w:val="20"/>
                <w:szCs w:val="20"/>
                <w:lang w:val="es-419"/>
              </w:rPr>
            </w:pPr>
            <w:r w:rsidRPr="008D2076">
              <w:rPr>
                <w:bCs/>
                <w:sz w:val="20"/>
                <w:szCs w:val="20"/>
                <w:lang w:val="es-419"/>
              </w:rPr>
              <w:t>Omán*</w:t>
            </w:r>
          </w:p>
        </w:tc>
        <w:tc>
          <w:tcPr>
            <w:tcW w:w="2578" w:type="pct"/>
          </w:tcPr>
          <w:p w14:paraId="2B807309" w14:textId="77777777" w:rsidR="00071E00" w:rsidRPr="008D2076" w:rsidRDefault="00071E00" w:rsidP="003F05D0">
            <w:pPr>
              <w:snapToGrid w:val="0"/>
              <w:rPr>
                <w:lang w:val="es-419"/>
              </w:rPr>
            </w:pPr>
            <w:r w:rsidRPr="008D2076">
              <w:rPr>
                <w:color w:val="000000" w:themeColor="text1"/>
                <w:sz w:val="20"/>
                <w:szCs w:val="20"/>
                <w:lang w:val="es-419"/>
              </w:rPr>
              <w:t>Preparación de un PGEH (etapa III)</w:t>
            </w:r>
          </w:p>
        </w:tc>
        <w:tc>
          <w:tcPr>
            <w:tcW w:w="614" w:type="pct"/>
          </w:tcPr>
          <w:p w14:paraId="79C9F6CF" w14:textId="77777777" w:rsidR="00071E00" w:rsidRPr="008D2076" w:rsidRDefault="00071E00" w:rsidP="003F05D0">
            <w:pPr>
              <w:jc w:val="right"/>
              <w:rPr>
                <w:sz w:val="20"/>
                <w:szCs w:val="20"/>
                <w:lang w:val="es-419"/>
              </w:rPr>
            </w:pPr>
            <w:r w:rsidRPr="008D2076">
              <w:rPr>
                <w:bCs/>
                <w:sz w:val="20"/>
                <w:szCs w:val="20"/>
                <w:lang w:val="es-419"/>
              </w:rPr>
              <w:t>40 000</w:t>
            </w:r>
          </w:p>
        </w:tc>
        <w:tc>
          <w:tcPr>
            <w:tcW w:w="857" w:type="pct"/>
          </w:tcPr>
          <w:p w14:paraId="540E5B88" w14:textId="77777777" w:rsidR="00071E00" w:rsidRPr="008D2076" w:rsidRDefault="00071E00" w:rsidP="003F05D0">
            <w:pPr>
              <w:jc w:val="right"/>
              <w:rPr>
                <w:sz w:val="20"/>
                <w:szCs w:val="20"/>
                <w:lang w:val="es-419"/>
              </w:rPr>
            </w:pPr>
            <w:r w:rsidRPr="008D2076">
              <w:rPr>
                <w:bCs/>
                <w:sz w:val="20"/>
                <w:szCs w:val="20"/>
                <w:lang w:val="es-419"/>
              </w:rPr>
              <w:t>40 000</w:t>
            </w:r>
          </w:p>
        </w:tc>
      </w:tr>
      <w:tr w:rsidR="00071E00" w:rsidRPr="008D2076" w14:paraId="5FCB22E6" w14:textId="77777777" w:rsidTr="003F05D0">
        <w:trPr>
          <w:trHeight w:val="235"/>
        </w:trPr>
        <w:tc>
          <w:tcPr>
            <w:tcW w:w="951" w:type="pct"/>
            <w:vMerge w:val="restart"/>
            <w:vAlign w:val="center"/>
          </w:tcPr>
          <w:p w14:paraId="6680F4F7" w14:textId="77777777" w:rsidR="00071E00" w:rsidRPr="008D2076" w:rsidRDefault="00071E00" w:rsidP="003F05D0">
            <w:pPr>
              <w:snapToGrid w:val="0"/>
              <w:rPr>
                <w:sz w:val="20"/>
                <w:szCs w:val="20"/>
                <w:lang w:val="es-419"/>
              </w:rPr>
            </w:pPr>
            <w:r w:rsidRPr="008D2076">
              <w:rPr>
                <w:sz w:val="20"/>
                <w:szCs w:val="20"/>
                <w:lang w:val="es-419"/>
              </w:rPr>
              <w:t>Arabia Saudita*</w:t>
            </w:r>
          </w:p>
        </w:tc>
        <w:tc>
          <w:tcPr>
            <w:tcW w:w="2578" w:type="pct"/>
          </w:tcPr>
          <w:p w14:paraId="7C429319" w14:textId="77777777" w:rsidR="00071E00" w:rsidRPr="008D2076" w:rsidRDefault="00071E00" w:rsidP="003F05D0">
            <w:pPr>
              <w:snapToGrid w:val="0"/>
              <w:rPr>
                <w:color w:val="000000" w:themeColor="text1"/>
                <w:sz w:val="20"/>
                <w:szCs w:val="20"/>
                <w:lang w:val="es-419"/>
              </w:rPr>
            </w:pPr>
            <w:r w:rsidRPr="008D2076">
              <w:rPr>
                <w:color w:val="000000" w:themeColor="text1"/>
                <w:sz w:val="20"/>
                <w:szCs w:val="20"/>
                <w:lang w:val="es-419"/>
              </w:rPr>
              <w:t>Preparación de un PGEH (etapa II)</w:t>
            </w:r>
          </w:p>
        </w:tc>
        <w:tc>
          <w:tcPr>
            <w:tcW w:w="614" w:type="pct"/>
          </w:tcPr>
          <w:p w14:paraId="21123173" w14:textId="77777777" w:rsidR="00071E00" w:rsidRPr="008D2076" w:rsidRDefault="00071E00" w:rsidP="003F05D0">
            <w:pPr>
              <w:jc w:val="right"/>
              <w:rPr>
                <w:sz w:val="20"/>
                <w:szCs w:val="20"/>
                <w:lang w:val="es-419"/>
              </w:rPr>
            </w:pPr>
            <w:r w:rsidRPr="008D2076">
              <w:rPr>
                <w:bCs/>
                <w:sz w:val="20"/>
                <w:szCs w:val="20"/>
                <w:lang w:val="es-419"/>
              </w:rPr>
              <w:t>45 000</w:t>
            </w:r>
          </w:p>
        </w:tc>
        <w:tc>
          <w:tcPr>
            <w:tcW w:w="857" w:type="pct"/>
          </w:tcPr>
          <w:p w14:paraId="51FFDCEC" w14:textId="77777777" w:rsidR="00071E00" w:rsidRPr="008D2076" w:rsidRDefault="00071E00" w:rsidP="003F05D0">
            <w:pPr>
              <w:jc w:val="right"/>
              <w:rPr>
                <w:sz w:val="20"/>
                <w:szCs w:val="20"/>
                <w:lang w:val="es-419"/>
              </w:rPr>
            </w:pPr>
            <w:r w:rsidRPr="008D2076">
              <w:rPr>
                <w:bCs/>
                <w:sz w:val="20"/>
                <w:szCs w:val="20"/>
                <w:lang w:val="es-419"/>
              </w:rPr>
              <w:t>45 000</w:t>
            </w:r>
          </w:p>
        </w:tc>
      </w:tr>
      <w:tr w:rsidR="00071E00" w:rsidRPr="008D2076" w14:paraId="2FDD7DF0" w14:textId="77777777" w:rsidTr="003F05D0">
        <w:trPr>
          <w:trHeight w:val="235"/>
        </w:trPr>
        <w:tc>
          <w:tcPr>
            <w:tcW w:w="951" w:type="pct"/>
            <w:vMerge/>
            <w:vAlign w:val="center"/>
          </w:tcPr>
          <w:p w14:paraId="0F06B13E" w14:textId="77777777" w:rsidR="00071E00" w:rsidRPr="008D2076" w:rsidRDefault="00071E00" w:rsidP="003F05D0">
            <w:pPr>
              <w:snapToGrid w:val="0"/>
              <w:rPr>
                <w:sz w:val="20"/>
                <w:szCs w:val="20"/>
                <w:lang w:val="es-419"/>
              </w:rPr>
            </w:pPr>
          </w:p>
        </w:tc>
        <w:tc>
          <w:tcPr>
            <w:tcW w:w="2578" w:type="pct"/>
          </w:tcPr>
          <w:p w14:paraId="0ECA4947" w14:textId="77777777" w:rsidR="00071E00" w:rsidRPr="008D2076" w:rsidRDefault="00071E00" w:rsidP="003F05D0">
            <w:pPr>
              <w:snapToGrid w:val="0"/>
              <w:rPr>
                <w:color w:val="000000" w:themeColor="text1"/>
                <w:sz w:val="20"/>
                <w:szCs w:val="20"/>
                <w:lang w:val="es-419"/>
              </w:rPr>
            </w:pPr>
            <w:r w:rsidRPr="008D2076">
              <w:rPr>
                <w:color w:val="000000" w:themeColor="text1"/>
                <w:sz w:val="20"/>
                <w:szCs w:val="20"/>
                <w:lang w:val="es-419"/>
              </w:rPr>
              <w:t>Preparación para las actividades de inversión para la eliminación de HCFC (fabricación de equipos de refrigeración y aire acondicionado)</w:t>
            </w:r>
          </w:p>
        </w:tc>
        <w:tc>
          <w:tcPr>
            <w:tcW w:w="614" w:type="pct"/>
          </w:tcPr>
          <w:p w14:paraId="0169F3A7" w14:textId="77777777" w:rsidR="00071E00" w:rsidRPr="008D2076" w:rsidRDefault="00071E00" w:rsidP="003F05D0">
            <w:pPr>
              <w:jc w:val="right"/>
              <w:rPr>
                <w:sz w:val="20"/>
                <w:szCs w:val="20"/>
                <w:lang w:val="es-419"/>
              </w:rPr>
            </w:pPr>
            <w:r w:rsidRPr="008D2076">
              <w:rPr>
                <w:sz w:val="20"/>
                <w:szCs w:val="20"/>
                <w:lang w:val="es-419"/>
              </w:rPr>
              <w:t>150 000</w:t>
            </w:r>
          </w:p>
        </w:tc>
        <w:tc>
          <w:tcPr>
            <w:tcW w:w="857" w:type="pct"/>
          </w:tcPr>
          <w:p w14:paraId="58B4EC63" w14:textId="77777777" w:rsidR="00071E00" w:rsidRPr="008D2076" w:rsidRDefault="00071E00" w:rsidP="003F05D0">
            <w:pPr>
              <w:jc w:val="right"/>
              <w:rPr>
                <w:sz w:val="20"/>
                <w:szCs w:val="20"/>
                <w:lang w:val="es-419"/>
              </w:rPr>
            </w:pPr>
            <w:r w:rsidRPr="008D2076">
              <w:rPr>
                <w:sz w:val="20"/>
                <w:szCs w:val="20"/>
                <w:lang w:val="es-419"/>
              </w:rPr>
              <w:t>150 000</w:t>
            </w:r>
          </w:p>
        </w:tc>
      </w:tr>
      <w:tr w:rsidR="00071E00" w:rsidRPr="008D2076" w14:paraId="43540188" w14:textId="77777777" w:rsidTr="003F05D0">
        <w:trPr>
          <w:trHeight w:val="235"/>
        </w:trPr>
        <w:tc>
          <w:tcPr>
            <w:tcW w:w="951" w:type="pct"/>
            <w:vAlign w:val="center"/>
          </w:tcPr>
          <w:p w14:paraId="5F353BAC" w14:textId="77777777" w:rsidR="00071E00" w:rsidRPr="008D2076" w:rsidRDefault="00071E00" w:rsidP="003F05D0">
            <w:pPr>
              <w:snapToGrid w:val="0"/>
              <w:rPr>
                <w:sz w:val="20"/>
                <w:szCs w:val="20"/>
                <w:lang w:val="es-419"/>
              </w:rPr>
            </w:pPr>
            <w:r w:rsidRPr="008D2076">
              <w:rPr>
                <w:bCs/>
                <w:sz w:val="20"/>
                <w:szCs w:val="20"/>
                <w:lang w:val="es-419"/>
              </w:rPr>
              <w:t>Sudán</w:t>
            </w:r>
          </w:p>
        </w:tc>
        <w:tc>
          <w:tcPr>
            <w:tcW w:w="2578" w:type="pct"/>
          </w:tcPr>
          <w:p w14:paraId="183F2D5F" w14:textId="77777777" w:rsidR="00071E00" w:rsidRPr="008D2076" w:rsidRDefault="00071E00" w:rsidP="003F05D0">
            <w:pPr>
              <w:snapToGrid w:val="0"/>
              <w:rPr>
                <w:lang w:val="es-419"/>
              </w:rPr>
            </w:pPr>
            <w:r w:rsidRPr="008D2076">
              <w:rPr>
                <w:color w:val="000000" w:themeColor="text1"/>
                <w:sz w:val="20"/>
                <w:szCs w:val="20"/>
                <w:lang w:val="es-419"/>
              </w:rPr>
              <w:t>Preparación de un PGEH (etapa III)</w:t>
            </w:r>
          </w:p>
        </w:tc>
        <w:tc>
          <w:tcPr>
            <w:tcW w:w="614" w:type="pct"/>
          </w:tcPr>
          <w:p w14:paraId="4ABC60F7" w14:textId="77777777" w:rsidR="00071E00" w:rsidRPr="008D2076" w:rsidRDefault="00071E00" w:rsidP="003F05D0">
            <w:pPr>
              <w:jc w:val="right"/>
              <w:rPr>
                <w:sz w:val="20"/>
                <w:szCs w:val="20"/>
                <w:lang w:val="es-419"/>
              </w:rPr>
            </w:pPr>
            <w:r w:rsidRPr="008D2076">
              <w:rPr>
                <w:sz w:val="20"/>
                <w:szCs w:val="20"/>
                <w:lang w:val="es-419"/>
              </w:rPr>
              <w:t>30 000</w:t>
            </w:r>
          </w:p>
        </w:tc>
        <w:tc>
          <w:tcPr>
            <w:tcW w:w="857" w:type="pct"/>
          </w:tcPr>
          <w:p w14:paraId="37E0BA33" w14:textId="77777777" w:rsidR="00071E00" w:rsidRPr="008D2076" w:rsidRDefault="00071E00" w:rsidP="003F05D0">
            <w:pPr>
              <w:jc w:val="right"/>
              <w:rPr>
                <w:sz w:val="20"/>
                <w:szCs w:val="20"/>
                <w:lang w:val="es-419"/>
              </w:rPr>
            </w:pPr>
            <w:r w:rsidRPr="008D2076">
              <w:rPr>
                <w:sz w:val="20"/>
                <w:szCs w:val="20"/>
                <w:lang w:val="es-419"/>
              </w:rPr>
              <w:t>30 000</w:t>
            </w:r>
          </w:p>
        </w:tc>
      </w:tr>
      <w:tr w:rsidR="00071E00" w:rsidRPr="008D2076" w14:paraId="54E4EA61" w14:textId="77777777" w:rsidTr="003F05D0">
        <w:trPr>
          <w:trHeight w:val="235"/>
        </w:trPr>
        <w:tc>
          <w:tcPr>
            <w:tcW w:w="3529" w:type="pct"/>
            <w:gridSpan w:val="2"/>
          </w:tcPr>
          <w:p w14:paraId="08CB916E" w14:textId="77777777" w:rsidR="00071E00" w:rsidRPr="008D2076" w:rsidRDefault="00071E00" w:rsidP="003F05D0">
            <w:pPr>
              <w:jc w:val="right"/>
              <w:rPr>
                <w:color w:val="000000" w:themeColor="text1"/>
                <w:sz w:val="20"/>
                <w:szCs w:val="20"/>
                <w:lang w:val="es-419"/>
              </w:rPr>
            </w:pPr>
            <w:r w:rsidRPr="008D2076">
              <w:rPr>
                <w:color w:val="000000" w:themeColor="text1"/>
                <w:sz w:val="20"/>
                <w:szCs w:val="20"/>
                <w:lang w:val="es-419"/>
              </w:rPr>
              <w:t>Subtotal para A3</w:t>
            </w:r>
          </w:p>
        </w:tc>
        <w:tc>
          <w:tcPr>
            <w:tcW w:w="614" w:type="pct"/>
          </w:tcPr>
          <w:p w14:paraId="0496E655" w14:textId="77777777" w:rsidR="00071E00" w:rsidRPr="008D2076" w:rsidRDefault="00071E00" w:rsidP="003F05D0">
            <w:pPr>
              <w:jc w:val="right"/>
              <w:rPr>
                <w:color w:val="000000" w:themeColor="text1"/>
                <w:sz w:val="20"/>
                <w:szCs w:val="20"/>
                <w:lang w:val="es-419"/>
              </w:rPr>
            </w:pPr>
            <w:r w:rsidRPr="008D2076">
              <w:rPr>
                <w:color w:val="000000" w:themeColor="text1"/>
                <w:sz w:val="20"/>
                <w:szCs w:val="20"/>
                <w:lang w:val="es-419"/>
              </w:rPr>
              <w:t>320 000</w:t>
            </w:r>
          </w:p>
        </w:tc>
        <w:tc>
          <w:tcPr>
            <w:tcW w:w="857" w:type="pct"/>
          </w:tcPr>
          <w:p w14:paraId="2C0EF54A" w14:textId="77777777" w:rsidR="00071E00" w:rsidRPr="008D2076" w:rsidRDefault="00071E00" w:rsidP="003F05D0">
            <w:pPr>
              <w:jc w:val="right"/>
              <w:rPr>
                <w:color w:val="000000" w:themeColor="text1"/>
                <w:sz w:val="20"/>
                <w:szCs w:val="20"/>
                <w:lang w:val="es-419"/>
              </w:rPr>
            </w:pPr>
            <w:r w:rsidRPr="008D2076">
              <w:rPr>
                <w:color w:val="000000" w:themeColor="text1"/>
                <w:sz w:val="20"/>
                <w:szCs w:val="20"/>
                <w:lang w:val="es-419"/>
              </w:rPr>
              <w:t>320 000</w:t>
            </w:r>
          </w:p>
        </w:tc>
      </w:tr>
      <w:tr w:rsidR="00071E00" w:rsidRPr="008D2076" w14:paraId="6E8F8371" w14:textId="77777777" w:rsidTr="003F05D0">
        <w:trPr>
          <w:trHeight w:val="235"/>
        </w:trPr>
        <w:tc>
          <w:tcPr>
            <w:tcW w:w="3529" w:type="pct"/>
            <w:gridSpan w:val="2"/>
          </w:tcPr>
          <w:p w14:paraId="6D00648D" w14:textId="77777777" w:rsidR="00071E00" w:rsidRPr="008D2076" w:rsidRDefault="00071E00" w:rsidP="003F05D0">
            <w:pPr>
              <w:jc w:val="right"/>
              <w:rPr>
                <w:color w:val="000000" w:themeColor="text1"/>
                <w:sz w:val="20"/>
                <w:szCs w:val="20"/>
                <w:lang w:val="es-419"/>
              </w:rPr>
            </w:pPr>
            <w:r w:rsidRPr="008D2076">
              <w:rPr>
                <w:color w:val="000000" w:themeColor="text1"/>
                <w:sz w:val="20"/>
                <w:szCs w:val="20"/>
                <w:lang w:val="es-419"/>
              </w:rPr>
              <w:t>Gastos de apoyo al organismo</w:t>
            </w:r>
          </w:p>
        </w:tc>
        <w:tc>
          <w:tcPr>
            <w:tcW w:w="614" w:type="pct"/>
            <w:vAlign w:val="center"/>
          </w:tcPr>
          <w:p w14:paraId="431E62D8" w14:textId="77777777" w:rsidR="00071E00" w:rsidRPr="008D2076" w:rsidRDefault="00071E00" w:rsidP="003F05D0">
            <w:pPr>
              <w:jc w:val="right"/>
              <w:rPr>
                <w:color w:val="000000"/>
                <w:sz w:val="20"/>
                <w:szCs w:val="20"/>
                <w:lang w:val="es-419"/>
              </w:rPr>
            </w:pPr>
            <w:r w:rsidRPr="008D2076">
              <w:rPr>
                <w:color w:val="000000"/>
                <w:sz w:val="20"/>
                <w:szCs w:val="20"/>
                <w:lang w:val="es-419"/>
              </w:rPr>
              <w:t>22 400</w:t>
            </w:r>
          </w:p>
        </w:tc>
        <w:tc>
          <w:tcPr>
            <w:tcW w:w="857" w:type="pct"/>
            <w:vAlign w:val="center"/>
          </w:tcPr>
          <w:p w14:paraId="7FC2C86A" w14:textId="77777777" w:rsidR="00071E00" w:rsidRPr="008D2076" w:rsidRDefault="00071E00" w:rsidP="003F05D0">
            <w:pPr>
              <w:jc w:val="right"/>
              <w:rPr>
                <w:color w:val="000000"/>
                <w:sz w:val="20"/>
                <w:szCs w:val="20"/>
                <w:lang w:val="es-419"/>
              </w:rPr>
            </w:pPr>
            <w:r w:rsidRPr="008D2076">
              <w:rPr>
                <w:color w:val="000000"/>
                <w:sz w:val="20"/>
                <w:szCs w:val="20"/>
                <w:lang w:val="es-419"/>
              </w:rPr>
              <w:t>22 400</w:t>
            </w:r>
          </w:p>
        </w:tc>
      </w:tr>
      <w:tr w:rsidR="00071E00" w:rsidRPr="008D2076" w14:paraId="580136C9" w14:textId="77777777" w:rsidTr="003F05D0">
        <w:trPr>
          <w:trHeight w:val="235"/>
        </w:trPr>
        <w:tc>
          <w:tcPr>
            <w:tcW w:w="3529" w:type="pct"/>
            <w:gridSpan w:val="2"/>
          </w:tcPr>
          <w:p w14:paraId="12B2667D" w14:textId="77777777" w:rsidR="00071E00" w:rsidRPr="008D2076" w:rsidRDefault="00071E00" w:rsidP="003F05D0">
            <w:pPr>
              <w:jc w:val="right"/>
              <w:rPr>
                <w:color w:val="000000" w:themeColor="text1"/>
                <w:sz w:val="20"/>
                <w:szCs w:val="20"/>
                <w:lang w:val="es-419"/>
              </w:rPr>
            </w:pPr>
            <w:r w:rsidRPr="008D2076">
              <w:rPr>
                <w:color w:val="000000" w:themeColor="text1"/>
                <w:sz w:val="20"/>
                <w:szCs w:val="20"/>
                <w:lang w:val="es-419"/>
              </w:rPr>
              <w:t>Total para A3</w:t>
            </w:r>
          </w:p>
        </w:tc>
        <w:tc>
          <w:tcPr>
            <w:tcW w:w="614" w:type="pct"/>
            <w:shd w:val="clear" w:color="auto" w:fill="auto"/>
          </w:tcPr>
          <w:p w14:paraId="61127431" w14:textId="77777777" w:rsidR="00071E00" w:rsidRPr="008D2076" w:rsidRDefault="00071E00" w:rsidP="003F05D0">
            <w:pPr>
              <w:jc w:val="right"/>
              <w:rPr>
                <w:color w:val="000000" w:themeColor="text1"/>
                <w:sz w:val="20"/>
                <w:szCs w:val="20"/>
                <w:lang w:val="es-419"/>
              </w:rPr>
            </w:pPr>
            <w:r w:rsidRPr="008D2076">
              <w:rPr>
                <w:color w:val="000000" w:themeColor="text1"/>
                <w:sz w:val="20"/>
                <w:szCs w:val="20"/>
                <w:lang w:val="es-419"/>
              </w:rPr>
              <w:t>342 400</w:t>
            </w:r>
          </w:p>
        </w:tc>
        <w:tc>
          <w:tcPr>
            <w:tcW w:w="857" w:type="pct"/>
            <w:shd w:val="clear" w:color="auto" w:fill="auto"/>
          </w:tcPr>
          <w:p w14:paraId="1C007124" w14:textId="77777777" w:rsidR="00071E00" w:rsidRPr="008D2076" w:rsidRDefault="00071E00" w:rsidP="003F05D0">
            <w:pPr>
              <w:jc w:val="right"/>
              <w:rPr>
                <w:color w:val="000000" w:themeColor="text1"/>
                <w:sz w:val="20"/>
                <w:szCs w:val="20"/>
                <w:lang w:val="es-419"/>
              </w:rPr>
            </w:pPr>
            <w:r w:rsidRPr="008D2076">
              <w:rPr>
                <w:color w:val="000000" w:themeColor="text1"/>
                <w:sz w:val="20"/>
                <w:szCs w:val="20"/>
                <w:lang w:val="es-419"/>
              </w:rPr>
              <w:t>342 400</w:t>
            </w:r>
          </w:p>
        </w:tc>
      </w:tr>
      <w:tr w:rsidR="00071E00" w:rsidRPr="00D043AF" w14:paraId="25AA0238" w14:textId="77777777" w:rsidTr="003F05D0">
        <w:trPr>
          <w:trHeight w:val="219"/>
        </w:trPr>
        <w:tc>
          <w:tcPr>
            <w:tcW w:w="5000" w:type="pct"/>
            <w:gridSpan w:val="4"/>
            <w:tcBorders>
              <w:top w:val="single" w:sz="4" w:space="0" w:color="auto"/>
              <w:left w:val="single" w:sz="4" w:space="0" w:color="auto"/>
              <w:bottom w:val="single" w:sz="4" w:space="0" w:color="auto"/>
              <w:right w:val="single" w:sz="4" w:space="0" w:color="auto"/>
            </w:tcBorders>
          </w:tcPr>
          <w:p w14:paraId="419FAC83" w14:textId="77777777" w:rsidR="00071E00" w:rsidRPr="008D2076" w:rsidRDefault="00071E00" w:rsidP="003F05D0">
            <w:pPr>
              <w:widowControl w:val="0"/>
              <w:rPr>
                <w:color w:val="000000" w:themeColor="text1"/>
                <w:sz w:val="20"/>
                <w:szCs w:val="20"/>
                <w:lang w:val="es-419"/>
              </w:rPr>
            </w:pPr>
            <w:r w:rsidRPr="008D2076">
              <w:rPr>
                <w:b/>
                <w:color w:val="000000" w:themeColor="text1"/>
                <w:sz w:val="20"/>
                <w:szCs w:val="20"/>
                <w:lang w:val="es-419"/>
              </w:rPr>
              <w:t>SECCIÓN B: ACTIVIDADES RECOMENDADAS PARA CONSIDERACIÓN PARTICULAR</w:t>
            </w:r>
          </w:p>
        </w:tc>
      </w:tr>
      <w:tr w:rsidR="00071E00" w:rsidRPr="00D043AF" w14:paraId="2CA1987F" w14:textId="77777777" w:rsidTr="003F05D0">
        <w:trPr>
          <w:trHeight w:val="23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0623F604" w14:textId="77777777" w:rsidR="00071E00" w:rsidRPr="008D2076" w:rsidRDefault="00071E00" w:rsidP="003F05D0">
            <w:pPr>
              <w:jc w:val="left"/>
              <w:rPr>
                <w:b/>
                <w:color w:val="000000" w:themeColor="text1"/>
                <w:sz w:val="20"/>
                <w:szCs w:val="20"/>
                <w:lang w:val="es-419"/>
              </w:rPr>
            </w:pPr>
            <w:r w:rsidRPr="008D2076">
              <w:rPr>
                <w:b/>
                <w:color w:val="000000" w:themeColor="text1"/>
                <w:sz w:val="20"/>
                <w:szCs w:val="20"/>
                <w:lang w:val="es-419"/>
              </w:rPr>
              <w:t xml:space="preserve">B1: </w:t>
            </w:r>
            <w:r w:rsidRPr="008D2076">
              <w:rPr>
                <w:b/>
                <w:sz w:val="20"/>
                <w:szCs w:val="20"/>
                <w:lang w:val="es-419"/>
              </w:rPr>
              <w:t>Preparación de proyectos para planes de gestión de la reducción de HFC</w:t>
            </w:r>
          </w:p>
        </w:tc>
      </w:tr>
      <w:tr w:rsidR="00071E00" w:rsidRPr="008D2076" w14:paraId="72137018" w14:textId="77777777" w:rsidTr="003F05D0">
        <w:trPr>
          <w:trHeight w:val="235"/>
        </w:trPr>
        <w:tc>
          <w:tcPr>
            <w:tcW w:w="951" w:type="pct"/>
            <w:tcBorders>
              <w:top w:val="single" w:sz="4" w:space="0" w:color="auto"/>
              <w:left w:val="single" w:sz="4" w:space="0" w:color="auto"/>
              <w:bottom w:val="single" w:sz="4" w:space="0" w:color="auto"/>
              <w:right w:val="single" w:sz="4" w:space="0" w:color="auto"/>
            </w:tcBorders>
            <w:shd w:val="clear" w:color="auto" w:fill="auto"/>
            <w:vAlign w:val="center"/>
          </w:tcPr>
          <w:p w14:paraId="4E641DF2" w14:textId="77777777" w:rsidR="00071E00" w:rsidRPr="008D2076" w:rsidRDefault="00071E00" w:rsidP="003F05D0">
            <w:pPr>
              <w:jc w:val="left"/>
              <w:rPr>
                <w:color w:val="000000" w:themeColor="text1"/>
                <w:sz w:val="20"/>
                <w:szCs w:val="20"/>
                <w:lang w:val="es-419"/>
              </w:rPr>
            </w:pPr>
            <w:r w:rsidRPr="008D2076">
              <w:rPr>
                <w:color w:val="000000"/>
                <w:sz w:val="20"/>
                <w:szCs w:val="20"/>
                <w:lang w:val="es-419"/>
              </w:rPr>
              <w:t>Albania*§</w:t>
            </w:r>
          </w:p>
        </w:tc>
        <w:tc>
          <w:tcPr>
            <w:tcW w:w="2578" w:type="pct"/>
            <w:tcBorders>
              <w:top w:val="single" w:sz="4" w:space="0" w:color="auto"/>
              <w:left w:val="single" w:sz="4" w:space="0" w:color="auto"/>
              <w:bottom w:val="single" w:sz="4" w:space="0" w:color="auto"/>
              <w:right w:val="single" w:sz="4" w:space="0" w:color="auto"/>
            </w:tcBorders>
            <w:shd w:val="clear" w:color="auto" w:fill="auto"/>
            <w:vAlign w:val="center"/>
          </w:tcPr>
          <w:p w14:paraId="71DDB6A3" w14:textId="77777777" w:rsidR="00071E00" w:rsidRPr="008D2076" w:rsidRDefault="00071E00" w:rsidP="003F05D0">
            <w:pPr>
              <w:jc w:val="left"/>
              <w:rPr>
                <w:color w:val="000000" w:themeColor="text1"/>
                <w:sz w:val="20"/>
                <w:szCs w:val="20"/>
                <w:lang w:val="es-419"/>
              </w:rPr>
            </w:pPr>
            <w:r w:rsidRPr="008D2076">
              <w:rPr>
                <w:sz w:val="20"/>
                <w:szCs w:val="20"/>
                <w:lang w:val="es-419"/>
              </w:rPr>
              <w:t>Preparación de un plan de gestión de la reducción de HFC</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14:paraId="61B4705E" w14:textId="77777777" w:rsidR="00071E00" w:rsidRPr="008D2076" w:rsidRDefault="00071E00" w:rsidP="003F05D0">
            <w:pPr>
              <w:jc w:val="right"/>
              <w:rPr>
                <w:color w:val="000000" w:themeColor="text1"/>
                <w:sz w:val="20"/>
                <w:szCs w:val="20"/>
                <w:lang w:val="es-419"/>
              </w:rPr>
            </w:pPr>
            <w:r w:rsidRPr="008D2076">
              <w:rPr>
                <w:color w:val="000000"/>
                <w:sz w:val="20"/>
                <w:szCs w:val="20"/>
                <w:lang w:val="es-419"/>
              </w:rPr>
              <w:t>63 500</w:t>
            </w:r>
          </w:p>
        </w:tc>
        <w:tc>
          <w:tcPr>
            <w:tcW w:w="857" w:type="pct"/>
            <w:tcBorders>
              <w:top w:val="single" w:sz="4" w:space="0" w:color="auto"/>
              <w:left w:val="single" w:sz="4" w:space="0" w:color="auto"/>
              <w:bottom w:val="single" w:sz="4" w:space="0" w:color="auto"/>
              <w:right w:val="single" w:sz="4" w:space="0" w:color="auto"/>
            </w:tcBorders>
            <w:shd w:val="clear" w:color="auto" w:fill="auto"/>
          </w:tcPr>
          <w:p w14:paraId="6247A861" w14:textId="77777777" w:rsidR="00071E00" w:rsidRPr="008D2076" w:rsidRDefault="00071E00" w:rsidP="003F05D0">
            <w:pPr>
              <w:jc w:val="right"/>
              <w:rPr>
                <w:color w:val="000000" w:themeColor="text1"/>
                <w:sz w:val="20"/>
                <w:szCs w:val="20"/>
                <w:lang w:val="es-419"/>
              </w:rPr>
            </w:pPr>
            <w:r w:rsidRPr="008D2076">
              <w:rPr>
                <w:sz w:val="20"/>
                <w:szCs w:val="20"/>
                <w:lang w:val="es-419"/>
              </w:rPr>
              <w:t>***</w:t>
            </w:r>
          </w:p>
        </w:tc>
      </w:tr>
      <w:tr w:rsidR="00071E00" w:rsidRPr="008D2076" w14:paraId="7BE70358" w14:textId="77777777" w:rsidTr="003F05D0">
        <w:trPr>
          <w:trHeight w:val="235"/>
        </w:trPr>
        <w:tc>
          <w:tcPr>
            <w:tcW w:w="951" w:type="pct"/>
            <w:tcBorders>
              <w:top w:val="single" w:sz="4" w:space="0" w:color="auto"/>
              <w:left w:val="single" w:sz="4" w:space="0" w:color="auto"/>
              <w:bottom w:val="single" w:sz="4" w:space="0" w:color="auto"/>
              <w:right w:val="single" w:sz="4" w:space="0" w:color="auto"/>
            </w:tcBorders>
            <w:shd w:val="clear" w:color="auto" w:fill="auto"/>
            <w:vAlign w:val="center"/>
          </w:tcPr>
          <w:p w14:paraId="6EC04745" w14:textId="77777777" w:rsidR="00071E00" w:rsidRPr="008D2076" w:rsidRDefault="00071E00" w:rsidP="003F05D0">
            <w:pPr>
              <w:jc w:val="left"/>
              <w:rPr>
                <w:color w:val="000000" w:themeColor="text1"/>
                <w:sz w:val="20"/>
                <w:szCs w:val="20"/>
                <w:lang w:val="es-419"/>
              </w:rPr>
            </w:pPr>
            <w:r w:rsidRPr="008D2076">
              <w:rPr>
                <w:color w:val="000000"/>
                <w:sz w:val="20"/>
                <w:szCs w:val="20"/>
                <w:lang w:val="es-419"/>
              </w:rPr>
              <w:t>Jordania§</w:t>
            </w:r>
          </w:p>
        </w:tc>
        <w:tc>
          <w:tcPr>
            <w:tcW w:w="2578" w:type="pct"/>
            <w:tcBorders>
              <w:top w:val="single" w:sz="4" w:space="0" w:color="auto"/>
              <w:left w:val="single" w:sz="4" w:space="0" w:color="auto"/>
              <w:bottom w:val="single" w:sz="4" w:space="0" w:color="auto"/>
              <w:right w:val="single" w:sz="4" w:space="0" w:color="auto"/>
            </w:tcBorders>
            <w:shd w:val="clear" w:color="auto" w:fill="auto"/>
            <w:vAlign w:val="center"/>
          </w:tcPr>
          <w:p w14:paraId="617B1A53" w14:textId="77777777" w:rsidR="00071E00" w:rsidRPr="008D2076" w:rsidRDefault="00071E00" w:rsidP="003F05D0">
            <w:pPr>
              <w:jc w:val="left"/>
              <w:rPr>
                <w:color w:val="000000" w:themeColor="text1"/>
                <w:sz w:val="20"/>
                <w:szCs w:val="20"/>
                <w:lang w:val="es-419"/>
              </w:rPr>
            </w:pPr>
            <w:r w:rsidRPr="008D2076">
              <w:rPr>
                <w:sz w:val="20"/>
                <w:szCs w:val="20"/>
                <w:lang w:val="es-419"/>
              </w:rPr>
              <w:t>Preparación de un plan de gestión de la reducción de HFC</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14:paraId="4AADD085" w14:textId="77777777" w:rsidR="00071E00" w:rsidRPr="008D2076" w:rsidRDefault="00071E00" w:rsidP="003F05D0">
            <w:pPr>
              <w:jc w:val="right"/>
              <w:rPr>
                <w:color w:val="000000" w:themeColor="text1"/>
                <w:sz w:val="20"/>
                <w:szCs w:val="20"/>
                <w:lang w:val="es-419"/>
              </w:rPr>
            </w:pPr>
            <w:r w:rsidRPr="008D2076">
              <w:rPr>
                <w:color w:val="000000"/>
                <w:sz w:val="20"/>
                <w:szCs w:val="20"/>
                <w:lang w:val="es-419"/>
              </w:rPr>
              <w:t>150 000</w:t>
            </w:r>
          </w:p>
        </w:tc>
        <w:tc>
          <w:tcPr>
            <w:tcW w:w="857" w:type="pct"/>
            <w:tcBorders>
              <w:top w:val="single" w:sz="4" w:space="0" w:color="auto"/>
              <w:left w:val="single" w:sz="4" w:space="0" w:color="auto"/>
              <w:bottom w:val="single" w:sz="4" w:space="0" w:color="auto"/>
              <w:right w:val="single" w:sz="4" w:space="0" w:color="auto"/>
            </w:tcBorders>
            <w:shd w:val="clear" w:color="auto" w:fill="auto"/>
          </w:tcPr>
          <w:p w14:paraId="09256D83" w14:textId="77777777" w:rsidR="00071E00" w:rsidRPr="008D2076" w:rsidRDefault="00071E00" w:rsidP="003F05D0">
            <w:pPr>
              <w:jc w:val="right"/>
              <w:rPr>
                <w:color w:val="000000" w:themeColor="text1"/>
                <w:sz w:val="20"/>
                <w:szCs w:val="20"/>
                <w:lang w:val="es-419"/>
              </w:rPr>
            </w:pPr>
            <w:r w:rsidRPr="008D2076">
              <w:rPr>
                <w:sz w:val="20"/>
                <w:szCs w:val="20"/>
                <w:lang w:val="es-419"/>
              </w:rPr>
              <w:t>***</w:t>
            </w:r>
          </w:p>
        </w:tc>
      </w:tr>
      <w:tr w:rsidR="00071E00" w:rsidRPr="008D2076" w14:paraId="2193B094" w14:textId="77777777" w:rsidTr="003F05D0">
        <w:trPr>
          <w:trHeight w:val="235"/>
        </w:trPr>
        <w:tc>
          <w:tcPr>
            <w:tcW w:w="951" w:type="pct"/>
            <w:tcBorders>
              <w:top w:val="single" w:sz="4" w:space="0" w:color="auto"/>
              <w:left w:val="single" w:sz="4" w:space="0" w:color="auto"/>
              <w:bottom w:val="single" w:sz="4" w:space="0" w:color="auto"/>
              <w:right w:val="single" w:sz="4" w:space="0" w:color="auto"/>
            </w:tcBorders>
            <w:shd w:val="clear" w:color="auto" w:fill="auto"/>
            <w:vAlign w:val="center"/>
          </w:tcPr>
          <w:p w14:paraId="68782F1E" w14:textId="77777777" w:rsidR="00071E00" w:rsidRPr="008D2076" w:rsidRDefault="00071E00" w:rsidP="003F05D0">
            <w:pPr>
              <w:rPr>
                <w:color w:val="000000"/>
                <w:sz w:val="20"/>
                <w:szCs w:val="20"/>
                <w:lang w:val="es-419"/>
              </w:rPr>
            </w:pPr>
            <w:r w:rsidRPr="008D2076">
              <w:rPr>
                <w:color w:val="000000"/>
                <w:sz w:val="20"/>
                <w:szCs w:val="20"/>
                <w:lang w:val="es-419"/>
              </w:rPr>
              <w:t>México*</w:t>
            </w:r>
          </w:p>
        </w:tc>
        <w:tc>
          <w:tcPr>
            <w:tcW w:w="2578" w:type="pct"/>
            <w:tcBorders>
              <w:top w:val="single" w:sz="4" w:space="0" w:color="auto"/>
              <w:left w:val="single" w:sz="4" w:space="0" w:color="auto"/>
              <w:bottom w:val="single" w:sz="4" w:space="0" w:color="auto"/>
              <w:right w:val="single" w:sz="4" w:space="0" w:color="auto"/>
            </w:tcBorders>
            <w:shd w:val="clear" w:color="auto" w:fill="auto"/>
            <w:vAlign w:val="center"/>
          </w:tcPr>
          <w:p w14:paraId="65B47E51" w14:textId="77777777" w:rsidR="00071E00" w:rsidRPr="008D2076" w:rsidRDefault="00071E00" w:rsidP="003F05D0">
            <w:pPr>
              <w:snapToGrid w:val="0"/>
              <w:rPr>
                <w:bCs/>
                <w:sz w:val="20"/>
                <w:szCs w:val="20"/>
                <w:lang w:val="es-419"/>
              </w:rPr>
            </w:pPr>
            <w:r w:rsidRPr="008D2076">
              <w:rPr>
                <w:sz w:val="20"/>
                <w:szCs w:val="20"/>
                <w:lang w:val="es-419"/>
              </w:rPr>
              <w:t>Preparación de un plan de gestión de la reducción de HFC</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14:paraId="585EE342" w14:textId="77777777" w:rsidR="00071E00" w:rsidRPr="008D2076" w:rsidRDefault="00071E00" w:rsidP="003F05D0">
            <w:pPr>
              <w:jc w:val="right"/>
              <w:rPr>
                <w:color w:val="000000"/>
                <w:sz w:val="20"/>
                <w:szCs w:val="20"/>
                <w:lang w:val="es-419"/>
              </w:rPr>
            </w:pPr>
            <w:r w:rsidRPr="008D2076">
              <w:rPr>
                <w:color w:val="000000"/>
                <w:sz w:val="20"/>
                <w:szCs w:val="20"/>
                <w:lang w:val="es-419"/>
              </w:rPr>
              <w:t>125 000</w:t>
            </w:r>
          </w:p>
        </w:tc>
        <w:tc>
          <w:tcPr>
            <w:tcW w:w="857" w:type="pct"/>
            <w:tcBorders>
              <w:top w:val="single" w:sz="4" w:space="0" w:color="auto"/>
              <w:left w:val="single" w:sz="4" w:space="0" w:color="auto"/>
              <w:bottom w:val="single" w:sz="4" w:space="0" w:color="auto"/>
              <w:right w:val="single" w:sz="4" w:space="0" w:color="auto"/>
            </w:tcBorders>
            <w:shd w:val="clear" w:color="auto" w:fill="auto"/>
          </w:tcPr>
          <w:p w14:paraId="4B414227" w14:textId="77777777" w:rsidR="00071E00" w:rsidRPr="008D2076" w:rsidRDefault="00071E00" w:rsidP="003F05D0">
            <w:pPr>
              <w:jc w:val="right"/>
              <w:rPr>
                <w:sz w:val="20"/>
                <w:szCs w:val="20"/>
                <w:lang w:val="es-419"/>
              </w:rPr>
            </w:pPr>
            <w:r w:rsidRPr="008D2076">
              <w:rPr>
                <w:sz w:val="20"/>
                <w:szCs w:val="20"/>
                <w:lang w:val="es-419"/>
              </w:rPr>
              <w:t>***</w:t>
            </w:r>
          </w:p>
        </w:tc>
      </w:tr>
      <w:tr w:rsidR="00071E00" w:rsidRPr="008D2076" w14:paraId="111D9C28" w14:textId="77777777" w:rsidTr="003F05D0">
        <w:trPr>
          <w:trHeight w:val="235"/>
        </w:trPr>
        <w:tc>
          <w:tcPr>
            <w:tcW w:w="951" w:type="pct"/>
            <w:tcBorders>
              <w:top w:val="single" w:sz="4" w:space="0" w:color="auto"/>
              <w:left w:val="single" w:sz="4" w:space="0" w:color="auto"/>
              <w:bottom w:val="single" w:sz="4" w:space="0" w:color="auto"/>
              <w:right w:val="single" w:sz="4" w:space="0" w:color="auto"/>
            </w:tcBorders>
            <w:shd w:val="clear" w:color="auto" w:fill="auto"/>
            <w:vAlign w:val="center"/>
          </w:tcPr>
          <w:p w14:paraId="39E9F283" w14:textId="77777777" w:rsidR="00071E00" w:rsidRPr="008D2076" w:rsidRDefault="00071E00" w:rsidP="003F05D0">
            <w:pPr>
              <w:rPr>
                <w:color w:val="000000"/>
                <w:sz w:val="20"/>
                <w:szCs w:val="20"/>
                <w:highlight w:val="yellow"/>
                <w:lang w:val="es-419"/>
              </w:rPr>
            </w:pPr>
            <w:r w:rsidRPr="008D2076">
              <w:rPr>
                <w:color w:val="000000"/>
                <w:sz w:val="20"/>
                <w:szCs w:val="20"/>
                <w:lang w:val="es-419"/>
              </w:rPr>
              <w:lastRenderedPageBreak/>
              <w:t>Montenegro</w:t>
            </w:r>
          </w:p>
        </w:tc>
        <w:tc>
          <w:tcPr>
            <w:tcW w:w="2578" w:type="pct"/>
            <w:tcBorders>
              <w:top w:val="single" w:sz="4" w:space="0" w:color="auto"/>
              <w:left w:val="single" w:sz="4" w:space="0" w:color="auto"/>
              <w:bottom w:val="single" w:sz="4" w:space="0" w:color="auto"/>
              <w:right w:val="single" w:sz="4" w:space="0" w:color="auto"/>
            </w:tcBorders>
            <w:shd w:val="clear" w:color="auto" w:fill="auto"/>
            <w:vAlign w:val="center"/>
          </w:tcPr>
          <w:p w14:paraId="5F094FC6" w14:textId="77777777" w:rsidR="00071E00" w:rsidRPr="008D2076" w:rsidRDefault="00071E00" w:rsidP="003F05D0">
            <w:pPr>
              <w:snapToGrid w:val="0"/>
              <w:rPr>
                <w:bCs/>
                <w:sz w:val="20"/>
                <w:szCs w:val="20"/>
                <w:highlight w:val="yellow"/>
                <w:lang w:val="es-419"/>
              </w:rPr>
            </w:pPr>
            <w:r w:rsidRPr="008D2076">
              <w:rPr>
                <w:sz w:val="20"/>
                <w:szCs w:val="20"/>
                <w:lang w:val="es-419"/>
              </w:rPr>
              <w:t>Preparación de un plan de gestión de la reducción de HFC</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14:paraId="03464403" w14:textId="77777777" w:rsidR="00071E00" w:rsidRPr="008D2076" w:rsidRDefault="00071E00" w:rsidP="003F05D0">
            <w:pPr>
              <w:jc w:val="right"/>
              <w:rPr>
                <w:color w:val="000000"/>
                <w:sz w:val="20"/>
                <w:szCs w:val="20"/>
                <w:lang w:val="es-419"/>
              </w:rPr>
            </w:pPr>
            <w:r w:rsidRPr="008D2076">
              <w:rPr>
                <w:color w:val="000000"/>
                <w:sz w:val="20"/>
                <w:szCs w:val="20"/>
                <w:lang w:val="es-419"/>
              </w:rPr>
              <w:t>85 000</w:t>
            </w:r>
          </w:p>
        </w:tc>
        <w:tc>
          <w:tcPr>
            <w:tcW w:w="857" w:type="pct"/>
            <w:tcBorders>
              <w:top w:val="single" w:sz="4" w:space="0" w:color="auto"/>
              <w:left w:val="single" w:sz="4" w:space="0" w:color="auto"/>
              <w:bottom w:val="single" w:sz="4" w:space="0" w:color="auto"/>
              <w:right w:val="single" w:sz="4" w:space="0" w:color="auto"/>
            </w:tcBorders>
            <w:shd w:val="clear" w:color="auto" w:fill="auto"/>
          </w:tcPr>
          <w:p w14:paraId="39ABDBD7" w14:textId="77777777" w:rsidR="00071E00" w:rsidRPr="008D2076" w:rsidRDefault="00071E00" w:rsidP="003F05D0">
            <w:pPr>
              <w:jc w:val="right"/>
              <w:rPr>
                <w:sz w:val="20"/>
                <w:szCs w:val="20"/>
                <w:lang w:val="es-419"/>
              </w:rPr>
            </w:pPr>
            <w:r w:rsidRPr="008D2076">
              <w:rPr>
                <w:sz w:val="20"/>
                <w:szCs w:val="20"/>
                <w:lang w:val="es-419"/>
              </w:rPr>
              <w:t>***</w:t>
            </w:r>
          </w:p>
        </w:tc>
      </w:tr>
      <w:tr w:rsidR="00071E00" w:rsidRPr="008D2076" w14:paraId="27C93951" w14:textId="77777777" w:rsidTr="003F05D0">
        <w:trPr>
          <w:trHeight w:val="235"/>
        </w:trPr>
        <w:tc>
          <w:tcPr>
            <w:tcW w:w="951" w:type="pct"/>
            <w:tcBorders>
              <w:top w:val="single" w:sz="4" w:space="0" w:color="auto"/>
              <w:left w:val="single" w:sz="4" w:space="0" w:color="auto"/>
              <w:bottom w:val="single" w:sz="4" w:space="0" w:color="auto"/>
              <w:right w:val="single" w:sz="4" w:space="0" w:color="auto"/>
            </w:tcBorders>
            <w:vAlign w:val="center"/>
          </w:tcPr>
          <w:p w14:paraId="37FC54DE" w14:textId="77777777" w:rsidR="00071E00" w:rsidRPr="008D2076" w:rsidRDefault="00071E00" w:rsidP="003F05D0">
            <w:pPr>
              <w:rPr>
                <w:color w:val="000000"/>
                <w:sz w:val="20"/>
                <w:szCs w:val="20"/>
                <w:highlight w:val="yellow"/>
                <w:lang w:val="es-419"/>
              </w:rPr>
            </w:pPr>
            <w:r w:rsidRPr="008D2076">
              <w:rPr>
                <w:color w:val="000000"/>
                <w:sz w:val="20"/>
                <w:szCs w:val="20"/>
                <w:lang w:val="es-419"/>
              </w:rPr>
              <w:t>Níger</w:t>
            </w:r>
          </w:p>
        </w:tc>
        <w:tc>
          <w:tcPr>
            <w:tcW w:w="2578" w:type="pct"/>
            <w:tcBorders>
              <w:top w:val="single" w:sz="4" w:space="0" w:color="auto"/>
              <w:left w:val="single" w:sz="4" w:space="0" w:color="auto"/>
              <w:bottom w:val="single" w:sz="4" w:space="0" w:color="auto"/>
              <w:right w:val="single" w:sz="4" w:space="0" w:color="auto"/>
            </w:tcBorders>
            <w:vAlign w:val="center"/>
          </w:tcPr>
          <w:p w14:paraId="6650942D" w14:textId="77777777" w:rsidR="00071E00" w:rsidRPr="008D2076" w:rsidRDefault="00071E00" w:rsidP="003F05D0">
            <w:pPr>
              <w:snapToGrid w:val="0"/>
              <w:rPr>
                <w:bCs/>
                <w:sz w:val="20"/>
                <w:szCs w:val="20"/>
                <w:highlight w:val="yellow"/>
                <w:lang w:val="es-419"/>
              </w:rPr>
            </w:pPr>
            <w:r w:rsidRPr="008D2076">
              <w:rPr>
                <w:sz w:val="20"/>
                <w:szCs w:val="20"/>
                <w:lang w:val="es-419"/>
              </w:rPr>
              <w:t>Preparación de un plan de gestión de la reducción de HFC</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14:paraId="3C515FC9" w14:textId="77777777" w:rsidR="00071E00" w:rsidRPr="008D2076" w:rsidRDefault="00071E00" w:rsidP="003F05D0">
            <w:pPr>
              <w:jc w:val="right"/>
              <w:rPr>
                <w:color w:val="000000"/>
                <w:sz w:val="20"/>
                <w:szCs w:val="20"/>
                <w:lang w:val="es-419"/>
              </w:rPr>
            </w:pPr>
            <w:r w:rsidRPr="008D2076">
              <w:rPr>
                <w:color w:val="000000"/>
                <w:sz w:val="20"/>
                <w:szCs w:val="20"/>
                <w:lang w:val="es-419"/>
              </w:rPr>
              <w:t>150 000</w:t>
            </w:r>
          </w:p>
        </w:tc>
        <w:tc>
          <w:tcPr>
            <w:tcW w:w="857" w:type="pct"/>
            <w:tcBorders>
              <w:top w:val="single" w:sz="4" w:space="0" w:color="auto"/>
              <w:left w:val="single" w:sz="4" w:space="0" w:color="auto"/>
              <w:bottom w:val="single" w:sz="4" w:space="0" w:color="auto"/>
              <w:right w:val="single" w:sz="4" w:space="0" w:color="auto"/>
            </w:tcBorders>
            <w:shd w:val="clear" w:color="auto" w:fill="auto"/>
          </w:tcPr>
          <w:p w14:paraId="18D468E8" w14:textId="77777777" w:rsidR="00071E00" w:rsidRPr="008D2076" w:rsidRDefault="00071E00" w:rsidP="003F05D0">
            <w:pPr>
              <w:jc w:val="right"/>
              <w:rPr>
                <w:sz w:val="20"/>
                <w:szCs w:val="20"/>
                <w:lang w:val="es-419"/>
              </w:rPr>
            </w:pPr>
            <w:r w:rsidRPr="008D2076">
              <w:rPr>
                <w:sz w:val="20"/>
                <w:szCs w:val="20"/>
                <w:lang w:val="es-419"/>
              </w:rPr>
              <w:t>***</w:t>
            </w:r>
          </w:p>
        </w:tc>
      </w:tr>
      <w:tr w:rsidR="00071E00" w:rsidRPr="008D2076" w14:paraId="3149436A" w14:textId="77777777" w:rsidTr="003F05D0">
        <w:trPr>
          <w:trHeight w:val="235"/>
        </w:trPr>
        <w:tc>
          <w:tcPr>
            <w:tcW w:w="951" w:type="pct"/>
            <w:tcBorders>
              <w:top w:val="single" w:sz="4" w:space="0" w:color="auto"/>
              <w:left w:val="single" w:sz="4" w:space="0" w:color="auto"/>
              <w:bottom w:val="single" w:sz="4" w:space="0" w:color="auto"/>
              <w:right w:val="single" w:sz="4" w:space="0" w:color="auto"/>
            </w:tcBorders>
            <w:vAlign w:val="center"/>
          </w:tcPr>
          <w:p w14:paraId="6DA89245" w14:textId="77777777" w:rsidR="00071E00" w:rsidRPr="008D2076" w:rsidRDefault="00071E00" w:rsidP="003F05D0">
            <w:pPr>
              <w:rPr>
                <w:color w:val="000000"/>
                <w:sz w:val="20"/>
                <w:szCs w:val="20"/>
                <w:highlight w:val="yellow"/>
                <w:lang w:val="es-419"/>
              </w:rPr>
            </w:pPr>
            <w:r w:rsidRPr="008D2076">
              <w:rPr>
                <w:color w:val="000000"/>
                <w:sz w:val="20"/>
                <w:szCs w:val="20"/>
                <w:lang w:val="es-419"/>
              </w:rPr>
              <w:t>Macedonia del Norte</w:t>
            </w:r>
          </w:p>
        </w:tc>
        <w:tc>
          <w:tcPr>
            <w:tcW w:w="2578" w:type="pct"/>
            <w:tcBorders>
              <w:top w:val="single" w:sz="4" w:space="0" w:color="auto"/>
              <w:left w:val="single" w:sz="4" w:space="0" w:color="auto"/>
              <w:bottom w:val="single" w:sz="4" w:space="0" w:color="auto"/>
              <w:right w:val="single" w:sz="4" w:space="0" w:color="auto"/>
            </w:tcBorders>
            <w:vAlign w:val="center"/>
          </w:tcPr>
          <w:p w14:paraId="77004398" w14:textId="77777777" w:rsidR="00071E00" w:rsidRPr="008D2076" w:rsidRDefault="00071E00" w:rsidP="003F05D0">
            <w:pPr>
              <w:snapToGrid w:val="0"/>
              <w:rPr>
                <w:bCs/>
                <w:sz w:val="20"/>
                <w:szCs w:val="20"/>
                <w:highlight w:val="yellow"/>
                <w:lang w:val="es-419"/>
              </w:rPr>
            </w:pPr>
            <w:r w:rsidRPr="008D2076">
              <w:rPr>
                <w:sz w:val="20"/>
                <w:szCs w:val="20"/>
                <w:lang w:val="es-419"/>
              </w:rPr>
              <w:t>Preparación de un plan de gestión de la reducción de HFC</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14:paraId="602E1906" w14:textId="77777777" w:rsidR="00071E00" w:rsidRPr="008D2076" w:rsidRDefault="00071E00" w:rsidP="003F05D0">
            <w:pPr>
              <w:jc w:val="right"/>
              <w:rPr>
                <w:color w:val="000000"/>
                <w:sz w:val="20"/>
                <w:szCs w:val="20"/>
                <w:lang w:val="es-419"/>
              </w:rPr>
            </w:pPr>
            <w:r w:rsidRPr="008D2076">
              <w:rPr>
                <w:color w:val="000000"/>
                <w:sz w:val="20"/>
                <w:szCs w:val="20"/>
                <w:lang w:val="es-419"/>
              </w:rPr>
              <w:t>85 000</w:t>
            </w:r>
          </w:p>
        </w:tc>
        <w:tc>
          <w:tcPr>
            <w:tcW w:w="857" w:type="pct"/>
            <w:tcBorders>
              <w:top w:val="single" w:sz="4" w:space="0" w:color="auto"/>
              <w:left w:val="single" w:sz="4" w:space="0" w:color="auto"/>
              <w:bottom w:val="single" w:sz="4" w:space="0" w:color="auto"/>
              <w:right w:val="single" w:sz="4" w:space="0" w:color="auto"/>
            </w:tcBorders>
            <w:shd w:val="clear" w:color="auto" w:fill="auto"/>
          </w:tcPr>
          <w:p w14:paraId="6382F04A" w14:textId="77777777" w:rsidR="00071E00" w:rsidRPr="008D2076" w:rsidRDefault="00071E00" w:rsidP="003F05D0">
            <w:pPr>
              <w:jc w:val="right"/>
              <w:rPr>
                <w:sz w:val="20"/>
                <w:szCs w:val="20"/>
                <w:lang w:val="es-419"/>
              </w:rPr>
            </w:pPr>
            <w:r w:rsidRPr="008D2076">
              <w:rPr>
                <w:sz w:val="20"/>
                <w:szCs w:val="20"/>
                <w:lang w:val="es-419"/>
              </w:rPr>
              <w:t>***</w:t>
            </w:r>
          </w:p>
        </w:tc>
      </w:tr>
      <w:tr w:rsidR="00071E00" w:rsidRPr="008D2076" w14:paraId="59CAFDD3" w14:textId="77777777" w:rsidTr="003F05D0">
        <w:trPr>
          <w:trHeight w:val="235"/>
        </w:trPr>
        <w:tc>
          <w:tcPr>
            <w:tcW w:w="951" w:type="pct"/>
            <w:tcBorders>
              <w:top w:val="single" w:sz="4" w:space="0" w:color="auto"/>
              <w:left w:val="single" w:sz="4" w:space="0" w:color="auto"/>
              <w:bottom w:val="single" w:sz="4" w:space="0" w:color="auto"/>
              <w:right w:val="single" w:sz="4" w:space="0" w:color="auto"/>
            </w:tcBorders>
            <w:vAlign w:val="center"/>
          </w:tcPr>
          <w:p w14:paraId="62AC0F00" w14:textId="77777777" w:rsidR="00071E00" w:rsidRPr="008D2076" w:rsidRDefault="00071E00" w:rsidP="003F05D0">
            <w:pPr>
              <w:rPr>
                <w:color w:val="000000"/>
                <w:sz w:val="20"/>
                <w:szCs w:val="20"/>
                <w:highlight w:val="yellow"/>
                <w:lang w:val="es-419"/>
              </w:rPr>
            </w:pPr>
            <w:r w:rsidRPr="008D2076">
              <w:rPr>
                <w:color w:val="000000"/>
                <w:sz w:val="20"/>
                <w:szCs w:val="20"/>
                <w:lang w:val="es-419"/>
              </w:rPr>
              <w:t>Senegal**</w:t>
            </w:r>
          </w:p>
        </w:tc>
        <w:tc>
          <w:tcPr>
            <w:tcW w:w="2578" w:type="pct"/>
            <w:tcBorders>
              <w:top w:val="single" w:sz="4" w:space="0" w:color="auto"/>
              <w:left w:val="single" w:sz="4" w:space="0" w:color="auto"/>
              <w:bottom w:val="single" w:sz="4" w:space="0" w:color="auto"/>
              <w:right w:val="single" w:sz="4" w:space="0" w:color="auto"/>
            </w:tcBorders>
            <w:vAlign w:val="center"/>
          </w:tcPr>
          <w:p w14:paraId="7DC85680" w14:textId="77777777" w:rsidR="00071E00" w:rsidRPr="008D2076" w:rsidRDefault="00071E00" w:rsidP="003F05D0">
            <w:pPr>
              <w:snapToGrid w:val="0"/>
              <w:rPr>
                <w:bCs/>
                <w:sz w:val="20"/>
                <w:szCs w:val="20"/>
                <w:highlight w:val="yellow"/>
                <w:lang w:val="es-419"/>
              </w:rPr>
            </w:pPr>
            <w:r w:rsidRPr="008D2076">
              <w:rPr>
                <w:sz w:val="20"/>
                <w:szCs w:val="20"/>
                <w:lang w:val="es-419"/>
              </w:rPr>
              <w:t>Preparación de un plan de gestión de la reducción de HFC</w:t>
            </w:r>
          </w:p>
        </w:tc>
        <w:tc>
          <w:tcPr>
            <w:tcW w:w="614" w:type="pct"/>
            <w:tcBorders>
              <w:top w:val="single" w:sz="4" w:space="0" w:color="auto"/>
              <w:left w:val="single" w:sz="4" w:space="0" w:color="auto"/>
              <w:bottom w:val="single" w:sz="4" w:space="0" w:color="auto"/>
              <w:right w:val="single" w:sz="4" w:space="0" w:color="auto"/>
            </w:tcBorders>
            <w:vAlign w:val="center"/>
          </w:tcPr>
          <w:p w14:paraId="09AB7519" w14:textId="77777777" w:rsidR="00071E00" w:rsidRPr="008D2076" w:rsidRDefault="00071E00" w:rsidP="003F05D0">
            <w:pPr>
              <w:jc w:val="right"/>
              <w:rPr>
                <w:color w:val="000000"/>
                <w:sz w:val="20"/>
                <w:szCs w:val="20"/>
                <w:lang w:val="es-419"/>
              </w:rPr>
            </w:pPr>
            <w:r w:rsidRPr="008D2076">
              <w:rPr>
                <w:color w:val="000000"/>
                <w:sz w:val="20"/>
                <w:szCs w:val="20"/>
                <w:lang w:val="es-419"/>
              </w:rPr>
              <w:t>25 000</w:t>
            </w:r>
          </w:p>
        </w:tc>
        <w:tc>
          <w:tcPr>
            <w:tcW w:w="857" w:type="pct"/>
            <w:tcBorders>
              <w:top w:val="single" w:sz="4" w:space="0" w:color="auto"/>
              <w:left w:val="single" w:sz="4" w:space="0" w:color="auto"/>
              <w:bottom w:val="single" w:sz="4" w:space="0" w:color="auto"/>
              <w:right w:val="single" w:sz="4" w:space="0" w:color="auto"/>
            </w:tcBorders>
          </w:tcPr>
          <w:p w14:paraId="11B7F8A8" w14:textId="77777777" w:rsidR="00071E00" w:rsidRPr="008D2076" w:rsidRDefault="00071E00" w:rsidP="003F05D0">
            <w:pPr>
              <w:jc w:val="right"/>
              <w:rPr>
                <w:sz w:val="20"/>
                <w:szCs w:val="20"/>
                <w:lang w:val="es-419"/>
              </w:rPr>
            </w:pPr>
            <w:r w:rsidRPr="008D2076">
              <w:rPr>
                <w:sz w:val="20"/>
                <w:szCs w:val="20"/>
                <w:lang w:val="es-419"/>
              </w:rPr>
              <w:t>***</w:t>
            </w:r>
          </w:p>
        </w:tc>
      </w:tr>
      <w:tr w:rsidR="00071E00" w:rsidRPr="008D2076" w14:paraId="0B7C0BDE" w14:textId="77777777" w:rsidTr="003F05D0">
        <w:trPr>
          <w:trHeight w:val="235"/>
        </w:trPr>
        <w:tc>
          <w:tcPr>
            <w:tcW w:w="951" w:type="pct"/>
            <w:tcBorders>
              <w:top w:val="single" w:sz="4" w:space="0" w:color="auto"/>
              <w:left w:val="single" w:sz="4" w:space="0" w:color="auto"/>
              <w:bottom w:val="single" w:sz="4" w:space="0" w:color="auto"/>
              <w:right w:val="single" w:sz="4" w:space="0" w:color="auto"/>
            </w:tcBorders>
            <w:vAlign w:val="center"/>
          </w:tcPr>
          <w:p w14:paraId="5B787BB7" w14:textId="77777777" w:rsidR="00071E00" w:rsidRPr="008D2076" w:rsidRDefault="00071E00" w:rsidP="003F05D0">
            <w:pPr>
              <w:rPr>
                <w:color w:val="000000"/>
                <w:sz w:val="20"/>
                <w:szCs w:val="20"/>
                <w:lang w:val="es-419"/>
              </w:rPr>
            </w:pPr>
            <w:r w:rsidRPr="008D2076">
              <w:rPr>
                <w:color w:val="000000"/>
                <w:sz w:val="20"/>
                <w:szCs w:val="20"/>
                <w:lang w:val="es-419"/>
              </w:rPr>
              <w:t>Sudáfrica</w:t>
            </w:r>
          </w:p>
        </w:tc>
        <w:tc>
          <w:tcPr>
            <w:tcW w:w="2578" w:type="pct"/>
            <w:tcBorders>
              <w:top w:val="single" w:sz="4" w:space="0" w:color="auto"/>
              <w:left w:val="single" w:sz="4" w:space="0" w:color="auto"/>
              <w:bottom w:val="single" w:sz="4" w:space="0" w:color="auto"/>
              <w:right w:val="single" w:sz="4" w:space="0" w:color="auto"/>
            </w:tcBorders>
            <w:vAlign w:val="center"/>
          </w:tcPr>
          <w:p w14:paraId="382F032F" w14:textId="77777777" w:rsidR="00071E00" w:rsidRPr="008D2076" w:rsidRDefault="00071E00" w:rsidP="003F05D0">
            <w:pPr>
              <w:snapToGrid w:val="0"/>
              <w:rPr>
                <w:bCs/>
                <w:sz w:val="20"/>
                <w:szCs w:val="20"/>
                <w:highlight w:val="yellow"/>
                <w:lang w:val="es-419"/>
              </w:rPr>
            </w:pPr>
            <w:r w:rsidRPr="008D2076">
              <w:rPr>
                <w:sz w:val="20"/>
                <w:szCs w:val="20"/>
                <w:lang w:val="es-419"/>
              </w:rPr>
              <w:t>Preparación de un plan de gestión de la reducción de HFC</w:t>
            </w:r>
          </w:p>
        </w:tc>
        <w:tc>
          <w:tcPr>
            <w:tcW w:w="614" w:type="pct"/>
            <w:tcBorders>
              <w:top w:val="single" w:sz="4" w:space="0" w:color="auto"/>
              <w:left w:val="single" w:sz="4" w:space="0" w:color="auto"/>
              <w:bottom w:val="single" w:sz="4" w:space="0" w:color="auto"/>
              <w:right w:val="single" w:sz="4" w:space="0" w:color="auto"/>
            </w:tcBorders>
            <w:vAlign w:val="center"/>
          </w:tcPr>
          <w:p w14:paraId="7E99E488" w14:textId="77777777" w:rsidR="00071E00" w:rsidRPr="008D2076" w:rsidRDefault="00071E00" w:rsidP="003F05D0">
            <w:pPr>
              <w:jc w:val="right"/>
              <w:rPr>
                <w:color w:val="000000"/>
                <w:sz w:val="20"/>
                <w:szCs w:val="20"/>
                <w:lang w:val="es-419"/>
              </w:rPr>
            </w:pPr>
            <w:r w:rsidRPr="008D2076">
              <w:rPr>
                <w:color w:val="000000"/>
                <w:sz w:val="20"/>
                <w:szCs w:val="20"/>
                <w:lang w:val="es-419"/>
              </w:rPr>
              <w:t>100 000</w:t>
            </w:r>
          </w:p>
        </w:tc>
        <w:tc>
          <w:tcPr>
            <w:tcW w:w="857" w:type="pct"/>
            <w:tcBorders>
              <w:top w:val="single" w:sz="4" w:space="0" w:color="auto"/>
              <w:left w:val="single" w:sz="4" w:space="0" w:color="auto"/>
              <w:bottom w:val="single" w:sz="4" w:space="0" w:color="auto"/>
              <w:right w:val="single" w:sz="4" w:space="0" w:color="auto"/>
            </w:tcBorders>
          </w:tcPr>
          <w:p w14:paraId="70E13A07" w14:textId="77777777" w:rsidR="00071E00" w:rsidRPr="008D2076" w:rsidRDefault="00071E00" w:rsidP="003F05D0">
            <w:pPr>
              <w:jc w:val="right"/>
              <w:rPr>
                <w:sz w:val="20"/>
                <w:szCs w:val="20"/>
                <w:lang w:val="es-419"/>
              </w:rPr>
            </w:pPr>
            <w:r w:rsidRPr="008D2076">
              <w:rPr>
                <w:sz w:val="20"/>
                <w:szCs w:val="20"/>
                <w:lang w:val="es-419"/>
              </w:rPr>
              <w:t>***</w:t>
            </w:r>
          </w:p>
        </w:tc>
      </w:tr>
      <w:tr w:rsidR="00071E00" w:rsidRPr="008D2076" w14:paraId="0D6090DA" w14:textId="77777777" w:rsidTr="003F05D0">
        <w:trPr>
          <w:trHeight w:val="235"/>
        </w:trPr>
        <w:tc>
          <w:tcPr>
            <w:tcW w:w="3529" w:type="pct"/>
            <w:gridSpan w:val="2"/>
            <w:tcBorders>
              <w:top w:val="single" w:sz="4" w:space="0" w:color="auto"/>
              <w:left w:val="single" w:sz="4" w:space="0" w:color="auto"/>
              <w:bottom w:val="single" w:sz="4" w:space="0" w:color="auto"/>
              <w:right w:val="single" w:sz="4" w:space="0" w:color="auto"/>
            </w:tcBorders>
          </w:tcPr>
          <w:p w14:paraId="30DFF7BA" w14:textId="77777777" w:rsidR="00071E00" w:rsidRPr="008D2076" w:rsidRDefault="00071E00" w:rsidP="003F05D0">
            <w:pPr>
              <w:jc w:val="right"/>
              <w:rPr>
                <w:color w:val="000000" w:themeColor="text1"/>
                <w:sz w:val="20"/>
                <w:szCs w:val="20"/>
                <w:lang w:val="es-419"/>
              </w:rPr>
            </w:pPr>
            <w:r w:rsidRPr="008D2076">
              <w:rPr>
                <w:color w:val="000000" w:themeColor="text1"/>
                <w:sz w:val="20"/>
                <w:szCs w:val="20"/>
                <w:lang w:val="es-419"/>
              </w:rPr>
              <w:t>Subtotal para B1</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1B2F5744" w14:textId="77777777" w:rsidR="00071E00" w:rsidRPr="008D2076" w:rsidRDefault="00071E00" w:rsidP="003F05D0">
            <w:pPr>
              <w:jc w:val="right"/>
              <w:rPr>
                <w:color w:val="000000"/>
                <w:sz w:val="20"/>
                <w:szCs w:val="20"/>
                <w:lang w:val="es-419"/>
              </w:rPr>
            </w:pPr>
            <w:r w:rsidRPr="008D2076">
              <w:rPr>
                <w:color w:val="000000"/>
                <w:sz w:val="20"/>
                <w:szCs w:val="20"/>
                <w:lang w:val="es-419"/>
              </w:rPr>
              <w:t>783 500</w:t>
            </w:r>
          </w:p>
        </w:tc>
        <w:tc>
          <w:tcPr>
            <w:tcW w:w="857" w:type="pct"/>
            <w:tcBorders>
              <w:top w:val="single" w:sz="4" w:space="0" w:color="auto"/>
              <w:left w:val="single" w:sz="4" w:space="0" w:color="auto"/>
              <w:bottom w:val="single" w:sz="4" w:space="0" w:color="auto"/>
              <w:right w:val="single" w:sz="4" w:space="0" w:color="auto"/>
            </w:tcBorders>
          </w:tcPr>
          <w:p w14:paraId="02338421" w14:textId="77777777" w:rsidR="00071E00" w:rsidRPr="008D2076" w:rsidRDefault="00071E00" w:rsidP="003F05D0">
            <w:pPr>
              <w:jc w:val="right"/>
              <w:rPr>
                <w:color w:val="000000" w:themeColor="text1"/>
                <w:sz w:val="20"/>
                <w:szCs w:val="20"/>
                <w:lang w:val="es-419"/>
              </w:rPr>
            </w:pPr>
            <w:r w:rsidRPr="008D2076">
              <w:rPr>
                <w:color w:val="000000" w:themeColor="text1"/>
                <w:sz w:val="20"/>
                <w:szCs w:val="20"/>
                <w:lang w:val="es-419"/>
              </w:rPr>
              <w:t>***</w:t>
            </w:r>
          </w:p>
        </w:tc>
      </w:tr>
      <w:tr w:rsidR="00071E00" w:rsidRPr="008D2076" w14:paraId="4080B6D9" w14:textId="77777777" w:rsidTr="003F05D0">
        <w:trPr>
          <w:trHeight w:val="235"/>
        </w:trPr>
        <w:tc>
          <w:tcPr>
            <w:tcW w:w="3529" w:type="pct"/>
            <w:gridSpan w:val="2"/>
            <w:tcBorders>
              <w:top w:val="single" w:sz="4" w:space="0" w:color="auto"/>
              <w:left w:val="single" w:sz="4" w:space="0" w:color="auto"/>
              <w:bottom w:val="single" w:sz="4" w:space="0" w:color="auto"/>
              <w:right w:val="single" w:sz="4" w:space="0" w:color="auto"/>
            </w:tcBorders>
          </w:tcPr>
          <w:p w14:paraId="4CA1AAC7" w14:textId="77777777" w:rsidR="00071E00" w:rsidRPr="008D2076" w:rsidRDefault="00071E00" w:rsidP="003F05D0">
            <w:pPr>
              <w:jc w:val="right"/>
              <w:rPr>
                <w:color w:val="000000" w:themeColor="text1"/>
                <w:sz w:val="20"/>
                <w:szCs w:val="20"/>
                <w:lang w:val="es-419"/>
              </w:rPr>
            </w:pPr>
            <w:r w:rsidRPr="008D2076">
              <w:rPr>
                <w:color w:val="000000" w:themeColor="text1"/>
                <w:sz w:val="20"/>
                <w:szCs w:val="20"/>
                <w:lang w:val="es-419"/>
              </w:rPr>
              <w:t>Gastos de apoyo al organismo</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71216BE2" w14:textId="77777777" w:rsidR="00071E00" w:rsidRPr="008D2076" w:rsidRDefault="00071E00" w:rsidP="003F05D0">
            <w:pPr>
              <w:jc w:val="right"/>
              <w:rPr>
                <w:color w:val="000000"/>
                <w:sz w:val="20"/>
                <w:szCs w:val="20"/>
                <w:lang w:val="es-419"/>
              </w:rPr>
            </w:pPr>
            <w:r w:rsidRPr="008D2076">
              <w:rPr>
                <w:color w:val="000000"/>
                <w:sz w:val="20"/>
                <w:szCs w:val="20"/>
                <w:lang w:val="es-419"/>
              </w:rPr>
              <w:t>54 845</w:t>
            </w:r>
          </w:p>
        </w:tc>
        <w:tc>
          <w:tcPr>
            <w:tcW w:w="857" w:type="pct"/>
            <w:tcBorders>
              <w:top w:val="single" w:sz="4" w:space="0" w:color="auto"/>
              <w:left w:val="single" w:sz="4" w:space="0" w:color="auto"/>
              <w:bottom w:val="single" w:sz="4" w:space="0" w:color="auto"/>
              <w:right w:val="single" w:sz="4" w:space="0" w:color="auto"/>
            </w:tcBorders>
          </w:tcPr>
          <w:p w14:paraId="2A34A3E8" w14:textId="77777777" w:rsidR="00071E00" w:rsidRPr="008D2076" w:rsidRDefault="00071E00" w:rsidP="003F05D0">
            <w:pPr>
              <w:jc w:val="right"/>
              <w:rPr>
                <w:color w:val="000000" w:themeColor="text1"/>
                <w:sz w:val="20"/>
                <w:szCs w:val="20"/>
                <w:lang w:val="es-419"/>
              </w:rPr>
            </w:pPr>
            <w:r w:rsidRPr="008D2076">
              <w:rPr>
                <w:color w:val="000000" w:themeColor="text1"/>
                <w:sz w:val="20"/>
                <w:szCs w:val="20"/>
                <w:lang w:val="es-419"/>
              </w:rPr>
              <w:t>***</w:t>
            </w:r>
          </w:p>
        </w:tc>
      </w:tr>
      <w:tr w:rsidR="00071E00" w:rsidRPr="008D2076" w14:paraId="44CDE4EF" w14:textId="77777777" w:rsidTr="003F05D0">
        <w:trPr>
          <w:trHeight w:val="235"/>
        </w:trPr>
        <w:tc>
          <w:tcPr>
            <w:tcW w:w="3529" w:type="pct"/>
            <w:gridSpan w:val="2"/>
            <w:tcBorders>
              <w:top w:val="single" w:sz="4" w:space="0" w:color="auto"/>
              <w:left w:val="single" w:sz="4" w:space="0" w:color="auto"/>
              <w:bottom w:val="single" w:sz="4" w:space="0" w:color="auto"/>
              <w:right w:val="single" w:sz="4" w:space="0" w:color="auto"/>
            </w:tcBorders>
          </w:tcPr>
          <w:p w14:paraId="24F38C2F" w14:textId="77777777" w:rsidR="00071E00" w:rsidRPr="008D2076" w:rsidRDefault="00071E00" w:rsidP="003F05D0">
            <w:pPr>
              <w:jc w:val="right"/>
              <w:rPr>
                <w:color w:val="000000" w:themeColor="text1"/>
                <w:sz w:val="20"/>
                <w:szCs w:val="20"/>
                <w:lang w:val="es-419"/>
              </w:rPr>
            </w:pPr>
            <w:r w:rsidRPr="008D2076">
              <w:rPr>
                <w:color w:val="000000" w:themeColor="text1"/>
                <w:sz w:val="20"/>
                <w:szCs w:val="20"/>
                <w:lang w:val="es-419"/>
              </w:rPr>
              <w:t>Total para B1</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2E55A963" w14:textId="77777777" w:rsidR="00071E00" w:rsidRPr="008D2076" w:rsidRDefault="00071E00" w:rsidP="003F05D0">
            <w:pPr>
              <w:jc w:val="right"/>
              <w:rPr>
                <w:color w:val="000000"/>
                <w:sz w:val="20"/>
                <w:szCs w:val="20"/>
                <w:lang w:val="es-419"/>
              </w:rPr>
            </w:pPr>
            <w:r w:rsidRPr="008D2076">
              <w:rPr>
                <w:color w:val="000000"/>
                <w:sz w:val="20"/>
                <w:szCs w:val="20"/>
                <w:lang w:val="es-419"/>
              </w:rPr>
              <w:t>838 345</w:t>
            </w:r>
          </w:p>
        </w:tc>
        <w:tc>
          <w:tcPr>
            <w:tcW w:w="857" w:type="pct"/>
            <w:tcBorders>
              <w:top w:val="single" w:sz="4" w:space="0" w:color="auto"/>
              <w:left w:val="single" w:sz="4" w:space="0" w:color="auto"/>
              <w:bottom w:val="single" w:sz="4" w:space="0" w:color="auto"/>
              <w:right w:val="single" w:sz="4" w:space="0" w:color="auto"/>
            </w:tcBorders>
          </w:tcPr>
          <w:p w14:paraId="27500B4A" w14:textId="77777777" w:rsidR="00071E00" w:rsidRPr="008D2076" w:rsidRDefault="00071E00" w:rsidP="003F05D0">
            <w:pPr>
              <w:jc w:val="right"/>
              <w:rPr>
                <w:color w:val="000000" w:themeColor="text1"/>
                <w:sz w:val="20"/>
                <w:szCs w:val="20"/>
                <w:lang w:val="es-419"/>
              </w:rPr>
            </w:pPr>
            <w:r w:rsidRPr="008D2076">
              <w:rPr>
                <w:color w:val="000000" w:themeColor="text1"/>
                <w:sz w:val="20"/>
                <w:szCs w:val="20"/>
                <w:lang w:val="es-419"/>
              </w:rPr>
              <w:t>***</w:t>
            </w:r>
          </w:p>
        </w:tc>
      </w:tr>
      <w:tr w:rsidR="00071E00" w:rsidRPr="008D2076" w14:paraId="190F4E9A" w14:textId="77777777" w:rsidTr="003F05D0">
        <w:trPr>
          <w:trHeight w:val="235"/>
        </w:trPr>
        <w:tc>
          <w:tcPr>
            <w:tcW w:w="3529" w:type="pct"/>
            <w:gridSpan w:val="2"/>
            <w:tcBorders>
              <w:top w:val="single" w:sz="4" w:space="0" w:color="auto"/>
              <w:left w:val="single" w:sz="4" w:space="0" w:color="auto"/>
              <w:bottom w:val="single" w:sz="4" w:space="0" w:color="auto"/>
              <w:right w:val="single" w:sz="4" w:space="0" w:color="auto"/>
            </w:tcBorders>
          </w:tcPr>
          <w:p w14:paraId="29D47081" w14:textId="77777777" w:rsidR="00071E00" w:rsidRPr="008D2076" w:rsidRDefault="00071E00" w:rsidP="003F05D0">
            <w:pPr>
              <w:jc w:val="right"/>
              <w:rPr>
                <w:color w:val="000000" w:themeColor="text1"/>
                <w:sz w:val="20"/>
                <w:szCs w:val="20"/>
                <w:lang w:val="es-419"/>
              </w:rPr>
            </w:pPr>
          </w:p>
        </w:tc>
        <w:tc>
          <w:tcPr>
            <w:tcW w:w="614" w:type="pct"/>
            <w:tcBorders>
              <w:top w:val="single" w:sz="4" w:space="0" w:color="auto"/>
              <w:left w:val="single" w:sz="4" w:space="0" w:color="auto"/>
              <w:bottom w:val="single" w:sz="4" w:space="0" w:color="auto"/>
              <w:right w:val="single" w:sz="4" w:space="0" w:color="auto"/>
            </w:tcBorders>
          </w:tcPr>
          <w:p w14:paraId="55ECC9DF" w14:textId="77777777" w:rsidR="00071E00" w:rsidRPr="008D2076" w:rsidRDefault="00071E00" w:rsidP="003F05D0">
            <w:pPr>
              <w:jc w:val="right"/>
              <w:rPr>
                <w:color w:val="000000"/>
                <w:sz w:val="20"/>
                <w:szCs w:val="20"/>
                <w:lang w:val="es-419"/>
              </w:rPr>
            </w:pPr>
          </w:p>
        </w:tc>
        <w:tc>
          <w:tcPr>
            <w:tcW w:w="857" w:type="pct"/>
            <w:tcBorders>
              <w:top w:val="single" w:sz="4" w:space="0" w:color="auto"/>
              <w:left w:val="single" w:sz="4" w:space="0" w:color="auto"/>
              <w:bottom w:val="single" w:sz="4" w:space="0" w:color="auto"/>
              <w:right w:val="single" w:sz="4" w:space="0" w:color="auto"/>
            </w:tcBorders>
          </w:tcPr>
          <w:p w14:paraId="78095503" w14:textId="77777777" w:rsidR="00071E00" w:rsidRPr="008D2076" w:rsidRDefault="00071E00" w:rsidP="003F05D0">
            <w:pPr>
              <w:jc w:val="right"/>
              <w:rPr>
                <w:color w:val="000000" w:themeColor="text1"/>
                <w:sz w:val="20"/>
                <w:szCs w:val="20"/>
                <w:lang w:val="es-419"/>
              </w:rPr>
            </w:pPr>
          </w:p>
        </w:tc>
      </w:tr>
      <w:tr w:rsidR="00071E00" w:rsidRPr="00D043AF" w14:paraId="72298AF0" w14:textId="77777777" w:rsidTr="003F05D0">
        <w:trPr>
          <w:trHeight w:val="235"/>
        </w:trPr>
        <w:tc>
          <w:tcPr>
            <w:tcW w:w="5000" w:type="pct"/>
            <w:gridSpan w:val="4"/>
            <w:tcBorders>
              <w:top w:val="single" w:sz="4" w:space="0" w:color="auto"/>
              <w:left w:val="single" w:sz="4" w:space="0" w:color="auto"/>
              <w:bottom w:val="single" w:sz="4" w:space="0" w:color="auto"/>
              <w:right w:val="single" w:sz="4" w:space="0" w:color="auto"/>
            </w:tcBorders>
          </w:tcPr>
          <w:p w14:paraId="7B471CD1" w14:textId="77777777" w:rsidR="00071E00" w:rsidRPr="008D2076" w:rsidRDefault="00071E00" w:rsidP="003F05D0">
            <w:pPr>
              <w:jc w:val="left"/>
              <w:rPr>
                <w:color w:val="000000" w:themeColor="text1"/>
                <w:sz w:val="20"/>
                <w:szCs w:val="20"/>
                <w:lang w:val="es-419"/>
              </w:rPr>
            </w:pPr>
            <w:r w:rsidRPr="008D2076">
              <w:rPr>
                <w:b/>
                <w:color w:val="000000" w:themeColor="text1"/>
                <w:sz w:val="20"/>
                <w:szCs w:val="20"/>
                <w:lang w:val="es-419"/>
              </w:rPr>
              <w:t xml:space="preserve">B2: Preparación de proyecto para proyectos relacionados con HFC </w:t>
            </w:r>
          </w:p>
        </w:tc>
      </w:tr>
      <w:tr w:rsidR="00071E00" w:rsidRPr="008D2076" w14:paraId="0EB0BC7F" w14:textId="77777777" w:rsidTr="003F05D0">
        <w:trPr>
          <w:trHeight w:val="235"/>
        </w:trPr>
        <w:tc>
          <w:tcPr>
            <w:tcW w:w="951" w:type="pct"/>
            <w:tcBorders>
              <w:top w:val="single" w:sz="4" w:space="0" w:color="auto"/>
              <w:left w:val="single" w:sz="4" w:space="0" w:color="auto"/>
              <w:bottom w:val="single" w:sz="4" w:space="0" w:color="auto"/>
              <w:right w:val="single" w:sz="4" w:space="0" w:color="auto"/>
            </w:tcBorders>
          </w:tcPr>
          <w:p w14:paraId="3EC413B2" w14:textId="77777777" w:rsidR="00071E00" w:rsidRPr="008D2076" w:rsidRDefault="00071E00" w:rsidP="003F05D0">
            <w:pPr>
              <w:jc w:val="left"/>
              <w:rPr>
                <w:color w:val="000000" w:themeColor="text1"/>
                <w:sz w:val="20"/>
                <w:szCs w:val="20"/>
                <w:lang w:val="es-419"/>
              </w:rPr>
            </w:pPr>
            <w:r w:rsidRPr="008D2076">
              <w:rPr>
                <w:color w:val="000000" w:themeColor="text1"/>
                <w:sz w:val="20"/>
                <w:szCs w:val="20"/>
                <w:lang w:val="es-419"/>
              </w:rPr>
              <w:t>Sudán</w:t>
            </w:r>
            <w:r w:rsidRPr="008D2076">
              <w:rPr>
                <w:color w:val="000000"/>
                <w:sz w:val="20"/>
                <w:szCs w:val="20"/>
                <w:lang w:val="es-419"/>
              </w:rPr>
              <w:t>§</w:t>
            </w:r>
          </w:p>
        </w:tc>
        <w:tc>
          <w:tcPr>
            <w:tcW w:w="2578" w:type="pct"/>
            <w:tcBorders>
              <w:top w:val="single" w:sz="4" w:space="0" w:color="auto"/>
              <w:left w:val="single" w:sz="4" w:space="0" w:color="auto"/>
              <w:bottom w:val="single" w:sz="4" w:space="0" w:color="auto"/>
              <w:right w:val="single" w:sz="4" w:space="0" w:color="auto"/>
            </w:tcBorders>
          </w:tcPr>
          <w:p w14:paraId="03346CE8" w14:textId="77777777" w:rsidR="00071E00" w:rsidRPr="008D2076" w:rsidRDefault="00071E00" w:rsidP="003F05D0">
            <w:pPr>
              <w:jc w:val="left"/>
              <w:rPr>
                <w:color w:val="000000" w:themeColor="text1"/>
                <w:sz w:val="20"/>
                <w:szCs w:val="20"/>
                <w:lang w:val="es-419"/>
              </w:rPr>
            </w:pPr>
            <w:r w:rsidRPr="008D2076">
              <w:rPr>
                <w:bCs/>
                <w:sz w:val="20"/>
                <w:szCs w:val="20"/>
                <w:lang w:val="es-419"/>
              </w:rPr>
              <w:t>Preparación de proyecto para proyecto relacionado con HFC (aire acondicionado)</w:t>
            </w:r>
          </w:p>
        </w:tc>
        <w:tc>
          <w:tcPr>
            <w:tcW w:w="614" w:type="pct"/>
            <w:tcBorders>
              <w:top w:val="single" w:sz="4" w:space="0" w:color="auto"/>
              <w:left w:val="single" w:sz="4" w:space="0" w:color="auto"/>
              <w:bottom w:val="single" w:sz="4" w:space="0" w:color="auto"/>
              <w:right w:val="single" w:sz="4" w:space="0" w:color="auto"/>
            </w:tcBorders>
          </w:tcPr>
          <w:p w14:paraId="0D42C093" w14:textId="77777777" w:rsidR="00071E00" w:rsidRPr="008D2076" w:rsidRDefault="00071E00" w:rsidP="003F05D0">
            <w:pPr>
              <w:jc w:val="right"/>
              <w:rPr>
                <w:color w:val="000000" w:themeColor="text1"/>
                <w:sz w:val="20"/>
                <w:szCs w:val="20"/>
                <w:lang w:val="es-419"/>
              </w:rPr>
            </w:pPr>
            <w:r w:rsidRPr="008D2076">
              <w:rPr>
                <w:color w:val="000000" w:themeColor="text1"/>
                <w:sz w:val="20"/>
                <w:szCs w:val="20"/>
                <w:lang w:val="es-419"/>
              </w:rPr>
              <w:t>30 000</w:t>
            </w:r>
          </w:p>
        </w:tc>
        <w:tc>
          <w:tcPr>
            <w:tcW w:w="857" w:type="pct"/>
            <w:tcBorders>
              <w:top w:val="single" w:sz="4" w:space="0" w:color="auto"/>
              <w:left w:val="single" w:sz="4" w:space="0" w:color="auto"/>
              <w:bottom w:val="single" w:sz="4" w:space="0" w:color="auto"/>
              <w:right w:val="single" w:sz="4" w:space="0" w:color="auto"/>
            </w:tcBorders>
          </w:tcPr>
          <w:p w14:paraId="54E27509" w14:textId="77777777" w:rsidR="00071E00" w:rsidRPr="008D2076" w:rsidRDefault="00071E00" w:rsidP="003F05D0">
            <w:pPr>
              <w:jc w:val="right"/>
              <w:rPr>
                <w:color w:val="000000" w:themeColor="text1"/>
                <w:sz w:val="20"/>
                <w:szCs w:val="20"/>
                <w:lang w:val="es-419"/>
              </w:rPr>
            </w:pPr>
            <w:r w:rsidRPr="008D2076">
              <w:rPr>
                <w:sz w:val="20"/>
                <w:szCs w:val="20"/>
                <w:lang w:val="es-419"/>
              </w:rPr>
              <w:t>***</w:t>
            </w:r>
          </w:p>
        </w:tc>
      </w:tr>
      <w:tr w:rsidR="00071E00" w:rsidRPr="008D2076" w14:paraId="7CDC1DE2" w14:textId="77777777" w:rsidTr="003F05D0">
        <w:trPr>
          <w:trHeight w:val="235"/>
        </w:trPr>
        <w:tc>
          <w:tcPr>
            <w:tcW w:w="3529" w:type="pct"/>
            <w:gridSpan w:val="2"/>
            <w:tcBorders>
              <w:top w:val="single" w:sz="4" w:space="0" w:color="auto"/>
              <w:left w:val="single" w:sz="4" w:space="0" w:color="auto"/>
              <w:bottom w:val="single" w:sz="4" w:space="0" w:color="auto"/>
              <w:right w:val="single" w:sz="4" w:space="0" w:color="auto"/>
            </w:tcBorders>
          </w:tcPr>
          <w:p w14:paraId="2D3BFD59" w14:textId="77777777" w:rsidR="00071E00" w:rsidRPr="008D2076" w:rsidRDefault="00071E00" w:rsidP="003F05D0">
            <w:pPr>
              <w:jc w:val="right"/>
              <w:rPr>
                <w:color w:val="000000" w:themeColor="text1"/>
                <w:sz w:val="20"/>
                <w:szCs w:val="20"/>
                <w:lang w:val="es-419"/>
              </w:rPr>
            </w:pPr>
            <w:r w:rsidRPr="008D2076">
              <w:rPr>
                <w:color w:val="000000" w:themeColor="text1"/>
                <w:sz w:val="20"/>
                <w:szCs w:val="20"/>
                <w:lang w:val="es-419"/>
              </w:rPr>
              <w:t>Subtotal para B2</w:t>
            </w:r>
          </w:p>
        </w:tc>
        <w:tc>
          <w:tcPr>
            <w:tcW w:w="614" w:type="pct"/>
            <w:tcBorders>
              <w:top w:val="single" w:sz="4" w:space="0" w:color="auto"/>
              <w:left w:val="single" w:sz="4" w:space="0" w:color="auto"/>
              <w:bottom w:val="single" w:sz="4" w:space="0" w:color="auto"/>
              <w:right w:val="single" w:sz="4" w:space="0" w:color="auto"/>
            </w:tcBorders>
          </w:tcPr>
          <w:p w14:paraId="7173156C" w14:textId="77777777" w:rsidR="00071E00" w:rsidRPr="008D2076" w:rsidRDefault="00071E00" w:rsidP="003F05D0">
            <w:pPr>
              <w:jc w:val="right"/>
              <w:rPr>
                <w:color w:val="000000" w:themeColor="text1"/>
                <w:sz w:val="20"/>
                <w:szCs w:val="20"/>
                <w:lang w:val="es-419"/>
              </w:rPr>
            </w:pPr>
            <w:r w:rsidRPr="008D2076">
              <w:rPr>
                <w:color w:val="000000" w:themeColor="text1"/>
                <w:sz w:val="20"/>
                <w:szCs w:val="20"/>
                <w:lang w:val="es-419"/>
              </w:rPr>
              <w:t>30 000</w:t>
            </w:r>
          </w:p>
        </w:tc>
        <w:tc>
          <w:tcPr>
            <w:tcW w:w="857" w:type="pct"/>
            <w:tcBorders>
              <w:top w:val="single" w:sz="4" w:space="0" w:color="auto"/>
              <w:left w:val="single" w:sz="4" w:space="0" w:color="auto"/>
              <w:bottom w:val="single" w:sz="4" w:space="0" w:color="auto"/>
              <w:right w:val="single" w:sz="4" w:space="0" w:color="auto"/>
            </w:tcBorders>
          </w:tcPr>
          <w:p w14:paraId="6709C51F" w14:textId="77777777" w:rsidR="00071E00" w:rsidRPr="008D2076" w:rsidRDefault="00071E00" w:rsidP="003F05D0">
            <w:pPr>
              <w:jc w:val="right"/>
              <w:rPr>
                <w:color w:val="000000" w:themeColor="text1"/>
                <w:sz w:val="20"/>
                <w:szCs w:val="20"/>
                <w:lang w:val="es-419"/>
              </w:rPr>
            </w:pPr>
            <w:r w:rsidRPr="008D2076">
              <w:rPr>
                <w:sz w:val="20"/>
                <w:szCs w:val="20"/>
                <w:lang w:val="es-419"/>
              </w:rPr>
              <w:t>***</w:t>
            </w:r>
          </w:p>
        </w:tc>
      </w:tr>
      <w:tr w:rsidR="00071E00" w:rsidRPr="008D2076" w14:paraId="3ADF899A" w14:textId="77777777" w:rsidTr="003F05D0">
        <w:trPr>
          <w:trHeight w:val="235"/>
        </w:trPr>
        <w:tc>
          <w:tcPr>
            <w:tcW w:w="3529" w:type="pct"/>
            <w:gridSpan w:val="2"/>
            <w:tcBorders>
              <w:top w:val="single" w:sz="4" w:space="0" w:color="auto"/>
              <w:left w:val="single" w:sz="4" w:space="0" w:color="auto"/>
              <w:bottom w:val="single" w:sz="4" w:space="0" w:color="auto"/>
              <w:right w:val="single" w:sz="4" w:space="0" w:color="auto"/>
            </w:tcBorders>
          </w:tcPr>
          <w:p w14:paraId="23736F53" w14:textId="77777777" w:rsidR="00071E00" w:rsidRPr="008D2076" w:rsidRDefault="00071E00" w:rsidP="003F05D0">
            <w:pPr>
              <w:jc w:val="right"/>
              <w:rPr>
                <w:color w:val="000000" w:themeColor="text1"/>
                <w:sz w:val="20"/>
                <w:szCs w:val="20"/>
                <w:lang w:val="es-419"/>
              </w:rPr>
            </w:pPr>
            <w:r w:rsidRPr="008D2076">
              <w:rPr>
                <w:color w:val="000000" w:themeColor="text1"/>
                <w:sz w:val="20"/>
                <w:szCs w:val="20"/>
                <w:lang w:val="es-419"/>
              </w:rPr>
              <w:t>Gastos de apoyo al organismo</w:t>
            </w:r>
          </w:p>
        </w:tc>
        <w:tc>
          <w:tcPr>
            <w:tcW w:w="614" w:type="pct"/>
            <w:tcBorders>
              <w:top w:val="single" w:sz="4" w:space="0" w:color="auto"/>
              <w:left w:val="single" w:sz="4" w:space="0" w:color="auto"/>
              <w:bottom w:val="single" w:sz="4" w:space="0" w:color="auto"/>
              <w:right w:val="single" w:sz="4" w:space="0" w:color="auto"/>
            </w:tcBorders>
          </w:tcPr>
          <w:p w14:paraId="1E827F52" w14:textId="77777777" w:rsidR="00071E00" w:rsidRPr="008D2076" w:rsidRDefault="00071E00" w:rsidP="003F05D0">
            <w:pPr>
              <w:jc w:val="right"/>
              <w:rPr>
                <w:color w:val="000000" w:themeColor="text1"/>
                <w:sz w:val="20"/>
                <w:szCs w:val="20"/>
                <w:lang w:val="es-419"/>
              </w:rPr>
            </w:pPr>
            <w:r w:rsidRPr="008D2076">
              <w:rPr>
                <w:color w:val="000000" w:themeColor="text1"/>
                <w:sz w:val="20"/>
                <w:szCs w:val="20"/>
                <w:lang w:val="es-419"/>
              </w:rPr>
              <w:t>2 100</w:t>
            </w:r>
          </w:p>
        </w:tc>
        <w:tc>
          <w:tcPr>
            <w:tcW w:w="857" w:type="pct"/>
            <w:tcBorders>
              <w:top w:val="single" w:sz="4" w:space="0" w:color="auto"/>
              <w:left w:val="single" w:sz="4" w:space="0" w:color="auto"/>
              <w:bottom w:val="single" w:sz="4" w:space="0" w:color="auto"/>
              <w:right w:val="single" w:sz="4" w:space="0" w:color="auto"/>
            </w:tcBorders>
          </w:tcPr>
          <w:p w14:paraId="0F5B4129" w14:textId="77777777" w:rsidR="00071E00" w:rsidRPr="008D2076" w:rsidRDefault="00071E00" w:rsidP="003F05D0">
            <w:pPr>
              <w:jc w:val="right"/>
              <w:rPr>
                <w:color w:val="000000" w:themeColor="text1"/>
                <w:sz w:val="20"/>
                <w:szCs w:val="20"/>
                <w:lang w:val="es-419"/>
              </w:rPr>
            </w:pPr>
            <w:r w:rsidRPr="008D2076">
              <w:rPr>
                <w:sz w:val="20"/>
                <w:szCs w:val="20"/>
                <w:lang w:val="es-419"/>
              </w:rPr>
              <w:t>***</w:t>
            </w:r>
          </w:p>
        </w:tc>
      </w:tr>
      <w:tr w:rsidR="00071E00" w:rsidRPr="008D2076" w14:paraId="59FF7FE2" w14:textId="77777777" w:rsidTr="003F05D0">
        <w:trPr>
          <w:trHeight w:val="235"/>
        </w:trPr>
        <w:tc>
          <w:tcPr>
            <w:tcW w:w="3529" w:type="pct"/>
            <w:gridSpan w:val="2"/>
            <w:tcBorders>
              <w:top w:val="single" w:sz="4" w:space="0" w:color="auto"/>
              <w:left w:val="single" w:sz="4" w:space="0" w:color="auto"/>
              <w:bottom w:val="single" w:sz="4" w:space="0" w:color="auto"/>
              <w:right w:val="single" w:sz="4" w:space="0" w:color="auto"/>
            </w:tcBorders>
          </w:tcPr>
          <w:p w14:paraId="2CAEAC44" w14:textId="77777777" w:rsidR="00071E00" w:rsidRPr="008D2076" w:rsidRDefault="00071E00" w:rsidP="003F05D0">
            <w:pPr>
              <w:jc w:val="right"/>
              <w:rPr>
                <w:color w:val="000000" w:themeColor="text1"/>
                <w:sz w:val="20"/>
                <w:szCs w:val="20"/>
                <w:lang w:val="es-419"/>
              </w:rPr>
            </w:pPr>
            <w:r w:rsidRPr="008D2076">
              <w:rPr>
                <w:color w:val="000000" w:themeColor="text1"/>
                <w:sz w:val="20"/>
                <w:szCs w:val="20"/>
                <w:lang w:val="es-419"/>
              </w:rPr>
              <w:t>Total para B2</w:t>
            </w:r>
          </w:p>
        </w:tc>
        <w:tc>
          <w:tcPr>
            <w:tcW w:w="614" w:type="pct"/>
            <w:tcBorders>
              <w:top w:val="single" w:sz="4" w:space="0" w:color="auto"/>
              <w:left w:val="single" w:sz="4" w:space="0" w:color="auto"/>
              <w:bottom w:val="single" w:sz="4" w:space="0" w:color="auto"/>
              <w:right w:val="single" w:sz="4" w:space="0" w:color="auto"/>
            </w:tcBorders>
          </w:tcPr>
          <w:p w14:paraId="441385F1" w14:textId="77777777" w:rsidR="00071E00" w:rsidRPr="008D2076" w:rsidRDefault="00071E00" w:rsidP="003F05D0">
            <w:pPr>
              <w:jc w:val="right"/>
              <w:rPr>
                <w:color w:val="000000" w:themeColor="text1"/>
                <w:sz w:val="20"/>
                <w:szCs w:val="20"/>
                <w:lang w:val="es-419"/>
              </w:rPr>
            </w:pPr>
            <w:r w:rsidRPr="008D2076">
              <w:rPr>
                <w:color w:val="000000" w:themeColor="text1"/>
                <w:sz w:val="20"/>
                <w:szCs w:val="20"/>
                <w:lang w:val="es-419"/>
              </w:rPr>
              <w:t>32 100</w:t>
            </w:r>
          </w:p>
        </w:tc>
        <w:tc>
          <w:tcPr>
            <w:tcW w:w="857" w:type="pct"/>
            <w:tcBorders>
              <w:top w:val="single" w:sz="4" w:space="0" w:color="auto"/>
              <w:left w:val="single" w:sz="4" w:space="0" w:color="auto"/>
              <w:bottom w:val="single" w:sz="4" w:space="0" w:color="auto"/>
              <w:right w:val="single" w:sz="4" w:space="0" w:color="auto"/>
            </w:tcBorders>
          </w:tcPr>
          <w:p w14:paraId="3C065534" w14:textId="77777777" w:rsidR="00071E00" w:rsidRPr="008D2076" w:rsidRDefault="00071E00" w:rsidP="003F05D0">
            <w:pPr>
              <w:jc w:val="right"/>
              <w:rPr>
                <w:color w:val="000000" w:themeColor="text1"/>
                <w:sz w:val="20"/>
                <w:szCs w:val="20"/>
                <w:lang w:val="es-419"/>
              </w:rPr>
            </w:pPr>
            <w:r w:rsidRPr="008D2076">
              <w:rPr>
                <w:sz w:val="20"/>
                <w:szCs w:val="20"/>
                <w:lang w:val="es-419"/>
              </w:rPr>
              <w:t>***</w:t>
            </w:r>
          </w:p>
        </w:tc>
      </w:tr>
      <w:tr w:rsidR="00071E00" w:rsidRPr="008D2076" w14:paraId="009D1ABD" w14:textId="77777777" w:rsidTr="003F05D0">
        <w:trPr>
          <w:trHeight w:val="235"/>
        </w:trPr>
        <w:tc>
          <w:tcPr>
            <w:tcW w:w="3529" w:type="pct"/>
            <w:gridSpan w:val="2"/>
            <w:tcBorders>
              <w:top w:val="single" w:sz="4" w:space="0" w:color="auto"/>
              <w:left w:val="single" w:sz="4" w:space="0" w:color="auto"/>
              <w:bottom w:val="single" w:sz="4" w:space="0" w:color="auto"/>
              <w:right w:val="single" w:sz="4" w:space="0" w:color="auto"/>
            </w:tcBorders>
          </w:tcPr>
          <w:p w14:paraId="39D9F2B2" w14:textId="77777777" w:rsidR="00071E00" w:rsidRPr="008D2076" w:rsidRDefault="00071E00" w:rsidP="003F05D0">
            <w:pPr>
              <w:jc w:val="right"/>
              <w:rPr>
                <w:color w:val="000000" w:themeColor="text1"/>
                <w:sz w:val="20"/>
                <w:szCs w:val="20"/>
                <w:lang w:val="es-419"/>
              </w:rPr>
            </w:pPr>
            <w:r w:rsidRPr="008D2076">
              <w:rPr>
                <w:color w:val="000000" w:themeColor="text1"/>
                <w:sz w:val="20"/>
                <w:szCs w:val="20"/>
                <w:lang w:val="es-419"/>
              </w:rPr>
              <w:t>Total general para todas las solicitudes a la 86ª reunión (A1, A2, A3, B1, B2)</w:t>
            </w:r>
          </w:p>
        </w:tc>
        <w:tc>
          <w:tcPr>
            <w:tcW w:w="614" w:type="pct"/>
            <w:tcBorders>
              <w:top w:val="single" w:sz="4" w:space="0" w:color="auto"/>
              <w:left w:val="single" w:sz="4" w:space="0" w:color="auto"/>
              <w:bottom w:val="single" w:sz="4" w:space="0" w:color="auto"/>
              <w:right w:val="single" w:sz="4" w:space="0" w:color="auto"/>
            </w:tcBorders>
          </w:tcPr>
          <w:p w14:paraId="79405839" w14:textId="77777777" w:rsidR="00071E00" w:rsidRPr="008D2076" w:rsidRDefault="00071E00" w:rsidP="003F05D0">
            <w:pPr>
              <w:jc w:val="right"/>
              <w:rPr>
                <w:color w:val="000000" w:themeColor="text1"/>
                <w:sz w:val="20"/>
                <w:szCs w:val="20"/>
                <w:lang w:val="es-419"/>
              </w:rPr>
            </w:pPr>
            <w:r w:rsidRPr="008D2076">
              <w:rPr>
                <w:color w:val="000000" w:themeColor="text1"/>
                <w:sz w:val="20"/>
                <w:szCs w:val="20"/>
                <w:lang w:val="es-419"/>
              </w:rPr>
              <w:t>2 292 831</w:t>
            </w:r>
          </w:p>
        </w:tc>
        <w:tc>
          <w:tcPr>
            <w:tcW w:w="857" w:type="pct"/>
            <w:tcBorders>
              <w:top w:val="single" w:sz="4" w:space="0" w:color="auto"/>
              <w:left w:val="single" w:sz="4" w:space="0" w:color="auto"/>
              <w:bottom w:val="single" w:sz="4" w:space="0" w:color="auto"/>
              <w:right w:val="single" w:sz="4" w:space="0" w:color="auto"/>
            </w:tcBorders>
          </w:tcPr>
          <w:p w14:paraId="34858070" w14:textId="77777777" w:rsidR="00071E00" w:rsidRPr="008D2076" w:rsidRDefault="00071E00" w:rsidP="003F05D0">
            <w:pPr>
              <w:jc w:val="right"/>
              <w:rPr>
                <w:color w:val="000000" w:themeColor="text1"/>
                <w:sz w:val="20"/>
                <w:szCs w:val="20"/>
                <w:lang w:val="es-419"/>
              </w:rPr>
            </w:pPr>
            <w:r w:rsidRPr="008D2076">
              <w:rPr>
                <w:color w:val="000000" w:themeColor="text1"/>
                <w:sz w:val="20"/>
                <w:szCs w:val="20"/>
                <w:lang w:val="es-419"/>
              </w:rPr>
              <w:t>1 422 386</w:t>
            </w:r>
          </w:p>
        </w:tc>
      </w:tr>
    </w:tbl>
    <w:p w14:paraId="2617742B" w14:textId="77777777" w:rsidR="00071E00" w:rsidRPr="008D2076" w:rsidRDefault="00071E00" w:rsidP="00071E00">
      <w:pPr>
        <w:tabs>
          <w:tab w:val="left" w:pos="8280"/>
        </w:tabs>
        <w:rPr>
          <w:sz w:val="20"/>
          <w:szCs w:val="20"/>
          <w:lang w:val="es-419"/>
        </w:rPr>
      </w:pPr>
      <w:r w:rsidRPr="008D2076">
        <w:rPr>
          <w:sz w:val="20"/>
          <w:szCs w:val="20"/>
          <w:lang w:val="es-419"/>
        </w:rPr>
        <w:t>* PNUMA como organismo de ejecución cooperante</w:t>
      </w:r>
    </w:p>
    <w:p w14:paraId="6CD04F3D" w14:textId="77777777" w:rsidR="00071E00" w:rsidRPr="008D2076" w:rsidRDefault="00071E00" w:rsidP="00071E00">
      <w:pPr>
        <w:tabs>
          <w:tab w:val="left" w:pos="8280"/>
        </w:tabs>
        <w:rPr>
          <w:sz w:val="20"/>
          <w:szCs w:val="20"/>
          <w:lang w:val="es-419"/>
        </w:rPr>
      </w:pPr>
      <w:r w:rsidRPr="008D2076">
        <w:rPr>
          <w:sz w:val="20"/>
          <w:szCs w:val="20"/>
          <w:lang w:val="es-419"/>
        </w:rPr>
        <w:t>** PNUMA como organismo de ejecución director</w:t>
      </w:r>
    </w:p>
    <w:p w14:paraId="0E7CD6A7" w14:textId="77777777" w:rsidR="00071E00" w:rsidRPr="008D2076" w:rsidRDefault="00071E00" w:rsidP="00071E00">
      <w:pPr>
        <w:tabs>
          <w:tab w:val="left" w:pos="8280"/>
        </w:tabs>
        <w:rPr>
          <w:sz w:val="20"/>
          <w:szCs w:val="20"/>
          <w:lang w:val="es-419"/>
        </w:rPr>
      </w:pPr>
      <w:r w:rsidRPr="008D2076">
        <w:rPr>
          <w:sz w:val="20"/>
          <w:szCs w:val="20"/>
          <w:lang w:val="es-419"/>
        </w:rPr>
        <w:t>*** Para consideración particular</w:t>
      </w:r>
    </w:p>
    <w:p w14:paraId="66438DB9" w14:textId="77777777" w:rsidR="00071E00" w:rsidRPr="008D2076" w:rsidRDefault="00071E00" w:rsidP="00071E00">
      <w:pPr>
        <w:tabs>
          <w:tab w:val="left" w:pos="8280"/>
        </w:tabs>
        <w:rPr>
          <w:sz w:val="20"/>
          <w:szCs w:val="20"/>
          <w:lang w:val="es-419"/>
        </w:rPr>
      </w:pPr>
      <w:r w:rsidRPr="008D2076">
        <w:rPr>
          <w:color w:val="000000"/>
          <w:sz w:val="20"/>
          <w:szCs w:val="20"/>
          <w:lang w:val="es-419"/>
        </w:rPr>
        <w:t>§ Presentadas a la 85ª reunión</w:t>
      </w:r>
    </w:p>
    <w:p w14:paraId="48A0CFDE" w14:textId="77777777" w:rsidR="00071E00" w:rsidRPr="008D2076" w:rsidRDefault="00071E00" w:rsidP="00071E00">
      <w:pPr>
        <w:pStyle w:val="StyleHeader4Para4Left0Firstline0"/>
        <w:numPr>
          <w:ilvl w:val="0"/>
          <w:numId w:val="0"/>
        </w:numPr>
        <w:spacing w:after="0"/>
        <w:rPr>
          <w:sz w:val="22"/>
          <w:highlight w:val="yellow"/>
          <w:lang w:val="es-419"/>
        </w:rPr>
      </w:pPr>
    </w:p>
    <w:p w14:paraId="5C53536F" w14:textId="77777777" w:rsidR="00071E00" w:rsidRPr="008D2076" w:rsidRDefault="00071E00" w:rsidP="00071E00">
      <w:pPr>
        <w:keepNext/>
        <w:spacing w:after="240"/>
        <w:rPr>
          <w:b/>
          <w:color w:val="000000" w:themeColor="text1"/>
          <w:lang w:val="es-419"/>
        </w:rPr>
      </w:pPr>
      <w:r w:rsidRPr="008D2076">
        <w:rPr>
          <w:b/>
          <w:color w:val="000000" w:themeColor="text1"/>
          <w:lang w:val="es-419"/>
        </w:rPr>
        <w:t>SECCIÓN A: ACTIVIDADES RECOMENDADAS PARA APROBACIÓN GENERAL</w:t>
      </w:r>
    </w:p>
    <w:p w14:paraId="03B4B6B9" w14:textId="77777777" w:rsidR="00071E00" w:rsidRPr="008D2076" w:rsidRDefault="00071E00" w:rsidP="00071E00">
      <w:pPr>
        <w:keepNext/>
        <w:spacing w:after="240"/>
        <w:rPr>
          <w:b/>
          <w:bCs/>
          <w:color w:val="000000" w:themeColor="text1"/>
          <w:lang w:val="es-419"/>
        </w:rPr>
      </w:pPr>
      <w:r w:rsidRPr="008D2076">
        <w:rPr>
          <w:b/>
          <w:color w:val="000000" w:themeColor="text1"/>
          <w:lang w:val="es-419"/>
        </w:rPr>
        <w:t>A1: Renovación de proyectos de fortalecimiento institucional</w:t>
      </w:r>
    </w:p>
    <w:p w14:paraId="46D2922D" w14:textId="77777777" w:rsidR="00071E00" w:rsidRPr="008D2076" w:rsidRDefault="00071E00" w:rsidP="00071E00">
      <w:pPr>
        <w:keepNext/>
        <w:spacing w:after="240"/>
        <w:rPr>
          <w:b/>
          <w:color w:val="000000" w:themeColor="text1"/>
          <w:lang w:val="es-419"/>
        </w:rPr>
      </w:pPr>
      <w:r w:rsidRPr="008D2076">
        <w:rPr>
          <w:b/>
          <w:color w:val="000000" w:themeColor="text1"/>
          <w:lang w:val="es-419"/>
        </w:rPr>
        <w:t>Descripción de los proyectos</w:t>
      </w:r>
    </w:p>
    <w:p w14:paraId="173EA051" w14:textId="77777777" w:rsidR="00071E00" w:rsidRPr="008D2076" w:rsidRDefault="00071E00" w:rsidP="00071E00">
      <w:pPr>
        <w:pStyle w:val="Heading1"/>
        <w:rPr>
          <w:lang w:val="es-419"/>
        </w:rPr>
      </w:pPr>
      <w:r w:rsidRPr="008D2076">
        <w:rPr>
          <w:lang w:val="es-419"/>
        </w:rPr>
        <w:t>La ONUDI presentó una solicitud para la renovación de proyectos de fortalecimiento institucional de los países citados en la sección A1 de la tabla 1. La descripción de estos proyectos se presenta en el anexo I del presente documento.</w:t>
      </w:r>
    </w:p>
    <w:p w14:paraId="58990057" w14:textId="77777777" w:rsidR="00071E00" w:rsidRPr="008D2076" w:rsidRDefault="00071E00" w:rsidP="00071E00">
      <w:pPr>
        <w:autoSpaceDE w:val="0"/>
        <w:autoSpaceDN w:val="0"/>
        <w:adjustRightInd w:val="0"/>
        <w:spacing w:after="240"/>
        <w:rPr>
          <w:b/>
          <w:bCs/>
          <w:color w:val="000000" w:themeColor="text1"/>
          <w:lang w:val="es-419"/>
        </w:rPr>
      </w:pPr>
      <w:r w:rsidRPr="008D2076">
        <w:rPr>
          <w:b/>
          <w:bCs/>
          <w:color w:val="000000" w:themeColor="text1"/>
          <w:lang w:val="es-419"/>
        </w:rPr>
        <w:t>Comentarios de la Secretaría</w:t>
      </w:r>
    </w:p>
    <w:p w14:paraId="00AEFD4D" w14:textId="77777777" w:rsidR="00071E00" w:rsidRPr="008D2076" w:rsidRDefault="00071E00" w:rsidP="00071E00">
      <w:pPr>
        <w:pStyle w:val="Heading1"/>
        <w:rPr>
          <w:lang w:val="es-419"/>
        </w:rPr>
      </w:pPr>
      <w:r w:rsidRPr="008D2076">
        <w:rPr>
          <w:lang w:val="es-419"/>
        </w:rPr>
        <w:t>La Secretaría examinó las solicitudes de renovación de cinco proyectos de fortalecimiento institucional presentadas por la ONUDI en nombre de los Gobiernos concernidos teniendo en cuenta las directrices y las decisiones pertinentes sobre admisibilidad y los niveles de financiación. Las solicitudes fueron doblemente verificadas comparándolas con los planes de trabajo originales para el fortalecimiento institucional, los datos del programa del país y del Artículo 7, el último informe sobre la aplicación del plan de gestión de la eliminación de los HCFC (PGEH), el informe sobre el avance de las actividades del organismo y cualquier decisión pertinente de la Reunión de las Partes. Se observó que estos países han presentado los datos de su programa de país de 2019 y cumplen con los objetivos de control en virtud del Protocolo de Montreal y su consumo anual de HCFC no supera el consumo anual máximo admisible indicado en sus Acuerdos del PGEH con el Comité Ejecutivo. Asimismo, la solicitud presentada incluía indicadores de desempeño para las actividades planificadas para la siguiente fase del proyecto de fortalecimiento institucional, de acuerdo con la decisión 74/51 e).</w:t>
      </w:r>
    </w:p>
    <w:p w14:paraId="54381178" w14:textId="77777777" w:rsidR="00071E00" w:rsidRPr="008D2076" w:rsidRDefault="00071E00" w:rsidP="00071E00">
      <w:pPr>
        <w:autoSpaceDE w:val="0"/>
        <w:autoSpaceDN w:val="0"/>
        <w:adjustRightInd w:val="0"/>
        <w:spacing w:after="240"/>
        <w:rPr>
          <w:b/>
          <w:bCs/>
          <w:color w:val="000000" w:themeColor="text1"/>
          <w:lang w:val="es-419"/>
        </w:rPr>
      </w:pPr>
      <w:r w:rsidRPr="008D2076">
        <w:rPr>
          <w:b/>
          <w:bCs/>
          <w:color w:val="000000" w:themeColor="text1"/>
          <w:lang w:val="es-419"/>
        </w:rPr>
        <w:t>Recomendación de la Secretaría</w:t>
      </w:r>
    </w:p>
    <w:p w14:paraId="0602FFAA" w14:textId="77777777" w:rsidR="00071E00" w:rsidRPr="008D2076" w:rsidRDefault="00071E00" w:rsidP="00071E00">
      <w:pPr>
        <w:pStyle w:val="Heading1"/>
        <w:rPr>
          <w:lang w:val="es-419"/>
        </w:rPr>
      </w:pPr>
      <w:r w:rsidRPr="008D2076">
        <w:rPr>
          <w:lang w:val="es-419"/>
        </w:rPr>
        <w:t xml:space="preserve">La Secretaría recomienda la aprobación general de las solicitudes de renovación del fortalecimiento institucional de Armenia, Egipto, México, Omán y Turkmenistán con el nivel de financiación indicado en </w:t>
      </w:r>
      <w:r w:rsidRPr="008D2076">
        <w:rPr>
          <w:lang w:val="es-419"/>
        </w:rPr>
        <w:lastRenderedPageBreak/>
        <w:t>la sección A1 de la tabla 1 del presente documento. El Comité Ejecutivo puede considerar oportuno expresar al Gobierno mencionado anteriormente los comentarios que se presentan en el anexo II de este documento.</w:t>
      </w:r>
    </w:p>
    <w:p w14:paraId="3C16DE3F" w14:textId="77777777" w:rsidR="00071E00" w:rsidRPr="008D2076" w:rsidRDefault="00071E00" w:rsidP="00071E00">
      <w:pPr>
        <w:keepNext/>
        <w:spacing w:after="240"/>
        <w:rPr>
          <w:b/>
          <w:lang w:val="es-419"/>
        </w:rPr>
      </w:pPr>
      <w:r w:rsidRPr="008D2076">
        <w:rPr>
          <w:b/>
          <w:lang w:val="es-419"/>
        </w:rPr>
        <w:t>A2: Asistencia técnica para preparar informes de verificación sobre el consumo de HCFC</w:t>
      </w:r>
    </w:p>
    <w:p w14:paraId="5458E749" w14:textId="77777777" w:rsidR="00071E00" w:rsidRPr="008D2076" w:rsidRDefault="00071E00" w:rsidP="00071E00">
      <w:pPr>
        <w:keepNext/>
        <w:spacing w:after="240"/>
        <w:rPr>
          <w:b/>
          <w:lang w:val="es-419"/>
        </w:rPr>
      </w:pPr>
      <w:r w:rsidRPr="008D2076">
        <w:rPr>
          <w:b/>
          <w:lang w:val="es-419"/>
        </w:rPr>
        <w:t>Descripción de proyectos</w:t>
      </w:r>
    </w:p>
    <w:p w14:paraId="71ADB189" w14:textId="77777777" w:rsidR="00071E00" w:rsidRPr="008D2076" w:rsidRDefault="00071E00" w:rsidP="00071E00">
      <w:pPr>
        <w:pStyle w:val="Heading1"/>
        <w:rPr>
          <w:lang w:val="es-419"/>
        </w:rPr>
      </w:pPr>
      <w:r w:rsidRPr="008D2076">
        <w:rPr>
          <w:lang w:val="es-419"/>
        </w:rPr>
        <w:t>El Comité Ejecutivo pidió a los organismos bilaterales y de ejecución pertinentes que incluyan en las modificaciones de sus programas de trabajo respectivos para su presentación a la 86</w:t>
      </w:r>
      <w:r w:rsidRPr="008D2076">
        <w:rPr>
          <w:vertAlign w:val="superscript"/>
          <w:lang w:val="es-419"/>
        </w:rPr>
        <w:t>ª</w:t>
      </w:r>
      <w:r w:rsidRPr="008D2076">
        <w:rPr>
          <w:lang w:val="es-419"/>
        </w:rPr>
        <w:t xml:space="preserve"> reunión, la financiación para la preparación de informes de verificación de la etapa I de los PGEH de Bosnia y Herzegovina y Macedonia del Norte</w:t>
      </w:r>
      <w:r w:rsidRPr="008D2076">
        <w:rPr>
          <w:rStyle w:val="FootnoteReference"/>
          <w:lang w:val="es-419"/>
        </w:rPr>
        <w:footnoteReference w:id="3"/>
      </w:r>
      <w:r w:rsidRPr="008D2076">
        <w:rPr>
          <w:lang w:val="es-419"/>
        </w:rPr>
        <w:t>, países para los que la ONUDI es el organismo de ejecución director.</w:t>
      </w:r>
    </w:p>
    <w:p w14:paraId="2F80C2B1" w14:textId="77777777" w:rsidR="00071E00" w:rsidRPr="008D2076" w:rsidRDefault="00071E00" w:rsidP="00071E00">
      <w:pPr>
        <w:pStyle w:val="Heading1"/>
        <w:keepNext/>
        <w:numPr>
          <w:ilvl w:val="0"/>
          <w:numId w:val="0"/>
        </w:numPr>
        <w:rPr>
          <w:b/>
          <w:lang w:val="es-419"/>
        </w:rPr>
      </w:pPr>
      <w:r w:rsidRPr="008D2076">
        <w:rPr>
          <w:b/>
          <w:lang w:val="es-419"/>
        </w:rPr>
        <w:t>Comentarios de la Secretaría</w:t>
      </w:r>
    </w:p>
    <w:p w14:paraId="79B9C5C2" w14:textId="77777777" w:rsidR="00071E00" w:rsidRPr="008D2076" w:rsidRDefault="00071E00" w:rsidP="00071E00">
      <w:pPr>
        <w:pStyle w:val="Heading1"/>
        <w:keepNext/>
        <w:rPr>
          <w:lang w:val="es-419"/>
        </w:rPr>
      </w:pPr>
      <w:r w:rsidRPr="008D2076">
        <w:rPr>
          <w:lang w:val="es-419"/>
        </w:rPr>
        <w:t>La Secretaría advirtió que la financiación solicitada era coherente con los fondos aprobados para verificaciones similares en reuniones anteriores. Observó además que los informes de verificación deben presentarse al menos 10 semanas antes de la reunión del Comité Ejecutivo correspondiente en la que se solicite el siguiente tramo de financiación del PGEH.</w:t>
      </w:r>
    </w:p>
    <w:p w14:paraId="66E48BED" w14:textId="77777777" w:rsidR="00071E00" w:rsidRPr="008D2076" w:rsidRDefault="00071E00" w:rsidP="00071E00">
      <w:pPr>
        <w:spacing w:after="240"/>
        <w:rPr>
          <w:b/>
          <w:lang w:val="es-419"/>
        </w:rPr>
      </w:pPr>
      <w:r w:rsidRPr="008D2076">
        <w:rPr>
          <w:b/>
          <w:lang w:val="es-419"/>
        </w:rPr>
        <w:t>Recomendación de la Secretaría</w:t>
      </w:r>
    </w:p>
    <w:p w14:paraId="68D8E507" w14:textId="77777777" w:rsidR="00071E00" w:rsidRPr="008D2076" w:rsidRDefault="00071E00" w:rsidP="00071E00">
      <w:pPr>
        <w:pStyle w:val="Heading1"/>
        <w:rPr>
          <w:lang w:val="es-419"/>
        </w:rPr>
      </w:pPr>
      <w:r w:rsidRPr="008D2076">
        <w:rPr>
          <w:lang w:val="es-419"/>
        </w:rPr>
        <w:t>La Secretaría recomienda la aprobación general para la preparación de los informes de verificación de la etapa I de los PGEH de Bosnia y Herzegovina y Macedonia del Norte con el nivel de financiación que se indica en la sección A2 de la tabla 1, entendiéndose que los informes de verificación deben presentarse por lo menos con 10 semanas de antelación a la reunión correspondiente del Comité Ejecutivo en la que se solicite el siguiente tramo de financiación de sus PGEH.</w:t>
      </w:r>
    </w:p>
    <w:p w14:paraId="63D726E4" w14:textId="77777777" w:rsidR="00071E00" w:rsidRPr="008D2076" w:rsidRDefault="00071E00" w:rsidP="00071E00">
      <w:pPr>
        <w:keepNext/>
        <w:keepLines/>
        <w:spacing w:after="240"/>
        <w:rPr>
          <w:b/>
          <w:lang w:val="es-419"/>
        </w:rPr>
      </w:pPr>
      <w:r w:rsidRPr="008D2076">
        <w:rPr>
          <w:b/>
          <w:lang w:val="es-419"/>
        </w:rPr>
        <w:t>A3: Preparación de proyectos para planes de gestión de la eliminación de los HCFC</w:t>
      </w:r>
    </w:p>
    <w:p w14:paraId="4FFBE181" w14:textId="77777777" w:rsidR="00071E00" w:rsidRPr="008D2076" w:rsidRDefault="00071E00" w:rsidP="00071E00">
      <w:pPr>
        <w:keepNext/>
        <w:keepLines/>
        <w:spacing w:after="240"/>
        <w:rPr>
          <w:b/>
          <w:lang w:val="es-419"/>
        </w:rPr>
      </w:pPr>
      <w:r w:rsidRPr="008D2076">
        <w:rPr>
          <w:b/>
          <w:lang w:val="es-419"/>
        </w:rPr>
        <w:t>Descripción de proyectos</w:t>
      </w:r>
    </w:p>
    <w:p w14:paraId="0D06E231" w14:textId="77777777" w:rsidR="00071E00" w:rsidRPr="008D2076" w:rsidRDefault="00071E00" w:rsidP="00071E00">
      <w:pPr>
        <w:pStyle w:val="Heading1"/>
        <w:rPr>
          <w:lang w:val="es-419"/>
        </w:rPr>
      </w:pPr>
      <w:r w:rsidRPr="008D2076">
        <w:rPr>
          <w:lang w:val="es-419"/>
        </w:rPr>
        <w:t xml:space="preserve">La ONUDI presentó solicitudes para la preparación de la etapa III del PGEH para un país que opera al amparo del Artículo 5 como organismo de ejecución designado, para las etapas II/III de los PGEH de tres países que operan al amparo del Artículo 5 como organismo de ejecución director y con el PNUMA como organismo de ejecución cooperante, y para un país que opera al amparo del Artículo 5 como organismo de ejecución cooperante y con el PNUMA como organismo de ejecución director. Además, la ONUDI solicitó financiación para la preparación de proyectos de actividades de inversión en el sector de fabricación de equipos de refrigeración y aire acondicionado como parte de la etapa II del PGEH para un país. Estas solicitudes se muestran en la sección A3 de la tabla 1. </w:t>
      </w:r>
    </w:p>
    <w:p w14:paraId="5C201A7C" w14:textId="77777777" w:rsidR="00071E00" w:rsidRPr="008D2076" w:rsidRDefault="00071E00" w:rsidP="00071E00">
      <w:pPr>
        <w:pStyle w:val="Heading1"/>
        <w:rPr>
          <w:lang w:val="es-419"/>
        </w:rPr>
      </w:pPr>
      <w:r w:rsidRPr="008D2076">
        <w:rPr>
          <w:lang w:val="es-419"/>
        </w:rPr>
        <w:t>Para cada una de las solicitudes de financiación, la ONUDI presentó una justificación de la solicitud, un informe sobre la marcha de las actividades realizadas en la ejecución de la etapa I y/o II, según procediera, de sus respectivos PGEH y las posibles actividades, incluidas las posibles empresas, cuando fuera necesario, con los costos conexos. El PNUMA, en su calidad de organismo de ejecución director del PGEH de Guinea y de organismo de ejecución cooperante de los PGEH de Chile, Omán y Arabia Saudita, ha solicitado 100 000 $EUA, más gastos de apoyo al organismo de 13 000 $EUA, en las modificaciones de su programa de trabajo para 2020</w:t>
      </w:r>
      <w:r w:rsidRPr="008D2076">
        <w:rPr>
          <w:vertAlign w:val="superscript"/>
          <w:lang w:val="es-419"/>
        </w:rPr>
        <w:footnoteReference w:id="4"/>
      </w:r>
      <w:r w:rsidRPr="008D2076">
        <w:rPr>
          <w:lang w:val="es-419"/>
        </w:rPr>
        <w:t>.</w:t>
      </w:r>
      <w:r w:rsidRPr="008D2076">
        <w:rPr>
          <w:vertAlign w:val="superscript"/>
          <w:lang w:val="es-419"/>
        </w:rPr>
        <w:t xml:space="preserve">  </w:t>
      </w:r>
    </w:p>
    <w:p w14:paraId="56A4F916" w14:textId="77777777" w:rsidR="00071E00" w:rsidRPr="008D2076" w:rsidRDefault="00071E00" w:rsidP="003368F1">
      <w:pPr>
        <w:pStyle w:val="Heading1"/>
        <w:keepNext/>
        <w:keepLines/>
        <w:numPr>
          <w:ilvl w:val="0"/>
          <w:numId w:val="0"/>
        </w:numPr>
        <w:rPr>
          <w:lang w:val="es-419"/>
        </w:rPr>
      </w:pPr>
      <w:r w:rsidRPr="008D2076">
        <w:rPr>
          <w:b/>
          <w:lang w:val="es-419"/>
        </w:rPr>
        <w:lastRenderedPageBreak/>
        <w:t>Comentarios de la Secretaría</w:t>
      </w:r>
    </w:p>
    <w:p w14:paraId="11F4AC5E" w14:textId="77777777" w:rsidR="00071E00" w:rsidRPr="008D2076" w:rsidRDefault="00071E00" w:rsidP="00071E00">
      <w:pPr>
        <w:pStyle w:val="Heading1"/>
        <w:rPr>
          <w:lang w:val="es-419"/>
        </w:rPr>
      </w:pPr>
      <w:r w:rsidRPr="008D2076">
        <w:rPr>
          <w:lang w:val="es-419"/>
        </w:rPr>
        <w:t>En el examen de las cuatro solicitudes en las que la ONUDI es el organismo de ejecución cooperante, la Secretaría tuvo en cuenta las directrices para financiar la preparación de los PGEH para países que operan al amparo del Artículo 5 que figuran en la decisión 71/42; las etapas I y II de los PGEH, según procediera, el estado de ejecución de los tramos en el momento de preparar el presente documento; y la decisión 82/45 c) i)</w:t>
      </w:r>
      <w:r w:rsidRPr="008D2076">
        <w:rPr>
          <w:vertAlign w:val="superscript"/>
          <w:lang w:val="es-419"/>
        </w:rPr>
        <w:footnoteReference w:id="5"/>
      </w:r>
      <w:r w:rsidRPr="008D2076">
        <w:rPr>
          <w:lang w:val="es-419"/>
        </w:rPr>
        <w:t xml:space="preserve">. La Secretaría observó que la financiación solicitada para cada país se ajustaba a lo dispuesto en la decisión 71/42 y que la ONUDI había confirmado que los tramos de financiación restantes se presentarían según lo previsto en los acuerdos con el Comité Ejecutivo. </w:t>
      </w:r>
    </w:p>
    <w:p w14:paraId="728550C9" w14:textId="4AFE27EB" w:rsidR="00071E00" w:rsidRPr="008D2076" w:rsidRDefault="00071E00" w:rsidP="00071E00">
      <w:pPr>
        <w:pStyle w:val="Heading1"/>
        <w:rPr>
          <w:lang w:val="es-419"/>
        </w:rPr>
      </w:pPr>
      <w:r w:rsidRPr="008D2076">
        <w:rPr>
          <w:lang w:val="es-419"/>
        </w:rPr>
        <w:t>La ONUDI confirmó que en la etapa II del PGEH de Arabi</w:t>
      </w:r>
      <w:r w:rsidR="003368F1">
        <w:rPr>
          <w:lang w:val="es-419"/>
        </w:rPr>
        <w:t>a Saudita se eliminará el 67,5 por ciento</w:t>
      </w:r>
      <w:r w:rsidRPr="008D2076">
        <w:rPr>
          <w:lang w:val="es-419"/>
        </w:rPr>
        <w:t xml:space="preserve"> de la base de referencia de los HCFC para el 1º de enero de 2025, y proporcionó la información necesaria (número de empresas y nivel de consumo de HCFC) en apoyo de la sol</w:t>
      </w:r>
      <w:r w:rsidR="003368F1">
        <w:rPr>
          <w:lang w:val="es-419"/>
        </w:rPr>
        <w:t>icitud de financiación (150 000 </w:t>
      </w:r>
      <w:r w:rsidRPr="008D2076">
        <w:rPr>
          <w:lang w:val="es-419"/>
        </w:rPr>
        <w:t>$EUA) para la preparación de un proyecto de inversión para la conversión del sector de fabricación de acondicionadores de aire, al que no se prestó asistencia en la etapa I del PGEH. La ONUDI confirmó que en la etapa III de los PGEH de Chile, Om</w:t>
      </w:r>
      <w:r w:rsidR="003368F1">
        <w:rPr>
          <w:lang w:val="es-419"/>
        </w:rPr>
        <w:t>án y Sudán se eliminará el 100 por ciento</w:t>
      </w:r>
      <w:r w:rsidRPr="008D2076">
        <w:rPr>
          <w:lang w:val="es-419"/>
        </w:rPr>
        <w:t xml:space="preserve"> de la base de referencia de los HCFC para el 1º de enero de 2030. </w:t>
      </w:r>
    </w:p>
    <w:p w14:paraId="7F792986" w14:textId="77777777" w:rsidR="00071E00" w:rsidRPr="008D2076" w:rsidRDefault="00071E00" w:rsidP="00071E00">
      <w:pPr>
        <w:pStyle w:val="Heading1"/>
        <w:numPr>
          <w:ilvl w:val="0"/>
          <w:numId w:val="0"/>
        </w:numPr>
        <w:rPr>
          <w:b/>
          <w:lang w:val="es-419"/>
        </w:rPr>
      </w:pPr>
      <w:r w:rsidRPr="008D2076">
        <w:rPr>
          <w:b/>
          <w:lang w:val="es-419"/>
        </w:rPr>
        <w:t>Recomendaciones de la Secretaría</w:t>
      </w:r>
    </w:p>
    <w:p w14:paraId="663AF948" w14:textId="77777777" w:rsidR="00071E00" w:rsidRPr="008D2076" w:rsidRDefault="00071E00" w:rsidP="00071E00">
      <w:pPr>
        <w:pStyle w:val="Heading1"/>
        <w:rPr>
          <w:lang w:val="es-419"/>
        </w:rPr>
      </w:pPr>
      <w:r w:rsidRPr="008D2076">
        <w:rPr>
          <w:lang w:val="es-419"/>
        </w:rPr>
        <w:t>La Secretaría recomienda la aprobación general de las solicitudes del PNUD para la preparación de proyectos para la etapa II de los planes de gestión de la eliminación de HCFC de Costa Rica, Ghana y Jamaica con el nivel de financiación que figura en la sección A3 de la tabla 1. La Secretaría recomienda la aprobación general de la preparación de proyectos para la etapa II de los PGEH de Guinea y Arabia Saudita y la etapa III de los PGEH de Chile, Omán y Sudán, con el nivel de financiación que figura en la sección A3 de la tabla 1.</w:t>
      </w:r>
    </w:p>
    <w:p w14:paraId="7F7A25E1" w14:textId="77777777" w:rsidR="00071E00" w:rsidRPr="008D2076" w:rsidRDefault="00071E00" w:rsidP="00071E00">
      <w:pPr>
        <w:keepNext/>
        <w:keepLines/>
        <w:widowControl w:val="0"/>
        <w:spacing w:after="240"/>
        <w:rPr>
          <w:b/>
          <w:lang w:val="es-419"/>
        </w:rPr>
      </w:pPr>
      <w:r w:rsidRPr="008D2076">
        <w:rPr>
          <w:b/>
          <w:lang w:val="es-419"/>
        </w:rPr>
        <w:t>SECCIÓN B: ACTIVIDADES RECOMENDADAS PARA CONSIDERACIÓN PARTICULAR</w:t>
      </w:r>
    </w:p>
    <w:p w14:paraId="0C0C2A11" w14:textId="77777777" w:rsidR="00071E00" w:rsidRPr="008D2076" w:rsidRDefault="00071E00" w:rsidP="00071E00">
      <w:pPr>
        <w:keepNext/>
        <w:keepLines/>
        <w:widowControl w:val="0"/>
        <w:spacing w:after="240"/>
        <w:rPr>
          <w:b/>
          <w:lang w:val="es-419"/>
        </w:rPr>
      </w:pPr>
      <w:r w:rsidRPr="008D2076">
        <w:rPr>
          <w:b/>
          <w:lang w:val="es-419"/>
        </w:rPr>
        <w:t>Solicitudes de preparación de proyectos presentadas a la 85ª reunión</w:t>
      </w:r>
    </w:p>
    <w:p w14:paraId="49B6956F" w14:textId="77777777" w:rsidR="00071E00" w:rsidRPr="008D2076" w:rsidRDefault="00071E00" w:rsidP="00071E00">
      <w:pPr>
        <w:pStyle w:val="Heading1"/>
        <w:rPr>
          <w:b/>
          <w:color w:val="000000" w:themeColor="text1"/>
          <w:lang w:val="es-419"/>
        </w:rPr>
      </w:pPr>
      <w:r w:rsidRPr="008D2076">
        <w:rPr>
          <w:lang w:val="es-419"/>
        </w:rPr>
        <w:t>En la 85ª reunión, la ONUDI incluyó en su programa de trabajo</w:t>
      </w:r>
      <w:r w:rsidRPr="008D2076">
        <w:rPr>
          <w:rStyle w:val="FootnoteReference"/>
          <w:lang w:val="es-419"/>
        </w:rPr>
        <w:footnoteReference w:id="6"/>
      </w:r>
      <w:r w:rsidRPr="008D2076">
        <w:rPr>
          <w:lang w:val="es-419"/>
        </w:rPr>
        <w:t xml:space="preserve"> solicitudes de preparación de planes de gestión de la reducción de HFC para Albania y Jordania como organismo de ejecución director, con el PNUMA como organismo de ejecución cooperante para Albania, y una solicitud de preparación de proyectos para la conversión del HFC-134a/R-410A al R-290 en la fabricación de equipos de aire acondicionado en J.M. Fábrica de </w:t>
      </w:r>
      <w:proofErr w:type="spellStart"/>
      <w:r w:rsidRPr="008D2076">
        <w:rPr>
          <w:lang w:val="es-419"/>
        </w:rPr>
        <w:t>Group</w:t>
      </w:r>
      <w:proofErr w:type="spellEnd"/>
      <w:r w:rsidRPr="008D2076">
        <w:rPr>
          <w:lang w:val="es-419"/>
        </w:rPr>
        <w:t xml:space="preserve">/Mina en Sudán que figura en las secciones B1 y B2 de la tabla 1. </w:t>
      </w:r>
    </w:p>
    <w:p w14:paraId="7C8F9332" w14:textId="77777777" w:rsidR="00071E00" w:rsidRPr="008D2076" w:rsidRDefault="00071E00" w:rsidP="00071E00">
      <w:pPr>
        <w:pStyle w:val="Heading1"/>
        <w:rPr>
          <w:lang w:val="es-419"/>
        </w:rPr>
      </w:pPr>
      <w:r w:rsidRPr="008D2076">
        <w:rPr>
          <w:snapToGrid w:val="0"/>
          <w:lang w:val="es-419"/>
        </w:rPr>
        <w:t>Estas solicitudes de financiación para la preparación de proyectos de planes de gestión de la reducción de HFC presentadas para consideración particular del Comité Ejecutivo no se examinaron en el proceso de aprobación entre reuniones establecido para la 85ª reunión, mientras que la preparación de un proyecto de conversión en Sudán no se aprobó; estas solicitudes se aplazaron hasta la 86ª reunión, según lo acordado por el Comité Ejecutivo.</w:t>
      </w:r>
      <w:r w:rsidRPr="008D2076">
        <w:rPr>
          <w:lang w:val="es-419"/>
        </w:rPr>
        <w:t xml:space="preserve"> En consecuencia, las propuestas presentadas a la 85ª reunión se han incluido en el presente documento. </w:t>
      </w:r>
    </w:p>
    <w:p w14:paraId="2B0ED722" w14:textId="77777777" w:rsidR="00071E00" w:rsidRPr="008D2076" w:rsidRDefault="00071E00" w:rsidP="00071E00">
      <w:pPr>
        <w:pStyle w:val="Heading1"/>
        <w:widowControl w:val="0"/>
        <w:numPr>
          <w:ilvl w:val="0"/>
          <w:numId w:val="0"/>
        </w:numPr>
        <w:rPr>
          <w:lang w:val="es-419"/>
        </w:rPr>
      </w:pPr>
      <w:r w:rsidRPr="008D2076">
        <w:rPr>
          <w:b/>
          <w:lang w:val="es-419"/>
        </w:rPr>
        <w:t>B1: Preparación de proyectos para planes de gestión de la reducción de HFC</w:t>
      </w:r>
    </w:p>
    <w:p w14:paraId="735FF177" w14:textId="77777777" w:rsidR="00071E00" w:rsidRPr="008D2076" w:rsidRDefault="00071E00" w:rsidP="00071E00">
      <w:pPr>
        <w:widowControl w:val="0"/>
        <w:spacing w:after="240"/>
        <w:rPr>
          <w:b/>
          <w:lang w:val="es-419"/>
        </w:rPr>
      </w:pPr>
      <w:r w:rsidRPr="008D2076">
        <w:rPr>
          <w:b/>
          <w:lang w:val="es-419"/>
        </w:rPr>
        <w:t>Descripción de proyectos</w:t>
      </w:r>
    </w:p>
    <w:p w14:paraId="42BF5253" w14:textId="77777777" w:rsidR="00071E00" w:rsidRPr="008D2076" w:rsidRDefault="00071E00" w:rsidP="00071E00">
      <w:pPr>
        <w:pStyle w:val="Heading1"/>
        <w:widowControl w:val="0"/>
        <w:rPr>
          <w:lang w:val="es-419"/>
        </w:rPr>
      </w:pPr>
      <w:r w:rsidRPr="008D2076">
        <w:rPr>
          <w:lang w:val="es-419"/>
        </w:rPr>
        <w:t xml:space="preserve">Tras las presentaciones hechas en las reuniones 85ª y 86ª, la ONUDI presentó solicitudes de preparación de planes de gestión de la reducción de HFC para siete países que operan al amparo del Artículo </w:t>
      </w:r>
      <w:r w:rsidRPr="008D2076">
        <w:rPr>
          <w:lang w:val="es-419"/>
        </w:rPr>
        <w:lastRenderedPageBreak/>
        <w:t>5, en calidad de organismo de ejecución director, con el PNUMA en calidad de organismo de ejecución cooperante para dos países; y para un país, en calidad de organismo de ejecución cooperante, con el PNUMA como organismo de ejecución director, como se indica en la sección B1 de la tabla 1. El PNUMA, en su calidad de organismo de ejecución director para Senegal y de organismo de ejecución cooperante para Albania y México, solicitó 126 500 $EUA, más unos gastos de apoyo al organismo de 16 445 $EUA en las modificaciones de su programa de trabajo para 2020.</w:t>
      </w:r>
    </w:p>
    <w:p w14:paraId="40C609CD" w14:textId="77777777" w:rsidR="00071E00" w:rsidRPr="008D2076" w:rsidRDefault="00071E00" w:rsidP="00071E00">
      <w:pPr>
        <w:widowControl w:val="0"/>
        <w:spacing w:after="120"/>
        <w:rPr>
          <w:b/>
          <w:color w:val="000000" w:themeColor="text1"/>
          <w:lang w:val="es-419"/>
        </w:rPr>
      </w:pPr>
      <w:r w:rsidRPr="008D2076">
        <w:rPr>
          <w:b/>
          <w:color w:val="000000" w:themeColor="text1"/>
          <w:lang w:val="es-419"/>
        </w:rPr>
        <w:t>Comentarios de la Secretaría</w:t>
      </w:r>
    </w:p>
    <w:p w14:paraId="0872DA8A" w14:textId="35E48F61" w:rsidR="00071E00" w:rsidRPr="008D2076" w:rsidRDefault="00071E00" w:rsidP="00071E00">
      <w:pPr>
        <w:pStyle w:val="Heading1"/>
        <w:rPr>
          <w:b/>
          <w:lang w:val="es-419"/>
        </w:rPr>
      </w:pPr>
      <w:r w:rsidRPr="008D2076">
        <w:rPr>
          <w:lang w:val="es-419"/>
        </w:rPr>
        <w:t xml:space="preserve">La ONUDI, como organismo de ejecución director, proporcionó una descripción de las actividades necesarias para la preparación de una estrategia global para la reducción de los HFC en Albania, Jordania, México, Montenegro Níger, Macedonia del Norte y Sudáfrica y los correspondientes costos de cada actividad, utilizando el formato para solicitudes de preparación de proyecto para las etapas de los PGEH. Las presentaciones incluían estimaciones de las importaciones de HFC y mezclas de HFC, reuniones y consultas con las partes interesadas y la elaboración de una estrategia de reducción de </w:t>
      </w:r>
      <w:r w:rsidR="003368F1">
        <w:rPr>
          <w:lang w:val="es-419"/>
        </w:rPr>
        <w:t>HFC. Los planes de reducción de</w:t>
      </w:r>
      <w:r w:rsidRPr="008D2076">
        <w:rPr>
          <w:lang w:val="es-419"/>
        </w:rPr>
        <w:t xml:space="preserve"> HFC para Albania, Jordania, México y Sudáfrica se centran en la recopilación de datos y el análisis por sectores; en el caso de Montenegro, Níger y Macedonia del Norte, las actividades se centran en la sensibilización, la planificación de las comunicaciones y la evaluación de las necesidades de desarrollo de capacidades en re</w:t>
      </w:r>
      <w:r w:rsidR="003368F1">
        <w:rPr>
          <w:lang w:val="es-419"/>
        </w:rPr>
        <w:t>lación con las actividades y la</w:t>
      </w:r>
      <w:r w:rsidRPr="008D2076">
        <w:rPr>
          <w:lang w:val="es-419"/>
        </w:rPr>
        <w:t xml:space="preserve"> aplicación de la ley en el sector de la refrigeración y el aire acondicionado. </w:t>
      </w:r>
    </w:p>
    <w:p w14:paraId="7B7973FB" w14:textId="77777777" w:rsidR="00071E00" w:rsidRPr="008D2076" w:rsidRDefault="00071E00" w:rsidP="00071E00">
      <w:pPr>
        <w:pStyle w:val="Heading1"/>
        <w:rPr>
          <w:color w:val="000000" w:themeColor="text1"/>
          <w:lang w:val="es-419"/>
        </w:rPr>
      </w:pPr>
      <w:r w:rsidRPr="008D2076">
        <w:rPr>
          <w:lang w:val="es-419"/>
        </w:rPr>
        <w:t>La financiación solicitada para la preparación de las propuestas de proyectos en la 85ª reunión se basó en la financiación de las actividades de apoyo (que figura en la decisión 79/46 c)); sin embargo, la financiación solicitada en la 86ª reunión se basó en la financiación de la preparación de proyectos para la etapa I de los PGEH (que figura en la decisión 56/16 c)), ya que esa financiación fue utilizada por los organismos bilaterales y de ejecución en la preparación de sus planes administrativos para 2021-2023 que se presentaron a la 86ª reunión. La Secretaría observa que los montos de financiación de las solicitudes de preparación de proyectos presentadas a las reuniones 85ª y 86ª son indicativos, ya que los montos reales se decidirán cuando el Comité Ejecutivo examine el documento UNEP/OzL.Pro/ExCom/86/88, Proyecto de directrices para la preparación de planes de reducción de HFC para los países del Artículo 5 (decisión 84/54 a)).</w:t>
      </w:r>
    </w:p>
    <w:p w14:paraId="7D6368E1" w14:textId="77777777" w:rsidR="00071E00" w:rsidRPr="008D2076" w:rsidRDefault="00071E00" w:rsidP="00071E00">
      <w:pPr>
        <w:pStyle w:val="Heading1"/>
        <w:widowControl w:val="0"/>
        <w:rPr>
          <w:color w:val="000000" w:themeColor="text1"/>
          <w:lang w:val="es-419"/>
        </w:rPr>
      </w:pPr>
      <w:r w:rsidRPr="008D2076">
        <w:rPr>
          <w:color w:val="000000" w:themeColor="text1"/>
          <w:lang w:val="es-419"/>
        </w:rPr>
        <w:t xml:space="preserve">Si bien hay que decidir el nivel de financiación real para la preparación de los planes de gestión de la reducción de los HFC, la Secretaría examinó las presentaciones basándose en la experiencia del examen de las solicitudes de preparación de los PGEH y teniendo en cuenta la orientación impartida y las decisiones adoptadas por el Comité Ejecutivo para esos proyectos.  </w:t>
      </w:r>
    </w:p>
    <w:p w14:paraId="69BB73F3" w14:textId="77777777" w:rsidR="00071E00" w:rsidRPr="008D2076" w:rsidRDefault="00071E00" w:rsidP="00071E00">
      <w:pPr>
        <w:pStyle w:val="Heading1"/>
        <w:widowControl w:val="0"/>
        <w:rPr>
          <w:color w:val="000000" w:themeColor="text1"/>
          <w:lang w:val="es-419"/>
        </w:rPr>
      </w:pPr>
      <w:r w:rsidRPr="008D2076">
        <w:rPr>
          <w:color w:val="000000" w:themeColor="text1"/>
          <w:lang w:val="es-419"/>
        </w:rPr>
        <w:t>Tras este examen, la Secretaría observó lo siguiente:</w:t>
      </w:r>
    </w:p>
    <w:p w14:paraId="575C26FD" w14:textId="77777777" w:rsidR="00071E00" w:rsidRPr="008D2076" w:rsidRDefault="00071E00" w:rsidP="00071E00">
      <w:pPr>
        <w:pStyle w:val="Heading1"/>
        <w:numPr>
          <w:ilvl w:val="0"/>
          <w:numId w:val="25"/>
        </w:numPr>
        <w:ind w:left="1440" w:hanging="720"/>
        <w:rPr>
          <w:lang w:val="es-419"/>
        </w:rPr>
      </w:pPr>
      <w:r w:rsidRPr="008D2076">
        <w:rPr>
          <w:lang w:val="es-419"/>
        </w:rPr>
        <w:t>Los siete países a los que la ONUDI solicitó la preparación de un plan de gestión de la reducción de HFC como organismo de ejecución director han ratificado la Enmienda de Kigali</w:t>
      </w:r>
      <w:r w:rsidRPr="008D2076">
        <w:rPr>
          <w:vertAlign w:val="superscript"/>
          <w:lang w:val="es-419"/>
        </w:rPr>
        <w:footnoteReference w:id="7"/>
      </w:r>
      <w:r w:rsidRPr="008D2076">
        <w:rPr>
          <w:lang w:val="es-419"/>
        </w:rPr>
        <w:t>; cada uno de ellos reuniría las condiciones para recibir financiación para la preparación del proyecto de conformidad con la decisión 79/46 b) iii)</w:t>
      </w:r>
      <w:r w:rsidRPr="008D2076">
        <w:rPr>
          <w:vertAlign w:val="superscript"/>
          <w:lang w:val="es-419"/>
        </w:rPr>
        <w:footnoteReference w:id="8"/>
      </w:r>
      <w:r w:rsidRPr="008D2076">
        <w:rPr>
          <w:lang w:val="es-419"/>
        </w:rPr>
        <w:t>; los países también han presentado cartas de apoyo en las que indican su intención de adoptar medidas inmediatas para la reducción de HFC; y</w:t>
      </w:r>
    </w:p>
    <w:p w14:paraId="05509F77" w14:textId="77777777" w:rsidR="00071E00" w:rsidRPr="008D2076" w:rsidRDefault="00071E00" w:rsidP="00071E00">
      <w:pPr>
        <w:pStyle w:val="Heading1"/>
        <w:numPr>
          <w:ilvl w:val="0"/>
          <w:numId w:val="25"/>
        </w:numPr>
        <w:ind w:left="1440" w:hanging="720"/>
        <w:rPr>
          <w:b/>
          <w:lang w:val="es-419"/>
        </w:rPr>
      </w:pPr>
      <w:r w:rsidRPr="008D2076">
        <w:rPr>
          <w:lang w:val="es-419"/>
        </w:rPr>
        <w:lastRenderedPageBreak/>
        <w:t>Las actividades incluidas en la preparación de los proyectos son similares a las que se requieren para preparar los PGEH, salvo por la ausencia de un estudio del consumo de HFC en Albania, Jordania, Montenegro, Níger y Macedonia del Norte; algunas actividades también se asemejan mucho a las incluidas en las actividades de apoyo para la eliminación de los HFC para las que ya se ha proporcionado financiación a los siete países, y que han sido completadas por Albania, Jordania, México, Montenegro y Sudáfrica y están actualmente en curso en Níger y Macedonia del Norte.</w:t>
      </w:r>
    </w:p>
    <w:p w14:paraId="01024CC2" w14:textId="77777777" w:rsidR="00071E00" w:rsidRPr="008D2076" w:rsidRDefault="00071E00" w:rsidP="00071E00">
      <w:pPr>
        <w:pStyle w:val="Heading1"/>
        <w:rPr>
          <w:lang w:val="es-419"/>
        </w:rPr>
      </w:pPr>
      <w:r w:rsidRPr="008D2076">
        <w:rPr>
          <w:lang w:val="es-419"/>
        </w:rPr>
        <w:t>La ONUDI aclaró que la preparación de proyectos para la estrategia general de reducción de HFC se basaría en las actividades realizadas en el marco de las actividades de apoyo, ya que éstas eran las primeras medidas relacionadas con la reducción de HFC y habían contribuido a la ratificación de la Enmienda de Kigali en cada país. La ONUDI hizo hincapié en que se evitará la duplicación de las actividades ya ejecutadas.</w:t>
      </w:r>
    </w:p>
    <w:p w14:paraId="50476E9D" w14:textId="77777777" w:rsidR="00071E00" w:rsidRPr="008D2076" w:rsidRDefault="00071E00" w:rsidP="00071E00">
      <w:pPr>
        <w:pStyle w:val="Heading1"/>
        <w:widowControl w:val="0"/>
        <w:rPr>
          <w:color w:val="000000" w:themeColor="text1"/>
          <w:lang w:val="es-419"/>
        </w:rPr>
      </w:pPr>
      <w:r w:rsidRPr="008D2076">
        <w:rPr>
          <w:color w:val="000000" w:themeColor="text1"/>
          <w:lang w:val="es-419"/>
        </w:rPr>
        <w:t>Con respecto al estudio sobre el consumo de HFC, la ONUDI explicó que se llevará a cabo mediante consultas con las partes interesadas, ya que actualmente no existe en esos países un sistema de cuotas y licencias para los HFC; se utilizarán los datos del estudio terminado sobre las alternativas a las SAO, así como la información reunida durante la preparación de la etapa II del PGEH de cada país, que incluye la recopilación de datos sobre los HCFC y las alternativas, incluidos los HFC.</w:t>
      </w:r>
    </w:p>
    <w:p w14:paraId="5F6B6975" w14:textId="77777777" w:rsidR="00071E00" w:rsidRPr="008D2076" w:rsidRDefault="00071E00" w:rsidP="00071E00">
      <w:pPr>
        <w:pStyle w:val="Heading1"/>
        <w:widowControl w:val="0"/>
        <w:rPr>
          <w:color w:val="000000" w:themeColor="text1"/>
          <w:lang w:val="es-419"/>
        </w:rPr>
      </w:pPr>
      <w:r w:rsidRPr="008D2076">
        <w:rPr>
          <w:color w:val="000000" w:themeColor="text1"/>
          <w:lang w:val="es-419"/>
        </w:rPr>
        <w:t>La Secretaría informó a la ONUDI de que no podrá formular una recomendación sobre esta solicitud, ya que las directrices sobre la financiación de estas solicitudes se examinarán en la 86ª reunión.</w:t>
      </w:r>
    </w:p>
    <w:p w14:paraId="36B98C70" w14:textId="77777777" w:rsidR="00071E00" w:rsidRPr="008D2076" w:rsidRDefault="00071E00" w:rsidP="00071E00">
      <w:pPr>
        <w:pStyle w:val="Heading1"/>
        <w:keepNext/>
        <w:numPr>
          <w:ilvl w:val="0"/>
          <w:numId w:val="0"/>
        </w:numPr>
        <w:spacing w:after="120"/>
        <w:rPr>
          <w:b/>
          <w:lang w:val="es-419"/>
        </w:rPr>
      </w:pPr>
      <w:r w:rsidRPr="008D2076">
        <w:rPr>
          <w:b/>
          <w:lang w:val="es-419"/>
        </w:rPr>
        <w:t>Recomendación de la Secretaría</w:t>
      </w:r>
    </w:p>
    <w:p w14:paraId="074D83DA" w14:textId="77777777" w:rsidR="00071E00" w:rsidRPr="008D2076" w:rsidRDefault="00071E00" w:rsidP="00071E00">
      <w:pPr>
        <w:pStyle w:val="Heading1"/>
        <w:keepNext/>
        <w:rPr>
          <w:lang w:val="es-419"/>
        </w:rPr>
      </w:pPr>
      <w:r w:rsidRPr="008D2076">
        <w:rPr>
          <w:lang w:val="es-419"/>
        </w:rPr>
        <w:t>El Comité Ejecutivo puede considerar oportuno examinar, en consonancia con las deliberaciones en el marco de la cuestión 9 a) del orden del día, Panorama general de las cuestiones identificadas durante el examen del proyecto, y la cuestión 13 c), Proyecto de directrices para la preparación de planes de reducción de los HFC para países que operan al amparo del Artículo 5 (decisión 84/54 a)), las solicitudes para financiar la preparación de planes de gestión de la reducción de HFC para los países que se enumeran en la sección B1 de la tabla 1.</w:t>
      </w:r>
    </w:p>
    <w:p w14:paraId="43C7E988" w14:textId="77777777" w:rsidR="00071E00" w:rsidRPr="008D2076" w:rsidRDefault="00071E00" w:rsidP="00071E00">
      <w:pPr>
        <w:pStyle w:val="StyleHeader4Para4Left0Firstline0"/>
        <w:keepNext/>
        <w:numPr>
          <w:ilvl w:val="0"/>
          <w:numId w:val="0"/>
        </w:numPr>
        <w:rPr>
          <w:sz w:val="22"/>
          <w:lang w:val="es-419"/>
        </w:rPr>
      </w:pPr>
      <w:r w:rsidRPr="008D2076">
        <w:rPr>
          <w:b/>
          <w:color w:val="000000" w:themeColor="text1"/>
          <w:sz w:val="22"/>
          <w:lang w:val="es-419"/>
        </w:rPr>
        <w:t xml:space="preserve">B2: Preparación de proyecto para proyectos relacionados con HFC </w:t>
      </w:r>
    </w:p>
    <w:p w14:paraId="6756EE1B" w14:textId="77777777" w:rsidR="00071E00" w:rsidRPr="008D2076" w:rsidRDefault="00071E00" w:rsidP="00071E00">
      <w:pPr>
        <w:pStyle w:val="Heading1"/>
        <w:keepNext/>
        <w:widowControl w:val="0"/>
        <w:numPr>
          <w:ilvl w:val="0"/>
          <w:numId w:val="0"/>
        </w:numPr>
        <w:rPr>
          <w:b/>
          <w:lang w:val="es-419"/>
        </w:rPr>
      </w:pPr>
      <w:r w:rsidRPr="008D2076">
        <w:rPr>
          <w:b/>
          <w:lang w:val="es-419"/>
        </w:rPr>
        <w:t>Descripción de proyectos</w:t>
      </w:r>
    </w:p>
    <w:p w14:paraId="0CF96AA3" w14:textId="3AE02D01" w:rsidR="00071E00" w:rsidRPr="008D2076" w:rsidRDefault="00071E00" w:rsidP="00071E00">
      <w:pPr>
        <w:pStyle w:val="Heading1"/>
        <w:keepNext/>
        <w:rPr>
          <w:b/>
          <w:color w:val="000000" w:themeColor="text1"/>
          <w:lang w:val="es-419"/>
        </w:rPr>
      </w:pPr>
      <w:r w:rsidRPr="008D2076">
        <w:rPr>
          <w:lang w:val="es-419"/>
        </w:rPr>
        <w:t>La ONUDI presentó una solicitud de preparación de un proyecto para la conversión de HFC</w:t>
      </w:r>
      <w:r w:rsidR="003368F1">
        <w:rPr>
          <w:lang w:val="es-419"/>
        </w:rPr>
        <w:noBreakHyphen/>
      </w:r>
      <w:r w:rsidRPr="008D2076">
        <w:rPr>
          <w:lang w:val="es-419"/>
        </w:rPr>
        <w:t xml:space="preserve">134a/R-410A al R-290 en la fabricación de equipos de aire acondicionado en J.M. Fábrica de </w:t>
      </w:r>
      <w:proofErr w:type="spellStart"/>
      <w:r w:rsidRPr="008D2076">
        <w:rPr>
          <w:lang w:val="es-419"/>
        </w:rPr>
        <w:t>Group</w:t>
      </w:r>
      <w:proofErr w:type="spellEnd"/>
      <w:r w:rsidRPr="008D2076">
        <w:rPr>
          <w:lang w:val="es-419"/>
        </w:rPr>
        <w:t xml:space="preserve">/Mina en Sudán que figura en la sección B2 de la tabla 1. </w:t>
      </w:r>
    </w:p>
    <w:p w14:paraId="577CA71C" w14:textId="77777777" w:rsidR="00071E00" w:rsidRPr="008D2076" w:rsidRDefault="00071E00" w:rsidP="00071E00">
      <w:pPr>
        <w:pStyle w:val="Heading1"/>
        <w:rPr>
          <w:lang w:val="es-419"/>
        </w:rPr>
      </w:pPr>
      <w:r w:rsidRPr="008D2076">
        <w:rPr>
          <w:lang w:val="es-419"/>
        </w:rPr>
        <w:t>La presentación incluía información de antecedentes sobre la empresa, el consumo de HFC y las principales actividades que se iban a realizar. Los detalles de la solicitud de preparación de proyectos figuran en la presentación de la ONUDI que se adjunta al presente documento.</w:t>
      </w:r>
    </w:p>
    <w:p w14:paraId="6423CA57" w14:textId="77777777" w:rsidR="00071E00" w:rsidRPr="008D2076" w:rsidRDefault="00071E00" w:rsidP="00071E00">
      <w:pPr>
        <w:widowControl w:val="0"/>
        <w:spacing w:after="120"/>
        <w:rPr>
          <w:b/>
          <w:color w:val="000000" w:themeColor="text1"/>
          <w:lang w:val="es-419"/>
        </w:rPr>
      </w:pPr>
      <w:r w:rsidRPr="008D2076">
        <w:rPr>
          <w:b/>
          <w:color w:val="000000" w:themeColor="text1"/>
          <w:lang w:val="es-419"/>
        </w:rPr>
        <w:t>Comentarios de la Secretaría</w:t>
      </w:r>
    </w:p>
    <w:p w14:paraId="4C165E65" w14:textId="77777777" w:rsidR="00071E00" w:rsidRPr="008D2076" w:rsidRDefault="00071E00" w:rsidP="00071E00">
      <w:pPr>
        <w:pStyle w:val="Heading1"/>
        <w:rPr>
          <w:lang w:val="es-419"/>
        </w:rPr>
      </w:pPr>
      <w:r w:rsidRPr="008D2076">
        <w:rPr>
          <w:lang w:val="es-419"/>
        </w:rPr>
        <w:t>La Secretaría examinó la solicitud de preparación de un proyecto de inversión relacionado con los HFC para Sudán sobre la base de las directrices para la financiación de proyectos de inversión en HFC que figuran en las decisiones 78/3 g), 79/45, 81/53 y 84/53</w:t>
      </w:r>
      <w:r w:rsidRPr="008D2076">
        <w:rPr>
          <w:rStyle w:val="FootnoteReference"/>
          <w:lang w:val="es-419"/>
        </w:rPr>
        <w:footnoteReference w:id="9"/>
      </w:r>
      <w:r w:rsidRPr="008D2076">
        <w:rPr>
          <w:lang w:val="es-419"/>
        </w:rPr>
        <w:t xml:space="preserve">. La Secretaría observó que la financiación solicitada estaba en consonancia con las decisiones pertinentes relativas a la financiación de la preparación de </w:t>
      </w:r>
      <w:r w:rsidRPr="008D2076">
        <w:rPr>
          <w:lang w:val="es-419"/>
        </w:rPr>
        <w:lastRenderedPageBreak/>
        <w:t>proyectos y correspondía a los sectores prioritarios señalados en la decisión 84/53. Esta financiación para la preparación de proyectos no se incluyó en el plan administrativo de la ONUDI para 2019 a 2021.</w:t>
      </w:r>
    </w:p>
    <w:p w14:paraId="11302D06" w14:textId="77777777" w:rsidR="00071E00" w:rsidRPr="008D2076" w:rsidRDefault="00071E00" w:rsidP="00071E00">
      <w:pPr>
        <w:pStyle w:val="Heading1"/>
        <w:rPr>
          <w:lang w:val="es-419"/>
        </w:rPr>
      </w:pPr>
      <w:r w:rsidRPr="008D2076">
        <w:rPr>
          <w:lang w:val="es-419"/>
        </w:rPr>
        <w:t>A la luz de lo dispuesto en la decisión 78/3 g) sobre la situación de la ratificación de la Enmienda de Kigali, la ONUDI proporcionó, mediante un mensaje electrónico, el respaldo de la Dependencia Nacional del Ozono que confirma su interés en el proyecto y pidió que, debido a la pandemia de COVID-19, la carta oficial con todas las condiciones de la decisión se presentara cuando se sometiera la propuesta completa del proyecto a la consideración del Comité Ejecutivo en 2021. La ONUDI subrayó además que Sudán se ha comprometido a realizar los preparativos necesarios para la ratificación de la Enmienda de Kigali al Protocolo de Montreal lo antes posible.</w:t>
      </w:r>
    </w:p>
    <w:p w14:paraId="003BFAFA" w14:textId="77777777" w:rsidR="00071E00" w:rsidRPr="008D2076" w:rsidRDefault="00071E00" w:rsidP="00071E00">
      <w:pPr>
        <w:pStyle w:val="Heading1"/>
        <w:rPr>
          <w:lang w:val="es-419"/>
        </w:rPr>
      </w:pPr>
      <w:r w:rsidRPr="008D2076">
        <w:rPr>
          <w:lang w:val="es-419"/>
        </w:rPr>
        <w:t xml:space="preserve">En respuesta a una solicitud de información adicional, la ONUDI confirmó que, a pesar de la pandemia de COVID-19, la empresa está funcionando a plena capacidad y podrá comenzar la ejecución de la conversión inmediatamente después de que el Comité Ejecutivo apruebe la solicitud de financiación.  </w:t>
      </w:r>
    </w:p>
    <w:p w14:paraId="1817FA5A" w14:textId="77777777" w:rsidR="00071E00" w:rsidRPr="008D2076" w:rsidRDefault="00071E00" w:rsidP="00071E00">
      <w:pPr>
        <w:widowControl w:val="0"/>
        <w:spacing w:after="120"/>
        <w:rPr>
          <w:b/>
          <w:lang w:val="es-419"/>
        </w:rPr>
      </w:pPr>
      <w:r w:rsidRPr="008D2076">
        <w:rPr>
          <w:b/>
          <w:lang w:val="es-419"/>
        </w:rPr>
        <w:t>Recomendación de la Secretaría</w:t>
      </w:r>
    </w:p>
    <w:p w14:paraId="1324B812" w14:textId="6AEC04A5" w:rsidR="005E042F" w:rsidRPr="008D2076" w:rsidRDefault="00071E00" w:rsidP="00071E00">
      <w:pPr>
        <w:pStyle w:val="Heading1"/>
        <w:rPr>
          <w:lang w:val="es-419"/>
        </w:rPr>
      </w:pPr>
      <w:r w:rsidRPr="008D2076">
        <w:rPr>
          <w:lang w:val="es-419"/>
        </w:rPr>
        <w:t>El Comité Ejecutivo puede considerar oportuno aprobar la preparación de un proyecto de inversión relacionado con los HFC para Sudán con el nivel de financiación que figura en la sección B2 de la tabla 1</w:t>
      </w:r>
      <w:r w:rsidR="005E042F" w:rsidRPr="008D2076">
        <w:rPr>
          <w:lang w:val="es-419"/>
        </w:rPr>
        <w:t>.</w:t>
      </w:r>
    </w:p>
    <w:p w14:paraId="1767BB44" w14:textId="77777777" w:rsidR="00032D45" w:rsidRPr="008D2076" w:rsidRDefault="00032D45" w:rsidP="004E7F9C">
      <w:pPr>
        <w:rPr>
          <w:lang w:val="es-419"/>
        </w:rPr>
        <w:sectPr w:rsidR="00032D45" w:rsidRPr="008D2076" w:rsidSect="00896234">
          <w:headerReference w:type="even" r:id="rId12"/>
          <w:headerReference w:type="default" r:id="rId13"/>
          <w:footerReference w:type="even" r:id="rId14"/>
          <w:footerReference w:type="default" r:id="rId15"/>
          <w:footerReference w:type="first" r:id="rId16"/>
          <w:pgSz w:w="12240" w:h="15840" w:code="1"/>
          <w:pgMar w:top="720" w:right="1440" w:bottom="864" w:left="1440" w:header="720" w:footer="475" w:gutter="0"/>
          <w:cols w:space="720"/>
          <w:titlePg/>
        </w:sectPr>
      </w:pPr>
    </w:p>
    <w:p w14:paraId="18C3A1F8" w14:textId="77777777" w:rsidR="002F6871" w:rsidRPr="002F6871" w:rsidRDefault="002F6871" w:rsidP="002F6871">
      <w:pPr>
        <w:spacing w:after="240"/>
        <w:jc w:val="center"/>
        <w:rPr>
          <w:b/>
          <w:color w:val="000000" w:themeColor="text1"/>
          <w:lang w:val="es-419"/>
        </w:rPr>
      </w:pPr>
      <w:r w:rsidRPr="002F6871">
        <w:rPr>
          <w:b/>
          <w:color w:val="000000" w:themeColor="text1"/>
          <w:lang w:val="es-419"/>
        </w:rPr>
        <w:lastRenderedPageBreak/>
        <w:t xml:space="preserve">Anexo II </w:t>
      </w:r>
    </w:p>
    <w:p w14:paraId="2429612A" w14:textId="77777777" w:rsidR="002F6871" w:rsidRPr="002F6871" w:rsidRDefault="002F6871" w:rsidP="002F6871">
      <w:pPr>
        <w:spacing w:after="240"/>
        <w:jc w:val="center"/>
        <w:rPr>
          <w:b/>
          <w:color w:val="000000" w:themeColor="text1"/>
          <w:lang w:val="es-419"/>
        </w:rPr>
      </w:pPr>
      <w:r w:rsidRPr="002F6871">
        <w:rPr>
          <w:b/>
          <w:color w:val="000000" w:themeColor="text1"/>
          <w:lang w:val="es-419"/>
        </w:rPr>
        <w:t>OPINIONES PRELIMINARES EXPRESADAS POR EL COMITÉ EJECUTIVO SOBRE LA RENOVACIÓN DE PROYECTOS DE FORTALECIMIENTO INSTITUCIONAL PRESENTADOS A LA 86</w:t>
      </w:r>
      <w:r w:rsidRPr="002F6871">
        <w:rPr>
          <w:b/>
          <w:color w:val="000000" w:themeColor="text1"/>
          <w:vertAlign w:val="superscript"/>
          <w:lang w:val="es-419"/>
        </w:rPr>
        <w:t>a</w:t>
      </w:r>
      <w:r w:rsidRPr="002F6871">
        <w:rPr>
          <w:b/>
          <w:color w:val="000000" w:themeColor="text1"/>
          <w:lang w:val="es-419"/>
        </w:rPr>
        <w:t xml:space="preserve"> REUNIÓN</w:t>
      </w:r>
    </w:p>
    <w:p w14:paraId="62815954" w14:textId="77777777" w:rsidR="002F6871" w:rsidRPr="00731570" w:rsidRDefault="002F6871" w:rsidP="002F6871">
      <w:pPr>
        <w:spacing w:after="120"/>
        <w:jc w:val="left"/>
        <w:rPr>
          <w:b/>
          <w:color w:val="000000" w:themeColor="text1"/>
        </w:rPr>
      </w:pPr>
      <w:r>
        <w:rPr>
          <w:b/>
          <w:color w:val="000000" w:themeColor="text1"/>
        </w:rPr>
        <w:t>Armenia</w:t>
      </w:r>
    </w:p>
    <w:p w14:paraId="174CD9E3" w14:textId="77777777" w:rsidR="002F6871" w:rsidRPr="002F6871" w:rsidRDefault="002F6871" w:rsidP="002F6871">
      <w:pPr>
        <w:pStyle w:val="Heading1"/>
        <w:numPr>
          <w:ilvl w:val="0"/>
          <w:numId w:val="28"/>
        </w:numPr>
        <w:rPr>
          <w:lang w:val="es-419"/>
        </w:rPr>
      </w:pPr>
      <w:r w:rsidRPr="002F6871">
        <w:rPr>
          <w:lang w:val="es-419"/>
        </w:rPr>
        <w:t>El Comité Ejecutivo examinó la renovación del proyecto de fortalecimiento institucional para Armenia (fase VII) y tomó nota con beneplácito de que Armenia había comunicado datos del programa del país a la Secretaría del Fondo y los datos en virtud del Artículo 7 a la Secretaría del Ozono, que indican que el país cumple con el Protocolo de Montreal. El Comité observó además que Armenia había examinado la reglamentación sobre las SAO y mejorado el control de los HCFC; había finalizado las actividades de la etapa II del plan de gestión de la eliminación de los HCFC (PGEH) y coordinado la preparación de la etapa III; y había sensibilizado al público sobre el Protocolo de Montreal. Por consiguiente, el Comité Ejecutivo confía en que el Gobierno de Armenia seguirá realizando actividades que permitan al país cumplir los objetivos del Protocolo de Montreal. El Comité también tomó nota con beneplácito de la ratificación de la Enmienda de Kigali por parte de Armenia el 2 de mayo de 2019 y de las medidas adoptadas para cumplir las obligaciones iniciales en virtud de la Enmienda.</w:t>
      </w:r>
    </w:p>
    <w:p w14:paraId="7A4FA24B" w14:textId="77777777" w:rsidR="002F6871" w:rsidRPr="00F20CAB" w:rsidRDefault="002F6871" w:rsidP="002F6871">
      <w:pPr>
        <w:spacing w:after="120"/>
        <w:jc w:val="left"/>
        <w:rPr>
          <w:b/>
          <w:color w:val="000000" w:themeColor="text1"/>
        </w:rPr>
      </w:pPr>
      <w:proofErr w:type="spellStart"/>
      <w:r>
        <w:rPr>
          <w:b/>
          <w:color w:val="000000" w:themeColor="text1"/>
        </w:rPr>
        <w:t>Egipto</w:t>
      </w:r>
      <w:proofErr w:type="spellEnd"/>
    </w:p>
    <w:p w14:paraId="5C12065D" w14:textId="77777777" w:rsidR="002F6871" w:rsidRPr="002F6871" w:rsidRDefault="002F6871" w:rsidP="002F6871">
      <w:pPr>
        <w:pStyle w:val="Heading1"/>
        <w:rPr>
          <w:lang w:val="es-419"/>
        </w:rPr>
      </w:pPr>
      <w:r w:rsidRPr="002F6871">
        <w:rPr>
          <w:lang w:val="es-419"/>
        </w:rPr>
        <w:t>El Comité Ejecutivo examinó el informe presentado con la solicitud de renovación del proyecto de fortalecimiento institucional para Egipto (fase XIII) y tomó nota con beneplácito de que Egipto había comunicado los datos del programa del país a la Secretaría del Fondo y los datos en virtud del Artículo 7 a la Secretaría del Ozono, lo que indica que el país cumple con el Protocolo de Montreal. El Comité observó además que Egipto había adoptado medidas para eliminar el consumo de HCFC, que incluían la cooperación con las autoridades aduaneras, la aplicación de políticas emitidas por el Comité Nacional del Ozono y la supervisión estricta del comercio de HCFC mediante la aplicación y el fortalecimiento del marco reglamentario de las SAO. El Comité reconoció los esfuerzos de Egipto por ejecutar la etapa II del PGEH y que la ratificación de la Enmienda de Kigali fue aprobada por los ministerios competentes. Por consiguiente, el Comité Ejecutivo confía en que el Gobierno de Egipto seguirá realizando actividades que permitan al país cumplir los objetivos del Protocolo de Montreal y que depositará su instrumento de ratificación de la Enmienda de Kigali en un futuro próximo.</w:t>
      </w:r>
    </w:p>
    <w:p w14:paraId="359E5F10" w14:textId="77777777" w:rsidR="00AA3445" w:rsidRPr="00AA3445" w:rsidRDefault="002F6871" w:rsidP="00AA3445">
      <w:pPr>
        <w:pStyle w:val="Heading1"/>
        <w:numPr>
          <w:ilvl w:val="0"/>
          <w:numId w:val="0"/>
        </w:numPr>
        <w:rPr>
          <w:b/>
          <w:lang w:val="es-419"/>
        </w:rPr>
      </w:pPr>
      <w:r w:rsidRPr="00AA3445">
        <w:rPr>
          <w:b/>
          <w:lang w:val="es-419"/>
        </w:rPr>
        <w:t>México</w:t>
      </w:r>
    </w:p>
    <w:p w14:paraId="02726DF8" w14:textId="5D62E2A9" w:rsidR="002F6871" w:rsidRPr="00AA3445" w:rsidRDefault="002F6871" w:rsidP="00AA3445">
      <w:pPr>
        <w:pStyle w:val="Heading1"/>
        <w:rPr>
          <w:lang w:val="es-419"/>
        </w:rPr>
      </w:pPr>
      <w:r w:rsidRPr="00AA3445">
        <w:rPr>
          <w:lang w:val="es-419"/>
        </w:rPr>
        <w:t xml:space="preserve">El Comité Ejecutivo examinó el informe presentado con la solicitud de renovación del proyecto de fortalecimiento institucional de México (fase XV) y tomó nota con beneplácito de que el país cumplía con sus obligaciones en materia de presentación de datos del programa del país y del Artículo 7 para 2018 y 2019, y que el país cumple con el Protocolo de Montreal. El Comité Ejecutivo también tomó nota de que, en el marco del proyecto de fortalecimiento institucional, México reforzó la capacidad de la Dependencia Nacional del Ozono de controlar los HCFC y prepararse para la aplicación de la Enmienda de Kigali. El Comité Ejecutivo reconoció los esfuerzos de México por aplicar su PGEH y, por lo tanto, confía en que México continuará las actividades tanto a nivel de políticas como de proyectos para reducir el consumo de HCFC tras su Acuerdo sobre el PGEH con el Comité Ejecutivo. </w:t>
      </w:r>
    </w:p>
    <w:p w14:paraId="7AF18481" w14:textId="77777777" w:rsidR="002F6871" w:rsidRPr="00000DB1" w:rsidRDefault="002F6871" w:rsidP="002F6871">
      <w:pPr>
        <w:spacing w:after="120"/>
        <w:jc w:val="left"/>
        <w:rPr>
          <w:b/>
          <w:u w:val="single"/>
        </w:rPr>
      </w:pPr>
      <w:proofErr w:type="spellStart"/>
      <w:r>
        <w:rPr>
          <w:b/>
          <w:color w:val="000000" w:themeColor="text1"/>
        </w:rPr>
        <w:t>Omán</w:t>
      </w:r>
      <w:proofErr w:type="spellEnd"/>
    </w:p>
    <w:p w14:paraId="1E7538A9" w14:textId="77777777" w:rsidR="002F6871" w:rsidRPr="002F6871" w:rsidRDefault="002F6871" w:rsidP="002F6871">
      <w:pPr>
        <w:pStyle w:val="Heading1"/>
        <w:rPr>
          <w:lang w:val="es-419"/>
        </w:rPr>
      </w:pPr>
      <w:r w:rsidRPr="002F6871">
        <w:rPr>
          <w:lang w:val="es-419"/>
        </w:rPr>
        <w:t xml:space="preserve">El Comité Ejecutivo examinó el informe presentado con la solicitud de renovación del proyecto de fortalecimiento institucional para Omán (fase VIII) y tomó nota con beneplácito de que Omán había comunicado los datos del programa del país a la Secretaría del Fondo y los datos en virtud del Artículo 7 a la Secretaría del Ozono, lo que indica que el país cumple con el Protocolo de Montreal. El Comité también tomó nota de que Omán restableció su Comité Nacional del Ozono que, en cooperación con las autoridades aduaneras, siguió supervisando el comercio de HCFC, incluida la asignación de cuotas de importación de </w:t>
      </w:r>
      <w:r w:rsidRPr="002F6871">
        <w:rPr>
          <w:lang w:val="es-419"/>
        </w:rPr>
        <w:lastRenderedPageBreak/>
        <w:t>HCFC. El Comité Ejecutivo reconoce los esfuerzos de Omán por ejecutar la etapa II del PGEH y por preparar la etapa III, así como por llevar a cabo actividades de apoyo a la eliminación de los HFC. Por consiguiente, el Comité Ejecutivo confía en que el Gobierno de Omán seguirá realizando actividades que permitan al país cumplir los objetivos del Protocolo de Montreal y que depositará su instrumento de ratificación de la Enmienda de Kigali en un futuro próximo.</w:t>
      </w:r>
    </w:p>
    <w:p w14:paraId="120B7640" w14:textId="77777777" w:rsidR="002F6871" w:rsidRPr="00A037FE" w:rsidRDefault="002F6871" w:rsidP="002F6871">
      <w:pPr>
        <w:spacing w:after="120"/>
        <w:jc w:val="left"/>
        <w:rPr>
          <w:b/>
        </w:rPr>
      </w:pPr>
      <w:proofErr w:type="spellStart"/>
      <w:r>
        <w:rPr>
          <w:b/>
          <w:color w:val="000000" w:themeColor="text1"/>
        </w:rPr>
        <w:t>Turkmenistán</w:t>
      </w:r>
      <w:proofErr w:type="spellEnd"/>
    </w:p>
    <w:p w14:paraId="4B308848" w14:textId="5CC43A55" w:rsidR="00B625BF" w:rsidRPr="002F6871" w:rsidRDefault="002F6871" w:rsidP="002F6871">
      <w:pPr>
        <w:pStyle w:val="Heading1"/>
        <w:rPr>
          <w:lang w:val="es-419"/>
        </w:rPr>
      </w:pPr>
      <w:r w:rsidRPr="002F6871">
        <w:rPr>
          <w:lang w:val="es-419"/>
        </w:rPr>
        <w:t>El Comité Ejecutivo examinó el informe presentado con la solicitud de renovación del proyecto de fortalecimiento institucional para Turkmenistán (fase V) y observó con beneplácito que el país proseguía el proceso de ratificación de la Enmienda de Kigali, enmendaba la ley sobre SAO, mantenía un sólido sistema de licencias y cuotas para los HCFC, sensibilizaba al público sobre la protección de la capa de ozono e informaba a las Secretarías del Fondo y del Ozono, respectivamente, de los datos de ejecución del programa del país para 2018 y 2019 y de los datos relativos al Artículo 7, lo que indicaba que el país cumplía el Protocolo de Montreal. El Comité Ejecutivo también tomó nota de la presentación de la etapa II del PGEH, acompañada de la solicitud de renovación del proyecto de fortalecimiento institucional, y de la aprobación del último tramo de la etapa I del PGEH. Por consiguiente, el Comité Ejecutivo confía en que el Gobierno de Turkmenistán seguirá realizando actividades que permitan al país cumplir los objetivos del Protocolo de Montreal</w:t>
      </w:r>
      <w:r w:rsidR="00B625BF" w:rsidRPr="002F6871">
        <w:rPr>
          <w:lang w:val="es-419"/>
        </w:rPr>
        <w:t>.</w:t>
      </w:r>
    </w:p>
    <w:p w14:paraId="1FE90F25" w14:textId="77777777" w:rsidR="00B625BF" w:rsidRPr="002F6871" w:rsidRDefault="00B625BF" w:rsidP="00B625BF">
      <w:pPr>
        <w:spacing w:after="120"/>
        <w:jc w:val="left"/>
        <w:rPr>
          <w:lang w:val="es-419"/>
        </w:rPr>
      </w:pPr>
    </w:p>
    <w:p w14:paraId="4AF6C1E0" w14:textId="77777777" w:rsidR="00B625BF" w:rsidRPr="002F6871" w:rsidRDefault="00B625BF" w:rsidP="00B625BF">
      <w:pPr>
        <w:spacing w:after="120"/>
        <w:jc w:val="left"/>
        <w:rPr>
          <w:lang w:val="es-419"/>
        </w:rPr>
      </w:pPr>
    </w:p>
    <w:p w14:paraId="29663A3D" w14:textId="77E39990" w:rsidR="00E82F8E" w:rsidRPr="002F6871" w:rsidRDefault="00E82F8E" w:rsidP="00E82F8E">
      <w:pPr>
        <w:pStyle w:val="StyleHeader4Para4Left0Firstline0"/>
        <w:numPr>
          <w:ilvl w:val="0"/>
          <w:numId w:val="0"/>
        </w:numPr>
        <w:rPr>
          <w:lang w:val="es-419"/>
        </w:rPr>
      </w:pPr>
    </w:p>
    <w:sectPr w:rsidR="00E82F8E" w:rsidRPr="002F6871" w:rsidSect="00032D45">
      <w:headerReference w:type="even" r:id="rId17"/>
      <w:footerReference w:type="even" r:id="rId18"/>
      <w:headerReference w:type="first" r:id="rId19"/>
      <w:footerReference w:type="first" r:id="rId20"/>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AF715" w14:textId="77777777" w:rsidR="00BC0D31" w:rsidRDefault="00BC0D31" w:rsidP="004A504B">
      <w:r>
        <w:separator/>
      </w:r>
    </w:p>
  </w:endnote>
  <w:endnote w:type="continuationSeparator" w:id="0">
    <w:p w14:paraId="38FA87CE" w14:textId="77777777" w:rsidR="00BC0D31" w:rsidRDefault="00BC0D31"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Univers 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8213075"/>
      <w:docPartObj>
        <w:docPartGallery w:val="Page Numbers (Bottom of Page)"/>
        <w:docPartUnique/>
      </w:docPartObj>
    </w:sdtPr>
    <w:sdtEndPr>
      <w:rPr>
        <w:noProof/>
      </w:rPr>
    </w:sdtEndPr>
    <w:sdtContent>
      <w:p w14:paraId="07D20803" w14:textId="2E8F2A4B" w:rsidR="00D444BF" w:rsidRPr="0033525D" w:rsidRDefault="008E3FFB" w:rsidP="008E3FFB">
        <w:pPr>
          <w:pStyle w:val="Footer"/>
          <w:jc w:val="center"/>
        </w:pPr>
        <w:r>
          <w:fldChar w:fldCharType="begin"/>
        </w:r>
        <w:r>
          <w:instrText xml:space="preserve"> PAGE   \* MERGEFORMAT </w:instrText>
        </w:r>
        <w:r>
          <w:fldChar w:fldCharType="separate"/>
        </w:r>
        <w:r w:rsidR="00D043AF">
          <w:rPr>
            <w:noProof/>
          </w:rPr>
          <w:t>6</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2669097"/>
      <w:docPartObj>
        <w:docPartGallery w:val="Page Numbers (Bottom of Page)"/>
        <w:docPartUnique/>
      </w:docPartObj>
    </w:sdtPr>
    <w:sdtEndPr>
      <w:rPr>
        <w:noProof/>
      </w:rPr>
    </w:sdtEndPr>
    <w:sdtContent>
      <w:p w14:paraId="0CF092C7" w14:textId="2A144DC3" w:rsidR="00D444BF" w:rsidRPr="0033525D" w:rsidRDefault="008E3FFB" w:rsidP="008E3FFB">
        <w:pPr>
          <w:pStyle w:val="Footer"/>
          <w:jc w:val="center"/>
        </w:pPr>
        <w:r>
          <w:fldChar w:fldCharType="begin"/>
        </w:r>
        <w:r>
          <w:instrText xml:space="preserve"> PAGE   \* MERGEFORMAT </w:instrText>
        </w:r>
        <w:r>
          <w:fldChar w:fldCharType="separate"/>
        </w:r>
        <w:r w:rsidR="00D043AF">
          <w:rPr>
            <w:noProof/>
          </w:rPr>
          <w:t>5</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25883" w14:textId="0C2CCEE8" w:rsidR="00E82F8E" w:rsidRPr="008E3FFB" w:rsidRDefault="008E3FFB" w:rsidP="008E3FFB">
    <w:pPr>
      <w:pBdr>
        <w:top w:val="single" w:sz="4" w:space="1" w:color="auto"/>
        <w:left w:val="single" w:sz="4" w:space="4" w:color="auto"/>
        <w:bottom w:val="single" w:sz="4" w:space="1" w:color="auto"/>
        <w:right w:val="single" w:sz="4" w:space="4" w:color="auto"/>
      </w:pBdr>
      <w:ind w:right="-180"/>
      <w:jc w:val="center"/>
      <w:rPr>
        <w:sz w:val="18"/>
        <w:szCs w:val="18"/>
        <w:lang w:val="es-ES"/>
      </w:rPr>
    </w:pPr>
    <w:r>
      <w:rPr>
        <w:sz w:val="18"/>
        <w:szCs w:val="18"/>
        <w:lang w:val="es-ES"/>
      </w:rPr>
      <w:t>Los documentos previos al período de sesiones del Comité Ejecutivo del Fondo Multilateral para la Aplicación del Protocolo de Montreal no van en perjuicio de cualquier decisión que el Comité Ejecutivo pudiera adoptar después de la emisión de los mismos.</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E5DDC" w14:textId="3B19BDDA" w:rsidR="00B625BF" w:rsidRPr="0033525D" w:rsidRDefault="0047108B">
    <w:pPr>
      <w:jc w:val="center"/>
    </w:pPr>
    <w:r>
      <w:rPr>
        <w:noProof/>
      </w:rPr>
      <w:t>2</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385204"/>
      <w:docPartObj>
        <w:docPartGallery w:val="Page Numbers (Bottom of Page)"/>
        <w:docPartUnique/>
      </w:docPartObj>
    </w:sdtPr>
    <w:sdtEndPr>
      <w:rPr>
        <w:noProof/>
      </w:rPr>
    </w:sdtEndPr>
    <w:sdtContent>
      <w:p w14:paraId="6B914DA5" w14:textId="445A76DA" w:rsidR="00B625BF" w:rsidRPr="00EE04D1" w:rsidRDefault="0047108B" w:rsidP="00EE04D1">
        <w:pPr>
          <w:pStyle w:val="Footer"/>
          <w:jc w:val="center"/>
        </w:pPr>
        <w:r>
          <w:rPr>
            <w:noProof/>
          </w:rPr>
          <w:t>1</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98FFE" w14:textId="77777777" w:rsidR="00BC0D31" w:rsidRDefault="00BC0D31" w:rsidP="004A504B">
      <w:r>
        <w:separator/>
      </w:r>
    </w:p>
  </w:footnote>
  <w:footnote w:type="continuationSeparator" w:id="0">
    <w:p w14:paraId="5B4047B2" w14:textId="77777777" w:rsidR="00BC0D31" w:rsidRDefault="00BC0D31" w:rsidP="004A504B">
      <w:r>
        <w:continuationSeparator/>
      </w:r>
    </w:p>
  </w:footnote>
  <w:footnote w:id="1">
    <w:p w14:paraId="2ED485BB" w14:textId="646583F4" w:rsidR="00071E00" w:rsidRDefault="00071E00" w:rsidP="00071E00">
      <w:pPr>
        <w:pStyle w:val="FootnoteText"/>
        <w:rPr>
          <w:lang w:val="es-419"/>
        </w:rPr>
      </w:pPr>
      <w:r>
        <w:rPr>
          <w:rStyle w:val="FootnoteReference"/>
        </w:rPr>
        <w:footnoteRef/>
      </w:r>
      <w:r w:rsidRPr="008D2076">
        <w:rPr>
          <w:lang w:val="es-419"/>
        </w:rPr>
        <w:t xml:space="preserve"> Debido al coronavirus (COVID-19)</w:t>
      </w:r>
    </w:p>
    <w:p w14:paraId="258414AA" w14:textId="77777777" w:rsidR="00754085" w:rsidRPr="008D2076" w:rsidRDefault="00754085" w:rsidP="00071E00">
      <w:pPr>
        <w:pStyle w:val="FootnoteText"/>
        <w:rPr>
          <w:lang w:val="es-419"/>
        </w:rPr>
      </w:pPr>
    </w:p>
  </w:footnote>
  <w:footnote w:id="2">
    <w:p w14:paraId="2A1B1906" w14:textId="77777777" w:rsidR="00071E00" w:rsidRPr="008D2076" w:rsidRDefault="00071E00" w:rsidP="00071E00">
      <w:pPr>
        <w:pStyle w:val="FootnoteText"/>
        <w:rPr>
          <w:lang w:val="es-419"/>
        </w:rPr>
      </w:pPr>
      <w:r>
        <w:rPr>
          <w:rStyle w:val="FootnoteReference"/>
        </w:rPr>
        <w:footnoteRef/>
      </w:r>
      <w:r w:rsidRPr="008D2076">
        <w:rPr>
          <w:lang w:val="es-419"/>
        </w:rPr>
        <w:t xml:space="preserve"> Incluidas las nuevas peticiones a la 86ª reunión que se adjuntan al presente documento y las peticiones remitidas desde la 85ª reunión que se presentan en el documento UNEP/OzL.Pro/ExCom/85/17.</w:t>
      </w:r>
    </w:p>
  </w:footnote>
  <w:footnote w:id="3">
    <w:p w14:paraId="6C9BB698" w14:textId="77777777" w:rsidR="00071E00" w:rsidRPr="008D2076" w:rsidRDefault="00071E00" w:rsidP="00071E00">
      <w:pPr>
        <w:pStyle w:val="FootnoteText"/>
        <w:rPr>
          <w:lang w:val="es-419"/>
        </w:rPr>
      </w:pPr>
      <w:r>
        <w:rPr>
          <w:rStyle w:val="FootnoteReference"/>
        </w:rPr>
        <w:footnoteRef/>
      </w:r>
      <w:r w:rsidRPr="008D2076">
        <w:rPr>
          <w:lang w:val="es-419"/>
        </w:rPr>
        <w:t xml:space="preserve"> Párrafo 63 del documento UNEP/OzL.Pro/ExCom/85/IAP/3, Proyectos aprobados entre períodos de sesiones.</w:t>
      </w:r>
    </w:p>
  </w:footnote>
  <w:footnote w:id="4">
    <w:p w14:paraId="2CB8E6FF" w14:textId="77777777" w:rsidR="00071E00" w:rsidRPr="008D2076" w:rsidRDefault="00071E00" w:rsidP="00071E00">
      <w:pPr>
        <w:pStyle w:val="FootnoteText"/>
        <w:rPr>
          <w:lang w:val="es-419"/>
        </w:rPr>
      </w:pPr>
      <w:r>
        <w:rPr>
          <w:rStyle w:val="FootnoteReference"/>
        </w:rPr>
        <w:footnoteRef/>
      </w:r>
      <w:r w:rsidRPr="008D2076">
        <w:rPr>
          <w:lang w:val="es-419"/>
        </w:rPr>
        <w:t xml:space="preserve"> UNEP/OzL.Pro/ExCom/86/34</w:t>
      </w:r>
    </w:p>
  </w:footnote>
  <w:footnote w:id="5">
    <w:p w14:paraId="4C828F31" w14:textId="77777777" w:rsidR="00071E00" w:rsidRPr="008D2076" w:rsidRDefault="00071E00" w:rsidP="00071E00">
      <w:pPr>
        <w:pStyle w:val="FootnoteText"/>
        <w:rPr>
          <w:lang w:val="es-419"/>
        </w:rPr>
      </w:pPr>
      <w:r>
        <w:rPr>
          <w:rStyle w:val="FootnoteReference"/>
        </w:rPr>
        <w:footnoteRef/>
      </w:r>
      <w:r w:rsidRPr="008D2076">
        <w:rPr>
          <w:lang w:val="es-419"/>
        </w:rPr>
        <w:t xml:space="preserve"> La inclusión de la etapa III de los PGEH en el plan administrativo refundido de 2019-2021 únicamente para los países que habían tenido una etapa II de un PGEH aprobada para cumplir un objetivo de reducción para 2020.</w:t>
      </w:r>
    </w:p>
  </w:footnote>
  <w:footnote w:id="6">
    <w:p w14:paraId="47BC1A60" w14:textId="77777777" w:rsidR="00071E00" w:rsidRPr="008D2076" w:rsidRDefault="00071E00" w:rsidP="00071E00">
      <w:pPr>
        <w:pStyle w:val="FootnoteText"/>
        <w:rPr>
          <w:lang w:val="es-419"/>
        </w:rPr>
      </w:pPr>
      <w:r>
        <w:rPr>
          <w:rStyle w:val="FootnoteReference"/>
        </w:rPr>
        <w:footnoteRef/>
      </w:r>
      <w:r w:rsidRPr="008D2076">
        <w:rPr>
          <w:lang w:val="es-419"/>
        </w:rPr>
        <w:t xml:space="preserve"> UNEP/OzL.Pro/ExCom/85/17</w:t>
      </w:r>
    </w:p>
  </w:footnote>
  <w:footnote w:id="7">
    <w:p w14:paraId="164CAAF8" w14:textId="77777777" w:rsidR="00071E00" w:rsidRPr="008D2076" w:rsidRDefault="00071E00" w:rsidP="00071E00">
      <w:pPr>
        <w:pStyle w:val="FootnoteText"/>
        <w:rPr>
          <w:lang w:val="es-419"/>
        </w:rPr>
      </w:pPr>
      <w:r>
        <w:rPr>
          <w:rStyle w:val="FootnoteReference"/>
        </w:rPr>
        <w:footnoteRef/>
      </w:r>
      <w:r w:rsidRPr="008D2076">
        <w:rPr>
          <w:lang w:val="es-419"/>
        </w:rPr>
        <w:t xml:space="preserve"> Fecha de ratificación (o aceptación) de la Enmienda de Kigali:</w:t>
      </w:r>
      <w:r w:rsidRPr="008D2076">
        <w:rPr>
          <w:color w:val="000000" w:themeColor="text1"/>
          <w:lang w:val="es-419"/>
        </w:rPr>
        <w:t xml:space="preserve"> Albania, 18 de enero de 2019; México, 25 de septiembre de 2018 (aceptación); Jordania, 16 de octubre de 2019; Montenegro, 23 de abril de 2019; Níger, 29 de agosto de 2018; Macedonia del Norte, 12 de marzo de 2020; y Sudáfrica, 1º de agosto de 2019.</w:t>
      </w:r>
    </w:p>
  </w:footnote>
  <w:footnote w:id="8">
    <w:p w14:paraId="1647BA9F" w14:textId="77777777" w:rsidR="00071E00" w:rsidRPr="008D2076" w:rsidRDefault="00071E00" w:rsidP="00071E00">
      <w:pPr>
        <w:pStyle w:val="FootnoteText"/>
        <w:rPr>
          <w:lang w:val="es-419"/>
        </w:rPr>
      </w:pPr>
      <w:r>
        <w:rPr>
          <w:rStyle w:val="FootnoteReference"/>
        </w:rPr>
        <w:footnoteRef/>
      </w:r>
      <w:r w:rsidRPr="008D2076">
        <w:rPr>
          <w:lang w:val="es-419"/>
        </w:rPr>
        <w:t xml:space="preserve"> La financiación para la preparación de planes nacionales de ejecución para cumplir las obligaciones iniciales de reducción para la reducción de HFC se podría proporcionar, como muy pronto, cinco años antes de la fecha de cumplimiento de esas obligaciones, después de que un país haya ratificado la Enmienda de Kigali y sobre la base de las directrices que se hayan de aprobar en el futuro.</w:t>
      </w:r>
    </w:p>
  </w:footnote>
  <w:footnote w:id="9">
    <w:p w14:paraId="58CF2706" w14:textId="77777777" w:rsidR="00071E00" w:rsidRPr="008D2076" w:rsidRDefault="00071E00" w:rsidP="00071E00">
      <w:pPr>
        <w:pStyle w:val="FootnoteText"/>
        <w:rPr>
          <w:lang w:val="es-419"/>
        </w:rPr>
      </w:pPr>
      <w:r>
        <w:rPr>
          <w:rStyle w:val="FootnoteReference"/>
        </w:rPr>
        <w:footnoteRef/>
      </w:r>
      <w:r w:rsidRPr="008D2076">
        <w:rPr>
          <w:lang w:val="es-419"/>
        </w:rPr>
        <w:t xml:space="preserve"> Examinar las propuestas de proyectos de inversión autónomos relacionados con los HFC hasta la 87ª reunión, de conformidad con los criterios establecidos en las decisiones 78/3 g), 79/45 y 81/53, y dando prioridad a los proyectos en los sectores de los acondicionadores de aire estacionarios, la refrigeración comercial y los acondicionadores de aire móviles.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B878A" w14:textId="51C46BDC" w:rsidR="008E3FFB" w:rsidRPr="001E0146" w:rsidRDefault="008E3FFB" w:rsidP="008E3FFB">
    <w:pPr>
      <w:rPr>
        <w:lang w:val="es-419"/>
      </w:rPr>
    </w:pPr>
    <w:r>
      <w:fldChar w:fldCharType="begin"/>
    </w:r>
    <w:r w:rsidRPr="001E0146">
      <w:rPr>
        <w:lang w:val="es-419"/>
      </w:rPr>
      <w:instrText xml:space="preserve"> DOCPROPERTY "Document number"  \* MERGEFORMAT </w:instrText>
    </w:r>
    <w:r>
      <w:fldChar w:fldCharType="separate"/>
    </w:r>
    <w:r>
      <w:rPr>
        <w:lang w:val="es-419"/>
      </w:rPr>
      <w:t>UNEP/</w:t>
    </w:r>
    <w:proofErr w:type="spellStart"/>
    <w:r>
      <w:rPr>
        <w:lang w:val="es-419"/>
      </w:rPr>
      <w:t>OzL.Pro</w:t>
    </w:r>
    <w:proofErr w:type="spellEnd"/>
    <w:r>
      <w:rPr>
        <w:lang w:val="es-419"/>
      </w:rPr>
      <w:t>/</w:t>
    </w:r>
    <w:proofErr w:type="spellStart"/>
    <w:r>
      <w:rPr>
        <w:lang w:val="es-419"/>
      </w:rPr>
      <w:t>ExCom</w:t>
    </w:r>
    <w:proofErr w:type="spellEnd"/>
    <w:r>
      <w:rPr>
        <w:lang w:val="es-419"/>
      </w:rPr>
      <w:t>/86/35</w:t>
    </w:r>
    <w:r>
      <w:fldChar w:fldCharType="end"/>
    </w:r>
  </w:p>
  <w:p w14:paraId="587B2CCD" w14:textId="77777777" w:rsidR="00D444BF" w:rsidRPr="0033525D" w:rsidRDefault="00D444BF"/>
  <w:p w14:paraId="08729AE7" w14:textId="77777777" w:rsidR="00D444BF" w:rsidRPr="0033525D" w:rsidRDefault="00D444B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BAC73" w14:textId="77777777" w:rsidR="008E3FFB" w:rsidRPr="001E0146" w:rsidRDefault="008E3FFB" w:rsidP="008E3FFB">
    <w:pPr>
      <w:jc w:val="right"/>
      <w:rPr>
        <w:lang w:val="es-419"/>
      </w:rPr>
    </w:pPr>
    <w:r>
      <w:fldChar w:fldCharType="begin"/>
    </w:r>
    <w:r w:rsidRPr="001E0146">
      <w:rPr>
        <w:lang w:val="es-419"/>
      </w:rPr>
      <w:instrText xml:space="preserve"> DOCPROPERTY "Document number"  \* MERGEFORMAT </w:instrText>
    </w:r>
    <w:r>
      <w:fldChar w:fldCharType="separate"/>
    </w:r>
    <w:r>
      <w:rPr>
        <w:lang w:val="es-419"/>
      </w:rPr>
      <w:t>UNEP/</w:t>
    </w:r>
    <w:proofErr w:type="spellStart"/>
    <w:r>
      <w:rPr>
        <w:lang w:val="es-419"/>
      </w:rPr>
      <w:t>OzL.Pro</w:t>
    </w:r>
    <w:proofErr w:type="spellEnd"/>
    <w:r>
      <w:rPr>
        <w:lang w:val="es-419"/>
      </w:rPr>
      <w:t>/</w:t>
    </w:r>
    <w:proofErr w:type="spellStart"/>
    <w:r>
      <w:rPr>
        <w:lang w:val="es-419"/>
      </w:rPr>
      <w:t>ExCom</w:t>
    </w:r>
    <w:proofErr w:type="spellEnd"/>
    <w:r>
      <w:rPr>
        <w:lang w:val="es-419"/>
      </w:rPr>
      <w:t>/86/35</w:t>
    </w:r>
    <w:r>
      <w:fldChar w:fldCharType="end"/>
    </w:r>
  </w:p>
  <w:p w14:paraId="359D253A" w14:textId="77777777" w:rsidR="00D444BF" w:rsidRPr="0033525D" w:rsidRDefault="00D444BF"/>
  <w:p w14:paraId="68AA0400" w14:textId="77777777" w:rsidR="00D444BF" w:rsidRPr="0033525D" w:rsidRDefault="00D444B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701A2" w14:textId="77777777" w:rsidR="008E3FFB" w:rsidRPr="008E3FFB" w:rsidRDefault="008E3FFB" w:rsidP="008E3FFB">
    <w:pPr>
      <w:rPr>
        <w:lang w:val="en-US"/>
      </w:rPr>
    </w:pPr>
    <w:r>
      <w:fldChar w:fldCharType="begin"/>
    </w:r>
    <w:r w:rsidRPr="008E3FFB">
      <w:rPr>
        <w:lang w:val="en-US"/>
      </w:rPr>
      <w:instrText xml:space="preserve"> DOCPROPERTY "Document number"  \* MERGEFORMAT </w:instrText>
    </w:r>
    <w:r>
      <w:fldChar w:fldCharType="separate"/>
    </w:r>
    <w:r w:rsidRPr="008E3FFB">
      <w:rPr>
        <w:lang w:val="en-US"/>
      </w:rPr>
      <w:t>UNEP/</w:t>
    </w:r>
    <w:proofErr w:type="spellStart"/>
    <w:r w:rsidRPr="008E3FFB">
      <w:rPr>
        <w:lang w:val="en-US"/>
      </w:rPr>
      <w:t>OzL.Pro</w:t>
    </w:r>
    <w:proofErr w:type="spellEnd"/>
    <w:r w:rsidRPr="008E3FFB">
      <w:rPr>
        <w:lang w:val="en-US"/>
      </w:rPr>
      <w:t>/</w:t>
    </w:r>
    <w:proofErr w:type="spellStart"/>
    <w:r w:rsidRPr="008E3FFB">
      <w:rPr>
        <w:lang w:val="en-US"/>
      </w:rPr>
      <w:t>ExCom</w:t>
    </w:r>
    <w:proofErr w:type="spellEnd"/>
    <w:r w:rsidRPr="008E3FFB">
      <w:rPr>
        <w:lang w:val="en-US"/>
      </w:rPr>
      <w:t>/86/35</w:t>
    </w:r>
    <w:r>
      <w:fldChar w:fldCharType="end"/>
    </w:r>
  </w:p>
  <w:p w14:paraId="36CC5F0E" w14:textId="139C935B" w:rsidR="00B625BF" w:rsidRPr="0033525D" w:rsidRDefault="008E3FFB">
    <w:proofErr w:type="spellStart"/>
    <w:r>
      <w:t>An</w:t>
    </w:r>
    <w:r w:rsidR="00B625BF">
      <w:t>ex</w:t>
    </w:r>
    <w:r>
      <w:t>o</w:t>
    </w:r>
    <w:proofErr w:type="spellEnd"/>
    <w:r w:rsidR="00B625BF">
      <w:t xml:space="preserve"> II</w:t>
    </w:r>
  </w:p>
  <w:p w14:paraId="59675AF3" w14:textId="77777777" w:rsidR="00B625BF" w:rsidRPr="0033525D" w:rsidRDefault="00B625BF"/>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1DCA8" w14:textId="77777777" w:rsidR="008E3FFB" w:rsidRPr="008E3FFB" w:rsidRDefault="008E3FFB" w:rsidP="008E3FFB">
    <w:pPr>
      <w:jc w:val="right"/>
      <w:rPr>
        <w:lang w:val="en-US"/>
      </w:rPr>
    </w:pPr>
    <w:r>
      <w:fldChar w:fldCharType="begin"/>
    </w:r>
    <w:r w:rsidRPr="008E3FFB">
      <w:rPr>
        <w:lang w:val="en-US"/>
      </w:rPr>
      <w:instrText xml:space="preserve"> DOCPROPERTY "Document number"  \* MERGEFORMAT </w:instrText>
    </w:r>
    <w:r>
      <w:fldChar w:fldCharType="separate"/>
    </w:r>
    <w:r w:rsidRPr="008E3FFB">
      <w:rPr>
        <w:lang w:val="en-US"/>
      </w:rPr>
      <w:t>UNEP/</w:t>
    </w:r>
    <w:proofErr w:type="spellStart"/>
    <w:r w:rsidRPr="008E3FFB">
      <w:rPr>
        <w:lang w:val="en-US"/>
      </w:rPr>
      <w:t>OzL.Pro</w:t>
    </w:r>
    <w:proofErr w:type="spellEnd"/>
    <w:r w:rsidRPr="008E3FFB">
      <w:rPr>
        <w:lang w:val="en-US"/>
      </w:rPr>
      <w:t>/</w:t>
    </w:r>
    <w:proofErr w:type="spellStart"/>
    <w:r w:rsidRPr="008E3FFB">
      <w:rPr>
        <w:lang w:val="en-US"/>
      </w:rPr>
      <w:t>ExCom</w:t>
    </w:r>
    <w:proofErr w:type="spellEnd"/>
    <w:r w:rsidRPr="008E3FFB">
      <w:rPr>
        <w:lang w:val="en-US"/>
      </w:rPr>
      <w:t>/86/35</w:t>
    </w:r>
    <w:r>
      <w:fldChar w:fldCharType="end"/>
    </w:r>
  </w:p>
  <w:p w14:paraId="248B2B14" w14:textId="1288ACFA" w:rsidR="00B625BF" w:rsidRPr="0033525D" w:rsidRDefault="00B625BF" w:rsidP="00032D45">
    <w:pPr>
      <w:jc w:val="right"/>
    </w:pPr>
    <w:proofErr w:type="spellStart"/>
    <w:r>
      <w:t>Anex</w:t>
    </w:r>
    <w:r w:rsidR="008E3FFB">
      <w:t>o</w:t>
    </w:r>
    <w:proofErr w:type="spellEnd"/>
    <w:r>
      <w:t xml:space="preserve"> II</w:t>
    </w:r>
  </w:p>
  <w:p w14:paraId="0A005711" w14:textId="77777777" w:rsidR="00B625BF" w:rsidRDefault="00B625BF" w:rsidP="00032D45">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111484E2"/>
    <w:lvl w:ilvl="0">
      <w:start w:val="1"/>
      <w:numFmt w:val="decimal"/>
      <w:pStyle w:val="Heading1"/>
      <w:lvlText w:val="%1."/>
      <w:lvlJc w:val="left"/>
      <w:pPr>
        <w:tabs>
          <w:tab w:val="num" w:pos="0"/>
        </w:tabs>
        <w:ind w:left="0" w:firstLine="0"/>
      </w:pPr>
      <w:rPr>
        <w:b w:val="0"/>
        <w:strike w:val="0"/>
        <w:lang w:val="en-GB"/>
      </w:r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1CC1A29"/>
    <w:multiLevelType w:val="hybridMultilevel"/>
    <w:tmpl w:val="D4100F26"/>
    <w:lvl w:ilvl="0" w:tplc="7E169C7C">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CDA52E4"/>
    <w:multiLevelType w:val="multilevel"/>
    <w:tmpl w:val="A26805D0"/>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4"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5" w15:restartNumberingAfterBreak="0">
    <w:nsid w:val="4D3F422E"/>
    <w:multiLevelType w:val="multilevel"/>
    <w:tmpl w:val="A26805D0"/>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6"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6BA6107E"/>
    <w:multiLevelType w:val="multilevel"/>
    <w:tmpl w:val="A26805D0"/>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9"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6"/>
  </w:num>
  <w:num w:numId="18">
    <w:abstractNumId w:val="17"/>
  </w:num>
  <w:num w:numId="19">
    <w:abstractNumId w:val="19"/>
  </w:num>
  <w:num w:numId="20">
    <w:abstractNumId w:val="14"/>
  </w:num>
  <w:num w:numId="21">
    <w:abstractNumId w:val="18"/>
  </w:num>
  <w:num w:numId="22">
    <w:abstractNumId w:val="13"/>
  </w:num>
  <w:num w:numId="23">
    <w:abstractNumId w:val="15"/>
  </w:num>
  <w:num w:numId="2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embedSystemFonts/>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NKgFABGPPpktAAAA"/>
  </w:docVars>
  <w:rsids>
    <w:rsidRoot w:val="00081985"/>
    <w:rsid w:val="00000FED"/>
    <w:rsid w:val="0000434E"/>
    <w:rsid w:val="000211A9"/>
    <w:rsid w:val="00031260"/>
    <w:rsid w:val="00032D45"/>
    <w:rsid w:val="0003681A"/>
    <w:rsid w:val="000372B7"/>
    <w:rsid w:val="00050F6E"/>
    <w:rsid w:val="00061EC2"/>
    <w:rsid w:val="00071E00"/>
    <w:rsid w:val="00080ED0"/>
    <w:rsid w:val="00081985"/>
    <w:rsid w:val="00085B8F"/>
    <w:rsid w:val="00090481"/>
    <w:rsid w:val="00096D33"/>
    <w:rsid w:val="00097640"/>
    <w:rsid w:val="000A3826"/>
    <w:rsid w:val="000A6C26"/>
    <w:rsid w:val="000C7BBD"/>
    <w:rsid w:val="000D1840"/>
    <w:rsid w:val="000D52A4"/>
    <w:rsid w:val="000E07BC"/>
    <w:rsid w:val="000F194A"/>
    <w:rsid w:val="000F1CD4"/>
    <w:rsid w:val="000F4103"/>
    <w:rsid w:val="000F70A7"/>
    <w:rsid w:val="00113CCA"/>
    <w:rsid w:val="00121537"/>
    <w:rsid w:val="001228DE"/>
    <w:rsid w:val="00122F25"/>
    <w:rsid w:val="00135980"/>
    <w:rsid w:val="00147750"/>
    <w:rsid w:val="00152236"/>
    <w:rsid w:val="00164719"/>
    <w:rsid w:val="00166FC4"/>
    <w:rsid w:val="001677AC"/>
    <w:rsid w:val="001804EA"/>
    <w:rsid w:val="00183FB5"/>
    <w:rsid w:val="00190A61"/>
    <w:rsid w:val="001A3342"/>
    <w:rsid w:val="001A3E3D"/>
    <w:rsid w:val="001A7049"/>
    <w:rsid w:val="001B1E40"/>
    <w:rsid w:val="001B5926"/>
    <w:rsid w:val="001B693C"/>
    <w:rsid w:val="001C00DF"/>
    <w:rsid w:val="001C764E"/>
    <w:rsid w:val="001D29B0"/>
    <w:rsid w:val="001E0146"/>
    <w:rsid w:val="001E1052"/>
    <w:rsid w:val="001E1FB8"/>
    <w:rsid w:val="001E21B1"/>
    <w:rsid w:val="001E2D09"/>
    <w:rsid w:val="001E2F93"/>
    <w:rsid w:val="001E4165"/>
    <w:rsid w:val="001E4554"/>
    <w:rsid w:val="001E61E5"/>
    <w:rsid w:val="001F12CD"/>
    <w:rsid w:val="001F2159"/>
    <w:rsid w:val="002014B4"/>
    <w:rsid w:val="00210B8B"/>
    <w:rsid w:val="00214863"/>
    <w:rsid w:val="002156B4"/>
    <w:rsid w:val="00224FCD"/>
    <w:rsid w:val="00244B6D"/>
    <w:rsid w:val="00244F87"/>
    <w:rsid w:val="00253222"/>
    <w:rsid w:val="00262847"/>
    <w:rsid w:val="00275AAB"/>
    <w:rsid w:val="00281BB2"/>
    <w:rsid w:val="00290A1C"/>
    <w:rsid w:val="002950BF"/>
    <w:rsid w:val="002B20D0"/>
    <w:rsid w:val="002B254E"/>
    <w:rsid w:val="002B72E9"/>
    <w:rsid w:val="002C7998"/>
    <w:rsid w:val="002E7F1C"/>
    <w:rsid w:val="002F1E53"/>
    <w:rsid w:val="002F22AE"/>
    <w:rsid w:val="002F2CAA"/>
    <w:rsid w:val="002F6871"/>
    <w:rsid w:val="002F7B85"/>
    <w:rsid w:val="0030052C"/>
    <w:rsid w:val="003027A0"/>
    <w:rsid w:val="00302B38"/>
    <w:rsid w:val="0031422C"/>
    <w:rsid w:val="00322A3B"/>
    <w:rsid w:val="003306E1"/>
    <w:rsid w:val="003320E4"/>
    <w:rsid w:val="0033525D"/>
    <w:rsid w:val="003368F1"/>
    <w:rsid w:val="00336AB7"/>
    <w:rsid w:val="003414F3"/>
    <w:rsid w:val="00344B67"/>
    <w:rsid w:val="00347E07"/>
    <w:rsid w:val="00350F71"/>
    <w:rsid w:val="0035613E"/>
    <w:rsid w:val="00363A49"/>
    <w:rsid w:val="00363EE9"/>
    <w:rsid w:val="00365C00"/>
    <w:rsid w:val="00376128"/>
    <w:rsid w:val="0037742E"/>
    <w:rsid w:val="00377D56"/>
    <w:rsid w:val="003808FD"/>
    <w:rsid w:val="0038245A"/>
    <w:rsid w:val="003840E6"/>
    <w:rsid w:val="00385491"/>
    <w:rsid w:val="00385CFC"/>
    <w:rsid w:val="0038629D"/>
    <w:rsid w:val="0039337A"/>
    <w:rsid w:val="003A3189"/>
    <w:rsid w:val="003A3CA7"/>
    <w:rsid w:val="003A4A8E"/>
    <w:rsid w:val="003B33BD"/>
    <w:rsid w:val="003B3604"/>
    <w:rsid w:val="003B569D"/>
    <w:rsid w:val="003C3C0E"/>
    <w:rsid w:val="003D42A6"/>
    <w:rsid w:val="003D4F21"/>
    <w:rsid w:val="003D4FAC"/>
    <w:rsid w:val="003E7906"/>
    <w:rsid w:val="003F3C50"/>
    <w:rsid w:val="004018F5"/>
    <w:rsid w:val="00406A6A"/>
    <w:rsid w:val="00406B22"/>
    <w:rsid w:val="00426056"/>
    <w:rsid w:val="004328A7"/>
    <w:rsid w:val="00434C74"/>
    <w:rsid w:val="00443E1A"/>
    <w:rsid w:val="00447068"/>
    <w:rsid w:val="00456EB4"/>
    <w:rsid w:val="00457050"/>
    <w:rsid w:val="00464E50"/>
    <w:rsid w:val="00466934"/>
    <w:rsid w:val="0047108B"/>
    <w:rsid w:val="004718F3"/>
    <w:rsid w:val="00475040"/>
    <w:rsid w:val="00475D45"/>
    <w:rsid w:val="004760BF"/>
    <w:rsid w:val="004859FE"/>
    <w:rsid w:val="00487232"/>
    <w:rsid w:val="00493D40"/>
    <w:rsid w:val="004967B6"/>
    <w:rsid w:val="004A504B"/>
    <w:rsid w:val="004A6911"/>
    <w:rsid w:val="004B2C2A"/>
    <w:rsid w:val="004B4132"/>
    <w:rsid w:val="004B4D67"/>
    <w:rsid w:val="004B54E0"/>
    <w:rsid w:val="004B7384"/>
    <w:rsid w:val="004C4269"/>
    <w:rsid w:val="004D409D"/>
    <w:rsid w:val="004D6236"/>
    <w:rsid w:val="004D7F90"/>
    <w:rsid w:val="004E0C2C"/>
    <w:rsid w:val="004E4DBB"/>
    <w:rsid w:val="004E4E41"/>
    <w:rsid w:val="004E7F9C"/>
    <w:rsid w:val="004F3493"/>
    <w:rsid w:val="004F5143"/>
    <w:rsid w:val="00512B09"/>
    <w:rsid w:val="005220ED"/>
    <w:rsid w:val="00533796"/>
    <w:rsid w:val="00537343"/>
    <w:rsid w:val="005426F2"/>
    <w:rsid w:val="00555D75"/>
    <w:rsid w:val="00560DF0"/>
    <w:rsid w:val="00565005"/>
    <w:rsid w:val="0056759C"/>
    <w:rsid w:val="00572546"/>
    <w:rsid w:val="00581D09"/>
    <w:rsid w:val="0059513E"/>
    <w:rsid w:val="0059716A"/>
    <w:rsid w:val="005A2185"/>
    <w:rsid w:val="005A6D9F"/>
    <w:rsid w:val="005B2BE6"/>
    <w:rsid w:val="005B48FF"/>
    <w:rsid w:val="005C22AA"/>
    <w:rsid w:val="005C7959"/>
    <w:rsid w:val="005D0292"/>
    <w:rsid w:val="005D363F"/>
    <w:rsid w:val="005E042F"/>
    <w:rsid w:val="005E1234"/>
    <w:rsid w:val="005E5059"/>
    <w:rsid w:val="00604C15"/>
    <w:rsid w:val="006158D5"/>
    <w:rsid w:val="00625D83"/>
    <w:rsid w:val="0063266D"/>
    <w:rsid w:val="00635410"/>
    <w:rsid w:val="006623E7"/>
    <w:rsid w:val="00662B80"/>
    <w:rsid w:val="00670F6C"/>
    <w:rsid w:val="006829CD"/>
    <w:rsid w:val="00682DB7"/>
    <w:rsid w:val="006852C7"/>
    <w:rsid w:val="006852CE"/>
    <w:rsid w:val="00685AFB"/>
    <w:rsid w:val="00692D14"/>
    <w:rsid w:val="0069317B"/>
    <w:rsid w:val="006A10A4"/>
    <w:rsid w:val="006A47BB"/>
    <w:rsid w:val="006A5BED"/>
    <w:rsid w:val="006B65C7"/>
    <w:rsid w:val="006C1727"/>
    <w:rsid w:val="006C32FD"/>
    <w:rsid w:val="006C39CE"/>
    <w:rsid w:val="006D0FCC"/>
    <w:rsid w:val="006D21F5"/>
    <w:rsid w:val="006E126D"/>
    <w:rsid w:val="006E1FC3"/>
    <w:rsid w:val="006E7122"/>
    <w:rsid w:val="006F6504"/>
    <w:rsid w:val="00704CE9"/>
    <w:rsid w:val="0070616B"/>
    <w:rsid w:val="00706295"/>
    <w:rsid w:val="00706FDA"/>
    <w:rsid w:val="00711F9A"/>
    <w:rsid w:val="0071371B"/>
    <w:rsid w:val="00713810"/>
    <w:rsid w:val="007164C0"/>
    <w:rsid w:val="007303A5"/>
    <w:rsid w:val="00730B3E"/>
    <w:rsid w:val="00731E3F"/>
    <w:rsid w:val="0073420B"/>
    <w:rsid w:val="0073771B"/>
    <w:rsid w:val="007378F5"/>
    <w:rsid w:val="0074760E"/>
    <w:rsid w:val="00754085"/>
    <w:rsid w:val="00754ABA"/>
    <w:rsid w:val="0076212B"/>
    <w:rsid w:val="007735C7"/>
    <w:rsid w:val="00781AE0"/>
    <w:rsid w:val="007A1546"/>
    <w:rsid w:val="007A1C20"/>
    <w:rsid w:val="007A228C"/>
    <w:rsid w:val="007A368E"/>
    <w:rsid w:val="007A5868"/>
    <w:rsid w:val="007B04CE"/>
    <w:rsid w:val="007B1DB7"/>
    <w:rsid w:val="007B536E"/>
    <w:rsid w:val="007B6871"/>
    <w:rsid w:val="007B7A2F"/>
    <w:rsid w:val="007C3D33"/>
    <w:rsid w:val="007D294A"/>
    <w:rsid w:val="007D47D2"/>
    <w:rsid w:val="007D69C5"/>
    <w:rsid w:val="007D6EC0"/>
    <w:rsid w:val="007D7E1D"/>
    <w:rsid w:val="007F350F"/>
    <w:rsid w:val="00800A94"/>
    <w:rsid w:val="008012CF"/>
    <w:rsid w:val="008042A6"/>
    <w:rsid w:val="00804496"/>
    <w:rsid w:val="00824466"/>
    <w:rsid w:val="00831979"/>
    <w:rsid w:val="00851352"/>
    <w:rsid w:val="00857077"/>
    <w:rsid w:val="00863230"/>
    <w:rsid w:val="00865BD0"/>
    <w:rsid w:val="008717D8"/>
    <w:rsid w:val="0087215C"/>
    <w:rsid w:val="008721F7"/>
    <w:rsid w:val="00872257"/>
    <w:rsid w:val="00873C89"/>
    <w:rsid w:val="00875D25"/>
    <w:rsid w:val="00880E35"/>
    <w:rsid w:val="008865E0"/>
    <w:rsid w:val="008875FE"/>
    <w:rsid w:val="00887F8E"/>
    <w:rsid w:val="00896234"/>
    <w:rsid w:val="00897B1D"/>
    <w:rsid w:val="00897E43"/>
    <w:rsid w:val="008B4824"/>
    <w:rsid w:val="008C3418"/>
    <w:rsid w:val="008C5539"/>
    <w:rsid w:val="008C5738"/>
    <w:rsid w:val="008C7EAD"/>
    <w:rsid w:val="008D0CFE"/>
    <w:rsid w:val="008D2076"/>
    <w:rsid w:val="008D46B4"/>
    <w:rsid w:val="008D6152"/>
    <w:rsid w:val="008E3FFB"/>
    <w:rsid w:val="008F0F81"/>
    <w:rsid w:val="008F27BF"/>
    <w:rsid w:val="00900C6C"/>
    <w:rsid w:val="009142EC"/>
    <w:rsid w:val="009154C3"/>
    <w:rsid w:val="00917324"/>
    <w:rsid w:val="00923540"/>
    <w:rsid w:val="00926767"/>
    <w:rsid w:val="009361D5"/>
    <w:rsid w:val="009428A4"/>
    <w:rsid w:val="00953E3B"/>
    <w:rsid w:val="00964F16"/>
    <w:rsid w:val="009659F4"/>
    <w:rsid w:val="00965C6F"/>
    <w:rsid w:val="00970D60"/>
    <w:rsid w:val="00980D64"/>
    <w:rsid w:val="0099390E"/>
    <w:rsid w:val="009960E5"/>
    <w:rsid w:val="009A53D1"/>
    <w:rsid w:val="009A7992"/>
    <w:rsid w:val="009A7ADC"/>
    <w:rsid w:val="009C19B7"/>
    <w:rsid w:val="009C5ABB"/>
    <w:rsid w:val="009D0357"/>
    <w:rsid w:val="009D7C51"/>
    <w:rsid w:val="009E196C"/>
    <w:rsid w:val="009E3D7B"/>
    <w:rsid w:val="009F36BF"/>
    <w:rsid w:val="00A01BEC"/>
    <w:rsid w:val="00A111B6"/>
    <w:rsid w:val="00A26D27"/>
    <w:rsid w:val="00A35EFB"/>
    <w:rsid w:val="00A36E70"/>
    <w:rsid w:val="00A376EE"/>
    <w:rsid w:val="00A42A99"/>
    <w:rsid w:val="00A50F27"/>
    <w:rsid w:val="00A5151A"/>
    <w:rsid w:val="00A57E0A"/>
    <w:rsid w:val="00A823F6"/>
    <w:rsid w:val="00A8719E"/>
    <w:rsid w:val="00AA0A89"/>
    <w:rsid w:val="00AA3445"/>
    <w:rsid w:val="00AA6429"/>
    <w:rsid w:val="00AC01AA"/>
    <w:rsid w:val="00AC4F72"/>
    <w:rsid w:val="00AC5E8D"/>
    <w:rsid w:val="00AC76A7"/>
    <w:rsid w:val="00AD0EE9"/>
    <w:rsid w:val="00AD6B64"/>
    <w:rsid w:val="00AD7BBA"/>
    <w:rsid w:val="00AF6B02"/>
    <w:rsid w:val="00AF7153"/>
    <w:rsid w:val="00AF741A"/>
    <w:rsid w:val="00B01ADB"/>
    <w:rsid w:val="00B04161"/>
    <w:rsid w:val="00B056F9"/>
    <w:rsid w:val="00B11E3D"/>
    <w:rsid w:val="00B17E82"/>
    <w:rsid w:val="00B32E72"/>
    <w:rsid w:val="00B34D59"/>
    <w:rsid w:val="00B4575A"/>
    <w:rsid w:val="00B46C61"/>
    <w:rsid w:val="00B575BA"/>
    <w:rsid w:val="00B625BF"/>
    <w:rsid w:val="00B62F17"/>
    <w:rsid w:val="00B709EA"/>
    <w:rsid w:val="00B71608"/>
    <w:rsid w:val="00B76429"/>
    <w:rsid w:val="00B76826"/>
    <w:rsid w:val="00B76ADD"/>
    <w:rsid w:val="00B956D4"/>
    <w:rsid w:val="00B97446"/>
    <w:rsid w:val="00BA7432"/>
    <w:rsid w:val="00BB2764"/>
    <w:rsid w:val="00BB4A87"/>
    <w:rsid w:val="00BC0D31"/>
    <w:rsid w:val="00BC1AA0"/>
    <w:rsid w:val="00BC2495"/>
    <w:rsid w:val="00BC7EB9"/>
    <w:rsid w:val="00BD2643"/>
    <w:rsid w:val="00BD56B1"/>
    <w:rsid w:val="00BD6558"/>
    <w:rsid w:val="00BE2B53"/>
    <w:rsid w:val="00BF17F7"/>
    <w:rsid w:val="00BF2F76"/>
    <w:rsid w:val="00BF3022"/>
    <w:rsid w:val="00BF3214"/>
    <w:rsid w:val="00BF3605"/>
    <w:rsid w:val="00BF4E1B"/>
    <w:rsid w:val="00BF5573"/>
    <w:rsid w:val="00C06224"/>
    <w:rsid w:val="00C15867"/>
    <w:rsid w:val="00C17181"/>
    <w:rsid w:val="00C2296D"/>
    <w:rsid w:val="00C23155"/>
    <w:rsid w:val="00C232AC"/>
    <w:rsid w:val="00C26B5E"/>
    <w:rsid w:val="00C40A0B"/>
    <w:rsid w:val="00C40C41"/>
    <w:rsid w:val="00C45885"/>
    <w:rsid w:val="00C50F22"/>
    <w:rsid w:val="00C57971"/>
    <w:rsid w:val="00C65BD7"/>
    <w:rsid w:val="00C66428"/>
    <w:rsid w:val="00C76BA4"/>
    <w:rsid w:val="00C80F5A"/>
    <w:rsid w:val="00C83A48"/>
    <w:rsid w:val="00C85865"/>
    <w:rsid w:val="00C85E85"/>
    <w:rsid w:val="00CA2EAE"/>
    <w:rsid w:val="00CA4AC1"/>
    <w:rsid w:val="00CB0316"/>
    <w:rsid w:val="00CB0B11"/>
    <w:rsid w:val="00CB426A"/>
    <w:rsid w:val="00CB5354"/>
    <w:rsid w:val="00CC1954"/>
    <w:rsid w:val="00CC3B3D"/>
    <w:rsid w:val="00CC3C9E"/>
    <w:rsid w:val="00CC6A14"/>
    <w:rsid w:val="00CC70A3"/>
    <w:rsid w:val="00CD38CE"/>
    <w:rsid w:val="00CD4442"/>
    <w:rsid w:val="00CD4AE1"/>
    <w:rsid w:val="00CD53C3"/>
    <w:rsid w:val="00CD574E"/>
    <w:rsid w:val="00CE4C22"/>
    <w:rsid w:val="00CE7634"/>
    <w:rsid w:val="00CF1B88"/>
    <w:rsid w:val="00CF41EC"/>
    <w:rsid w:val="00CF5D04"/>
    <w:rsid w:val="00D043AF"/>
    <w:rsid w:val="00D04DE4"/>
    <w:rsid w:val="00D063F1"/>
    <w:rsid w:val="00D11824"/>
    <w:rsid w:val="00D14F22"/>
    <w:rsid w:val="00D30513"/>
    <w:rsid w:val="00D3484B"/>
    <w:rsid w:val="00D444BF"/>
    <w:rsid w:val="00D4741C"/>
    <w:rsid w:val="00D5059D"/>
    <w:rsid w:val="00D57918"/>
    <w:rsid w:val="00D66AAD"/>
    <w:rsid w:val="00D7246A"/>
    <w:rsid w:val="00D73DC6"/>
    <w:rsid w:val="00D74379"/>
    <w:rsid w:val="00D74C1A"/>
    <w:rsid w:val="00D754C1"/>
    <w:rsid w:val="00D77393"/>
    <w:rsid w:val="00D77A35"/>
    <w:rsid w:val="00D81B0B"/>
    <w:rsid w:val="00D81B3E"/>
    <w:rsid w:val="00D8393E"/>
    <w:rsid w:val="00D86521"/>
    <w:rsid w:val="00D90C70"/>
    <w:rsid w:val="00D90E49"/>
    <w:rsid w:val="00D9608C"/>
    <w:rsid w:val="00D96ADE"/>
    <w:rsid w:val="00DA0CE2"/>
    <w:rsid w:val="00DA4EBF"/>
    <w:rsid w:val="00DA4F63"/>
    <w:rsid w:val="00DC6A10"/>
    <w:rsid w:val="00DD437A"/>
    <w:rsid w:val="00DE657E"/>
    <w:rsid w:val="00DF4704"/>
    <w:rsid w:val="00E024AA"/>
    <w:rsid w:val="00E15C77"/>
    <w:rsid w:val="00E250F1"/>
    <w:rsid w:val="00E3550D"/>
    <w:rsid w:val="00E3741F"/>
    <w:rsid w:val="00E4516B"/>
    <w:rsid w:val="00E45726"/>
    <w:rsid w:val="00E52838"/>
    <w:rsid w:val="00E614E0"/>
    <w:rsid w:val="00E73F7F"/>
    <w:rsid w:val="00E82F8E"/>
    <w:rsid w:val="00E85409"/>
    <w:rsid w:val="00E97642"/>
    <w:rsid w:val="00EA3490"/>
    <w:rsid w:val="00EA429F"/>
    <w:rsid w:val="00EA4F9E"/>
    <w:rsid w:val="00EA63CA"/>
    <w:rsid w:val="00EA6D3B"/>
    <w:rsid w:val="00EB00AD"/>
    <w:rsid w:val="00EB136C"/>
    <w:rsid w:val="00EB3619"/>
    <w:rsid w:val="00EB480E"/>
    <w:rsid w:val="00EB5EC6"/>
    <w:rsid w:val="00EB7FC9"/>
    <w:rsid w:val="00EC659B"/>
    <w:rsid w:val="00ED27E8"/>
    <w:rsid w:val="00ED3202"/>
    <w:rsid w:val="00ED495E"/>
    <w:rsid w:val="00ED7137"/>
    <w:rsid w:val="00ED74F3"/>
    <w:rsid w:val="00EE04D1"/>
    <w:rsid w:val="00EE0D5E"/>
    <w:rsid w:val="00EF06EA"/>
    <w:rsid w:val="00EF5B4A"/>
    <w:rsid w:val="00F01126"/>
    <w:rsid w:val="00F21088"/>
    <w:rsid w:val="00F25BE5"/>
    <w:rsid w:val="00F327E7"/>
    <w:rsid w:val="00F35746"/>
    <w:rsid w:val="00F447C7"/>
    <w:rsid w:val="00F459B4"/>
    <w:rsid w:val="00F5211B"/>
    <w:rsid w:val="00F544CF"/>
    <w:rsid w:val="00F554A9"/>
    <w:rsid w:val="00F6032F"/>
    <w:rsid w:val="00F716FD"/>
    <w:rsid w:val="00F80355"/>
    <w:rsid w:val="00F87C43"/>
    <w:rsid w:val="00F92843"/>
    <w:rsid w:val="00FA6426"/>
    <w:rsid w:val="00FB0C81"/>
    <w:rsid w:val="00FC2200"/>
    <w:rsid w:val="00FC2540"/>
    <w:rsid w:val="00FF0204"/>
    <w:rsid w:val="00FF1F0C"/>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808CB"/>
  <w15:docId w15:val="{F7B77490-E8C1-4A45-98C5-DB2B070A8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6A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2"/>
      </w:numPr>
      <w:spacing w:after="240"/>
      <w:outlineLvl w:val="1"/>
    </w:pPr>
  </w:style>
  <w:style w:type="paragraph" w:styleId="Heading3">
    <w:name w:val="heading 3"/>
    <w:aliases w:val="Char,Heading 3 Char1,Heading 3 Char Char,Char Char Char,Char Char1,Heading 3 Char1 Char,Heading 3 Char Char Char,Char Char Char Char,Char Char1 Char,Char Char,Heading 3 Char2,Char Char2,Char Char Char1,Heading 3 Char Char1 Char,Heading 3 Char"/>
    <w:basedOn w:val="Normal"/>
    <w:next w:val="Normal"/>
    <w:qFormat/>
    <w:rsid w:val="0033525D"/>
    <w:pPr>
      <w:widowControl w:val="0"/>
      <w:numPr>
        <w:ilvl w:val="2"/>
        <w:numId w:val="3"/>
      </w:numPr>
      <w:spacing w:after="240"/>
      <w:outlineLvl w:val="2"/>
    </w:pPr>
  </w:style>
  <w:style w:type="paragraph" w:styleId="Heading4">
    <w:name w:val="heading 4"/>
    <w:aliases w:val="Heading 11,para 4,Título 41,heading 4,Heading 41,标题 41"/>
    <w:basedOn w:val="Normal"/>
    <w:next w:val="Heading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link w:val="HeaderChar"/>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aliases w:val="Char1,Char1 Char Char,Fußnotentextf,FOOTNOTES,fn,single space,Footnote,Footnote Text Char1 Char,Footnote Text Char Char Char,Footnote Text Char1 Char Char Char,Footnote Text Char Char Char Char Char"/>
    <w:basedOn w:val="Normal"/>
    <w:link w:val="FootnoteTextChar"/>
    <w:uiPriority w:val="99"/>
    <w:unhideWhenUsed/>
    <w:qFormat/>
    <w:rsid w:val="006E126D"/>
    <w:rPr>
      <w:sz w:val="20"/>
      <w:szCs w:val="20"/>
    </w:rPr>
  </w:style>
  <w:style w:type="character" w:customStyle="1" w:styleId="FootnoteTextChar">
    <w:name w:val="Footnote Text Char"/>
    <w:aliases w:val="Char1 Char,Char1 Char Char Char,Fußnotentextf Char,FOOTNOTES Char,fn Char,single space Char,Footnote Char,Footnote Text Char1 Char Char,Footnote Text Char Char Char Char,Footnote Text Char1 Char Char Char Char"/>
    <w:basedOn w:val="DefaultParagraphFont"/>
    <w:link w:val="FootnoteText"/>
    <w:uiPriority w:val="99"/>
    <w:rsid w:val="006E126D"/>
    <w:rPr>
      <w:lang w:val="en-GB"/>
    </w:rPr>
  </w:style>
  <w:style w:type="character" w:styleId="FootnoteReference">
    <w:name w:val="footnote reference"/>
    <w:aliases w:val="ftref,Footnote Text1,Footnote Text2,Footnote text"/>
    <w:basedOn w:val="DefaultParagraphFont"/>
    <w:uiPriority w:val="99"/>
    <w:unhideWhenUsed/>
    <w:rsid w:val="006E126D"/>
    <w:rPr>
      <w:vertAlign w:val="superscript"/>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081985"/>
    <w:rPr>
      <w:sz w:val="22"/>
      <w:szCs w:val="22"/>
      <w:lang w:val="en-GB"/>
    </w:rPr>
  </w:style>
  <w:style w:type="character" w:customStyle="1" w:styleId="HeaderChar">
    <w:name w:val="Header Char"/>
    <w:basedOn w:val="DefaultParagraphFont"/>
    <w:link w:val="Header"/>
    <w:rsid w:val="00081985"/>
    <w:rPr>
      <w:sz w:val="22"/>
      <w:szCs w:val="22"/>
      <w:lang w:val="en-GB"/>
    </w:rPr>
  </w:style>
  <w:style w:type="character" w:customStyle="1" w:styleId="FooterChar">
    <w:name w:val="Footer Char"/>
    <w:basedOn w:val="DefaultParagraphFont"/>
    <w:link w:val="Footer"/>
    <w:uiPriority w:val="99"/>
    <w:rsid w:val="00081985"/>
    <w:rPr>
      <w:sz w:val="22"/>
      <w:szCs w:val="22"/>
      <w:lang w:val="en-GB"/>
    </w:rPr>
  </w:style>
  <w:style w:type="character" w:styleId="PageNumber">
    <w:name w:val="page number"/>
    <w:basedOn w:val="DefaultParagraphFont"/>
    <w:uiPriority w:val="99"/>
    <w:semiHidden/>
    <w:unhideWhenUsed/>
    <w:rsid w:val="00081985"/>
  </w:style>
  <w:style w:type="paragraph" w:styleId="ListParagraph">
    <w:name w:val="List Paragraph"/>
    <w:basedOn w:val="Normal"/>
    <w:uiPriority w:val="34"/>
    <w:qFormat/>
    <w:rsid w:val="005C2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473266">
      <w:bodyDiv w:val="1"/>
      <w:marLeft w:val="0"/>
      <w:marRight w:val="0"/>
      <w:marTop w:val="0"/>
      <w:marBottom w:val="0"/>
      <w:divBdr>
        <w:top w:val="none" w:sz="0" w:space="0" w:color="auto"/>
        <w:left w:val="none" w:sz="0" w:space="0" w:color="auto"/>
        <w:bottom w:val="none" w:sz="0" w:space="0" w:color="auto"/>
        <w:right w:val="none" w:sz="0" w:space="0" w:color="auto"/>
      </w:divBdr>
    </w:div>
    <w:div w:id="280311195">
      <w:bodyDiv w:val="1"/>
      <w:marLeft w:val="0"/>
      <w:marRight w:val="0"/>
      <w:marTop w:val="0"/>
      <w:marBottom w:val="0"/>
      <w:divBdr>
        <w:top w:val="none" w:sz="0" w:space="0" w:color="auto"/>
        <w:left w:val="none" w:sz="0" w:space="0" w:color="auto"/>
        <w:bottom w:val="none" w:sz="0" w:space="0" w:color="auto"/>
        <w:right w:val="none" w:sz="0" w:space="0" w:color="auto"/>
      </w:divBdr>
    </w:div>
    <w:div w:id="581452093">
      <w:bodyDiv w:val="1"/>
      <w:marLeft w:val="0"/>
      <w:marRight w:val="0"/>
      <w:marTop w:val="0"/>
      <w:marBottom w:val="0"/>
      <w:divBdr>
        <w:top w:val="none" w:sz="0" w:space="0" w:color="auto"/>
        <w:left w:val="none" w:sz="0" w:space="0" w:color="auto"/>
        <w:bottom w:val="none" w:sz="0" w:space="0" w:color="auto"/>
        <w:right w:val="none" w:sz="0" w:space="0" w:color="auto"/>
      </w:divBdr>
    </w:div>
    <w:div w:id="1159153920">
      <w:bodyDiv w:val="1"/>
      <w:marLeft w:val="0"/>
      <w:marRight w:val="0"/>
      <w:marTop w:val="0"/>
      <w:marBottom w:val="0"/>
      <w:divBdr>
        <w:top w:val="none" w:sz="0" w:space="0" w:color="auto"/>
        <w:left w:val="none" w:sz="0" w:space="0" w:color="auto"/>
        <w:bottom w:val="none" w:sz="0" w:space="0" w:color="auto"/>
        <w:right w:val="none" w:sz="0" w:space="0" w:color="auto"/>
      </w:divBdr>
    </w:div>
    <w:div w:id="1232156505">
      <w:bodyDiv w:val="1"/>
      <w:marLeft w:val="0"/>
      <w:marRight w:val="0"/>
      <w:marTop w:val="0"/>
      <w:marBottom w:val="0"/>
      <w:divBdr>
        <w:top w:val="none" w:sz="0" w:space="0" w:color="auto"/>
        <w:left w:val="none" w:sz="0" w:space="0" w:color="auto"/>
        <w:bottom w:val="none" w:sz="0" w:space="0" w:color="auto"/>
        <w:right w:val="none" w:sz="0" w:space="0" w:color="auto"/>
      </w:divBdr>
    </w:div>
    <w:div w:id="1573929889">
      <w:bodyDiv w:val="1"/>
      <w:marLeft w:val="0"/>
      <w:marRight w:val="0"/>
      <w:marTop w:val="0"/>
      <w:marBottom w:val="0"/>
      <w:divBdr>
        <w:top w:val="none" w:sz="0" w:space="0" w:color="auto"/>
        <w:left w:val="none" w:sz="0" w:space="0" w:color="auto"/>
        <w:bottom w:val="none" w:sz="0" w:space="0" w:color="auto"/>
        <w:right w:val="none" w:sz="0" w:space="0" w:color="auto"/>
      </w:divBdr>
    </w:div>
    <w:div w:id="1692411621">
      <w:bodyDiv w:val="1"/>
      <w:marLeft w:val="0"/>
      <w:marRight w:val="0"/>
      <w:marTop w:val="0"/>
      <w:marBottom w:val="0"/>
      <w:divBdr>
        <w:top w:val="none" w:sz="0" w:space="0" w:color="auto"/>
        <w:left w:val="none" w:sz="0" w:space="0" w:color="auto"/>
        <w:bottom w:val="none" w:sz="0" w:space="0" w:color="auto"/>
        <w:right w:val="none" w:sz="0" w:space="0" w:color="auto"/>
      </w:divBdr>
    </w:div>
    <w:div w:id="1794597366">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191118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customXml" Target="../customXml/item2.xml"/><Relationship Id="rId10" Type="http://schemas.openxmlformats.org/officeDocument/2006/relationships/image" Target="media/image3.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701D9FFF1782646B282AA80F917E68F" ma:contentTypeVersion="2" ma:contentTypeDescription="Create a new document." ma:contentTypeScope="" ma:versionID="73e2836fba3984591bfc1c5ece2a15e6">
  <xsd:schema xmlns:xsd="http://www.w3.org/2001/XMLSchema" xmlns:p="http://schemas.microsoft.com/office/2006/metadata/properties" xmlns:ns2="e6e1f9e0-8f48-4721-871b-80b3d7694360" xmlns:ns3="4aeb65a0-cd8f-45aa-a04d-ad1384b86dfc" targetNamespace="http://schemas.microsoft.com/office/2006/metadata/properties" ma:root="true" ma:fieldsID="30d109d6ea97c92d85c847e665efde67" ns2:_="" ns3:_="">
    <xsd:import namespace="e6e1f9e0-8f48-4721-871b-80b3d7694360"/>
    <xsd:import namespace="4aeb65a0-cd8f-45aa-a04d-ad1384b86dfc"/>
    <xsd:element name="properties">
      <xsd:complexType>
        <xsd:sequence>
          <xsd:element name="documentManagement">
            <xsd:complexType>
              <xsd:all>
                <xsd:element ref="ns2:Document_x0020_Number" minOccurs="0"/>
                <xsd:element ref="ns3:Posted_x0020_after_x0020_IAP" minOccurs="0"/>
              </xsd:all>
            </xsd:complexType>
          </xsd:element>
        </xsd:sequence>
      </xsd:complexType>
    </xsd:element>
  </xsd:schema>
  <xsd:schema xmlns:xsd="http://www.w3.org/2001/XMLSchema" xmlns:dms="http://schemas.microsoft.com/office/2006/documentManagement/types" targetNamespace="e6e1f9e0-8f48-4721-871b-80b3d7694360"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xsd="http://www.w3.org/2001/XMLSchema" xmlns:dms="http://schemas.microsoft.com/office/2006/documentManagement/types" targetNamespace="4aeb65a0-cd8f-45aa-a04d-ad1384b86dfc" elementFormDefault="qualified">
    <xsd:import namespace="http://schemas.microsoft.com/office/2006/documentManagement/types"/>
    <xsd:element name="Posted_x0020_after_x0020_IAP" ma:index="9" nillable="true" ma:displayName="Posted after IAP" ma:default="1" ma:internalName="Posted_x0020_after_x0020_IAP">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e6e1f9e0-8f48-4721-871b-80b3d7694360">UNEP/OzL.Pro/ExCom/86/35</Document_x0020_Number>
    <Posted_x0020_after_x0020_IAP xmlns="4aeb65a0-cd8f-45aa-a04d-ad1384b86dfc">false</Posted_x0020_after_x0020_IAP>
  </documentManagement>
</p:properties>
</file>

<file path=customXml/itemProps1.xml><?xml version="1.0" encoding="utf-8"?>
<ds:datastoreItem xmlns:ds="http://schemas.openxmlformats.org/officeDocument/2006/customXml" ds:itemID="{2E30EC22-D9BD-460D-8C30-5A5CFCB4F39A}"/>
</file>

<file path=customXml/itemProps2.xml><?xml version="1.0" encoding="utf-8"?>
<ds:datastoreItem xmlns:ds="http://schemas.openxmlformats.org/officeDocument/2006/customXml" ds:itemID="{FCB33270-0D2F-41C0-87F1-C2FF71BA08D3}"/>
</file>

<file path=customXml/itemProps3.xml><?xml version="1.0" encoding="utf-8"?>
<ds:datastoreItem xmlns:ds="http://schemas.openxmlformats.org/officeDocument/2006/customXml" ds:itemID="{1F13C45E-1E45-4D35-8A4F-D8E666AF49E4}"/>
</file>

<file path=customXml/itemProps4.xml><?xml version="1.0" encoding="utf-8"?>
<ds:datastoreItem xmlns:ds="http://schemas.openxmlformats.org/officeDocument/2006/customXml" ds:itemID="{C97820B4-3400-48E5-AB68-93252A62D612}"/>
</file>

<file path=docProps/app.xml><?xml version="1.0" encoding="utf-8"?>
<Properties xmlns="http://schemas.openxmlformats.org/officeDocument/2006/extended-properties" xmlns:vt="http://schemas.openxmlformats.org/officeDocument/2006/docPropsVTypes">
  <Template>Normal</Template>
  <TotalTime>145</TotalTime>
  <Pages>10</Pages>
  <Words>3920</Words>
  <Characters>22345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Enmiendas al programa de trabajo de la ONUDI para 2020</vt:lpstr>
    </vt:vector>
  </TitlesOfParts>
  <Company>UNMFS</Company>
  <LinksUpToDate>false</LinksUpToDate>
  <CharactersWithSpaces>26213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Enmiendas al programa de trabajo de la ONUDI para 2020</dc:title>
  <dc:creator/>
  <cp:lastModifiedBy>HB</cp:lastModifiedBy>
  <cp:revision>14</cp:revision>
  <cp:lastPrinted>2020-11-03T18:36:00Z</cp:lastPrinted>
  <dcterms:created xsi:type="dcterms:W3CDTF">2020-11-13T15:07:00Z</dcterms:created>
  <dcterms:modified xsi:type="dcterms:W3CDTF">2021-03-26T19:44:00Z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UNEP/OzL.Pro/ExCom/86/35</vt:lpwstr>
  </property>
  <property fmtid="{D5CDD505-2E9C-101B-9397-08002B2CF9AE}" pid="3" name="Revision date">
    <vt:lpwstr>11/2/2020</vt:lpwstr>
  </property>
  <property fmtid="{D5CDD505-2E9C-101B-9397-08002B2CF9AE}" pid="4" name="ContentTypeId">
    <vt:lpwstr>0x0101009701D9FFF1782646B282AA80F917E68F</vt:lpwstr>
  </property>
</Properties>
</file>