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US" w:bidi="ar-SA"/>
              </w:rPr>
              <w:drawing>
                <wp:anchor distT="0" distB="0" distL="114300" distR="114300" simplePos="0" relativeHeight="251660288" behindDoc="0" locked="0" layoutInCell="0" allowOverlap="1">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US" w:bidi="ar-SA"/>
              </w:rPr>
              <w:drawing>
                <wp:anchor distT="0" distB="0" distL="114300" distR="114300" simplePos="0" relativeHeight="251659264" behindDoc="1" locked="0" layoutInCell="0" allowOverlap="1">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152C0D" w:rsidRPr="009B0D30" w:rsidRDefault="00ED4266" w:rsidP="00152C0D">
            <w:r>
              <w:fldChar w:fldCharType="begin"/>
            </w:r>
            <w:r w:rsidR="00015F4A">
              <w:instrText xml:space="preserve"> DOCPROPERTY "Document number"  \* MERGEFORMAT </w:instrText>
            </w:r>
            <w:r>
              <w:fldChar w:fldCharType="separate"/>
            </w:r>
            <w:r w:rsidR="006A6EF4">
              <w:t>UNEP/OzL.Pro/ExCom/87/9/Add.1</w:t>
            </w:r>
            <w:r>
              <w:fldChar w:fldCharType="end"/>
            </w:r>
          </w:p>
          <w:p w:rsidR="00662A73" w:rsidRPr="003F73BA" w:rsidRDefault="004A6157" w:rsidP="00152C0D">
            <w:pPr>
              <w:spacing w:before="120"/>
              <w:jc w:val="left"/>
            </w:pPr>
            <w:r>
              <w:fldChar w:fldCharType="begin"/>
            </w:r>
            <w:r>
              <w:instrText xml:space="preserve"> DOCPROPERTY "Revision date" \@ "d MMMM YYYY"  \* MERGEFORMAT </w:instrText>
            </w:r>
            <w:r>
              <w:fldChar w:fldCharType="separate"/>
            </w:r>
            <w:r w:rsidR="006A6EF4">
              <w:t>14 June 2021</w:t>
            </w:r>
            <w:r>
              <w:fldChar w:fldCharType="end"/>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C0337B">
        <w:rPr>
          <w:rFonts w:hint="cs"/>
          <w:sz w:val="28"/>
          <w:szCs w:val="28"/>
          <w:rtl/>
          <w:lang w:val="en-US" w:eastAsia="en-CA"/>
        </w:rPr>
        <w:t>الس</w:t>
      </w:r>
      <w:r w:rsidR="006F2A2C">
        <w:rPr>
          <w:rFonts w:hint="cs"/>
          <w:sz w:val="28"/>
          <w:szCs w:val="28"/>
          <w:rtl/>
          <w:lang w:val="en-US" w:eastAsia="en-CA"/>
        </w:rPr>
        <w:t xml:space="preserve">ابع </w:t>
      </w:r>
      <w:r w:rsidR="00786775">
        <w:rPr>
          <w:rFonts w:hint="cs"/>
          <w:sz w:val="28"/>
          <w:szCs w:val="28"/>
          <w:rtl/>
          <w:lang w:val="en-US" w:eastAsia="en-CA"/>
        </w:rPr>
        <w:t>و</w:t>
      </w:r>
      <w:r>
        <w:rPr>
          <w:rFonts w:hint="cs"/>
          <w:sz w:val="28"/>
          <w:szCs w:val="28"/>
          <w:rtl/>
          <w:lang w:val="en-US" w:eastAsia="en-CA"/>
        </w:rPr>
        <w:t>الثمانون</w:t>
      </w:r>
    </w:p>
    <w:p w:rsidR="007E5D09" w:rsidRDefault="00E1360E" w:rsidP="00460ED8">
      <w:pPr>
        <w:pStyle w:val="0Heading0"/>
        <w:bidi/>
        <w:ind w:left="4"/>
        <w:rPr>
          <w:rFonts w:cs="Arabic Transparent"/>
          <w:sz w:val="28"/>
          <w:szCs w:val="28"/>
          <w:rtl/>
          <w:lang w:bidi="ar-EG"/>
        </w:rPr>
      </w:pPr>
      <w:r>
        <w:rPr>
          <w:rFonts w:hint="cs"/>
          <w:sz w:val="28"/>
          <w:szCs w:val="28"/>
          <w:rtl/>
        </w:rPr>
        <w:t>مونتريال</w:t>
      </w:r>
      <w:r>
        <w:rPr>
          <w:sz w:val="28"/>
          <w:szCs w:val="28"/>
          <w:rtl/>
        </w:rPr>
        <w:t>،</w:t>
      </w:r>
      <w:r w:rsidR="00C0337B">
        <w:rPr>
          <w:rFonts w:hint="cs"/>
          <w:sz w:val="28"/>
          <w:szCs w:val="28"/>
          <w:rtl/>
        </w:rPr>
        <w:t xml:space="preserve">  من 28 </w:t>
      </w:r>
      <w:r w:rsidR="00EB56C5">
        <w:rPr>
          <w:rFonts w:hint="cs"/>
          <w:sz w:val="28"/>
          <w:szCs w:val="28"/>
          <w:rtl/>
        </w:rPr>
        <w:t>يونيه</w:t>
      </w:r>
      <w:r w:rsidR="00C0337B" w:rsidRPr="00DB2568">
        <w:rPr>
          <w:rFonts w:asciiTheme="majorBidi" w:hAnsiTheme="majorBidi" w:cstheme="majorBidi" w:hint="cs"/>
          <w:sz w:val="26"/>
          <w:szCs w:val="26"/>
          <w:rtl/>
          <w:lang w:bidi="ar-SY"/>
        </w:rPr>
        <w:t>/</w:t>
      </w:r>
      <w:r w:rsidR="00C0337B">
        <w:rPr>
          <w:rFonts w:hint="cs"/>
          <w:sz w:val="26"/>
          <w:szCs w:val="26"/>
          <w:rtl/>
        </w:rPr>
        <w:t>ح</w:t>
      </w:r>
      <w:r w:rsidR="00C0337B">
        <w:rPr>
          <w:rFonts w:hint="cs"/>
          <w:sz w:val="26"/>
          <w:szCs w:val="26"/>
          <w:rtl/>
          <w:lang w:val="en-US" w:bidi="ar-SY"/>
        </w:rPr>
        <w:t xml:space="preserve">زيران </w:t>
      </w:r>
      <w:r>
        <w:rPr>
          <w:rFonts w:hint="cs"/>
          <w:sz w:val="28"/>
          <w:szCs w:val="28"/>
          <w:rtl/>
        </w:rPr>
        <w:t xml:space="preserve">إلى </w:t>
      </w:r>
      <w:r w:rsidR="006F2A2C">
        <w:rPr>
          <w:rFonts w:hint="cs"/>
          <w:sz w:val="28"/>
          <w:szCs w:val="28"/>
          <w:rtl/>
        </w:rPr>
        <w:t>2</w:t>
      </w:r>
      <w:r w:rsidR="00013372">
        <w:rPr>
          <w:sz w:val="28"/>
          <w:szCs w:val="28"/>
        </w:rPr>
        <w:t xml:space="preserve"> </w:t>
      </w:r>
      <w:r w:rsidR="00A44778">
        <w:rPr>
          <w:rFonts w:hint="cs"/>
          <w:sz w:val="28"/>
          <w:szCs w:val="28"/>
          <w:rtl/>
        </w:rPr>
        <w:t xml:space="preserve"> </w:t>
      </w:r>
      <w:r w:rsidR="008E3DF3">
        <w:rPr>
          <w:rFonts w:hint="cs"/>
          <w:sz w:val="28"/>
          <w:szCs w:val="28"/>
          <w:rtl/>
        </w:rPr>
        <w:t>يو</w:t>
      </w:r>
      <w:r w:rsidR="00C0337B">
        <w:rPr>
          <w:rFonts w:asciiTheme="majorBidi" w:hAnsiTheme="majorBidi" w:cstheme="majorBidi" w:hint="cs"/>
          <w:sz w:val="26"/>
          <w:szCs w:val="26"/>
          <w:rtl/>
          <w:lang w:bidi="ar-SY"/>
        </w:rPr>
        <w:t>لي</w:t>
      </w:r>
      <w:r w:rsidR="00EB56C5">
        <w:rPr>
          <w:rFonts w:asciiTheme="majorBidi" w:hAnsiTheme="majorBidi" w:cstheme="majorBidi" w:hint="cs"/>
          <w:sz w:val="26"/>
          <w:szCs w:val="26"/>
          <w:rtl/>
          <w:lang w:bidi="ar-SY"/>
        </w:rPr>
        <w:t>ه</w:t>
      </w:r>
      <w:r w:rsidR="006F2A2C" w:rsidRPr="00DB2568">
        <w:rPr>
          <w:rFonts w:asciiTheme="majorBidi" w:hAnsiTheme="majorBidi" w:cstheme="majorBidi" w:hint="cs"/>
          <w:sz w:val="26"/>
          <w:szCs w:val="26"/>
          <w:rtl/>
          <w:lang w:bidi="ar-SY"/>
        </w:rPr>
        <w:t>/</w:t>
      </w:r>
      <w:r w:rsidR="006F2A2C" w:rsidRPr="00DB2568">
        <w:rPr>
          <w:rFonts w:hint="cs"/>
          <w:sz w:val="26"/>
          <w:szCs w:val="26"/>
          <w:rtl/>
        </w:rPr>
        <w:t xml:space="preserve"> </w:t>
      </w:r>
      <w:r w:rsidR="00C0337B">
        <w:rPr>
          <w:rFonts w:hint="cs"/>
          <w:sz w:val="26"/>
          <w:szCs w:val="26"/>
          <w:rtl/>
        </w:rPr>
        <w:t>تموز</w:t>
      </w:r>
      <w:r w:rsidR="006F2A2C" w:rsidRPr="00DB2568">
        <w:rPr>
          <w:rFonts w:hint="cs"/>
          <w:sz w:val="28"/>
          <w:szCs w:val="28"/>
          <w:rtl/>
        </w:rPr>
        <w:t xml:space="preserve"> </w:t>
      </w:r>
      <w:r w:rsidR="00C0337B">
        <w:rPr>
          <w:rFonts w:asciiTheme="majorBidi" w:hAnsiTheme="majorBidi" w:cstheme="majorBidi" w:hint="cs"/>
          <w:sz w:val="26"/>
          <w:szCs w:val="26"/>
          <w:rtl/>
          <w:lang w:bidi="ar-SY"/>
        </w:rPr>
        <w:t>2021</w:t>
      </w:r>
    </w:p>
    <w:p w:rsidR="007E5D09" w:rsidRPr="005E7145" w:rsidRDefault="007E5D09" w:rsidP="005E7145">
      <w:pPr>
        <w:pStyle w:val="Heading2"/>
        <w:numPr>
          <w:ilvl w:val="0"/>
          <w:numId w:val="0"/>
        </w:numPr>
        <w:bidi/>
        <w:ind w:left="4"/>
        <w:rPr>
          <w:sz w:val="26"/>
          <w:szCs w:val="26"/>
          <w:rtl/>
          <w:lang w:val="en-CA"/>
        </w:rPr>
      </w:pPr>
    </w:p>
    <w:p w:rsidR="007E5D09" w:rsidRDefault="007E5D09" w:rsidP="005E7145">
      <w:pPr>
        <w:pStyle w:val="StyleHeader4Para4Left0Firstline0"/>
        <w:numPr>
          <w:ilvl w:val="0"/>
          <w:numId w:val="0"/>
        </w:numPr>
        <w:bidi/>
        <w:rPr>
          <w:sz w:val="26"/>
          <w:szCs w:val="26"/>
          <w:rtl/>
          <w:lang w:bidi="ar-EG"/>
        </w:rPr>
      </w:pPr>
    </w:p>
    <w:p w:rsidR="00152C0D" w:rsidRDefault="00015F4A" w:rsidP="00047FAB">
      <w:pPr>
        <w:pStyle w:val="StyleHeader4Para4Left0Firstline0"/>
        <w:numPr>
          <w:ilvl w:val="0"/>
          <w:numId w:val="0"/>
        </w:numPr>
        <w:tabs>
          <w:tab w:val="clear" w:pos="2880"/>
          <w:tab w:val="clear" w:pos="5760"/>
        </w:tabs>
        <w:bidi/>
        <w:jc w:val="center"/>
        <w:rPr>
          <w:b/>
          <w:bCs/>
          <w:sz w:val="32"/>
          <w:szCs w:val="32"/>
          <w:rtl/>
          <w:lang w:bidi="ar-SA"/>
        </w:rPr>
      </w:pPr>
      <w:r>
        <w:rPr>
          <w:rFonts w:hint="cs"/>
          <w:b/>
          <w:bCs/>
          <w:sz w:val="32"/>
          <w:szCs w:val="32"/>
          <w:rtl/>
          <w:lang w:bidi="ar-SA"/>
        </w:rPr>
        <w:t>إضافة</w:t>
      </w:r>
    </w:p>
    <w:p w:rsidR="00015F4A" w:rsidRPr="00692FF5" w:rsidRDefault="00015F4A" w:rsidP="006A6EF4">
      <w:pPr>
        <w:pStyle w:val="StyleHeader4Para4Left0Firstline0"/>
        <w:numPr>
          <w:ilvl w:val="0"/>
          <w:numId w:val="0"/>
        </w:numPr>
        <w:tabs>
          <w:tab w:val="clear" w:pos="2880"/>
          <w:tab w:val="clear" w:pos="5760"/>
        </w:tabs>
        <w:bidi/>
        <w:jc w:val="center"/>
        <w:rPr>
          <w:b/>
          <w:bCs/>
          <w:sz w:val="32"/>
          <w:szCs w:val="32"/>
          <w:rtl/>
        </w:rPr>
      </w:pPr>
      <w:r w:rsidRPr="00135D4F">
        <w:rPr>
          <w:bCs/>
          <w:sz w:val="32"/>
          <w:szCs w:val="32"/>
          <w:rtl/>
          <w:lang w:val="en-CA"/>
        </w:rPr>
        <w:t xml:space="preserve">تقارير عن </w:t>
      </w:r>
      <w:r w:rsidRPr="00135D4F">
        <w:rPr>
          <w:rFonts w:hint="cs"/>
          <w:bCs/>
          <w:sz w:val="32"/>
          <w:szCs w:val="32"/>
          <w:rtl/>
          <w:lang w:val="en-CA"/>
        </w:rPr>
        <w:t>المشروعات</w:t>
      </w:r>
      <w:r w:rsidRPr="00135D4F">
        <w:rPr>
          <w:bCs/>
          <w:sz w:val="32"/>
          <w:szCs w:val="32"/>
          <w:rtl/>
          <w:lang w:val="en-CA"/>
        </w:rPr>
        <w:t xml:space="preserve"> </w:t>
      </w:r>
      <w:r w:rsidR="006A6EF4">
        <w:rPr>
          <w:rFonts w:hint="cs"/>
          <w:bCs/>
          <w:sz w:val="32"/>
          <w:szCs w:val="32"/>
          <w:rtl/>
          <w:lang w:val="en-CA"/>
        </w:rPr>
        <w:t>ذات</w:t>
      </w:r>
      <w:r w:rsidRPr="00135D4F">
        <w:rPr>
          <w:rFonts w:hint="cs"/>
          <w:bCs/>
          <w:sz w:val="32"/>
          <w:szCs w:val="32"/>
          <w:rtl/>
          <w:lang w:val="en-CA"/>
        </w:rPr>
        <w:t xml:space="preserve"> متطلبات إبلاغ محددة</w:t>
      </w:r>
    </w:p>
    <w:p w:rsidR="00152C0D" w:rsidRDefault="00460ED8" w:rsidP="00015F4A">
      <w:pPr>
        <w:pStyle w:val="StyleHeader4Para4Left0Firstline0"/>
        <w:numPr>
          <w:ilvl w:val="0"/>
          <w:numId w:val="27"/>
        </w:numPr>
        <w:tabs>
          <w:tab w:val="clear" w:pos="2880"/>
          <w:tab w:val="clear" w:pos="5760"/>
        </w:tabs>
        <w:bidi/>
        <w:ind w:left="0" w:firstLine="0"/>
        <w:rPr>
          <w:sz w:val="26"/>
          <w:szCs w:val="26"/>
          <w:lang w:bidi="ar-SA"/>
        </w:rPr>
      </w:pPr>
      <w:r>
        <w:rPr>
          <w:rFonts w:hint="cs"/>
          <w:sz w:val="26"/>
          <w:szCs w:val="26"/>
          <w:rtl/>
          <w:lang w:bidi="ar-SA"/>
        </w:rPr>
        <w:t>تشمل الوثيقة الحالية تقارير عن المشروعات التي لديها متطلبات إبلاغ محددة تتعلق بالصين التي تستحق التقديم في الاجتماع السابع والثمانين، أو التي كانت مستحقة التقديم في الاجتماع السادس والثمانين ولكن تأجل النظر فيها إلى الاجتماع السابع والثمانين</w:t>
      </w:r>
      <w:r w:rsidR="00047FAB">
        <w:rPr>
          <w:rFonts w:hint="cs"/>
          <w:sz w:val="26"/>
          <w:szCs w:val="26"/>
          <w:rtl/>
          <w:lang w:bidi="ar-SA"/>
        </w:rPr>
        <w:t xml:space="preserve"> وفقا للإجراءات المتفق عليها لت</w:t>
      </w:r>
      <w:r>
        <w:rPr>
          <w:rFonts w:hint="cs"/>
          <w:sz w:val="26"/>
          <w:szCs w:val="26"/>
          <w:rtl/>
          <w:lang w:bidi="ar-SA"/>
        </w:rPr>
        <w:t>سيير الاجتماع السادس والثمانين.</w:t>
      </w:r>
      <w:r>
        <w:rPr>
          <w:rStyle w:val="FootnoteReference"/>
          <w:sz w:val="26"/>
          <w:szCs w:val="26"/>
          <w:rtl/>
          <w:lang w:bidi="ar-SA"/>
        </w:rPr>
        <w:footnoteReference w:id="1"/>
      </w:r>
    </w:p>
    <w:p w:rsidR="00460ED8" w:rsidRDefault="00460ED8" w:rsidP="00460ED8">
      <w:pPr>
        <w:pStyle w:val="StyleHeader4Para4Left0Firstline0"/>
        <w:numPr>
          <w:ilvl w:val="0"/>
          <w:numId w:val="27"/>
        </w:numPr>
        <w:tabs>
          <w:tab w:val="clear" w:pos="2880"/>
          <w:tab w:val="clear" w:pos="5760"/>
        </w:tabs>
        <w:bidi/>
        <w:ind w:left="0" w:firstLine="0"/>
        <w:rPr>
          <w:sz w:val="26"/>
          <w:szCs w:val="26"/>
          <w:lang w:bidi="ar-SA"/>
        </w:rPr>
      </w:pPr>
      <w:r>
        <w:rPr>
          <w:rFonts w:hint="cs"/>
          <w:sz w:val="26"/>
          <w:szCs w:val="26"/>
          <w:rtl/>
          <w:lang w:bidi="ar-EG"/>
        </w:rPr>
        <w:t>وتنقسم الوثيقة إلى الأجزاء الثلاثة التالية:</w:t>
      </w:r>
    </w:p>
    <w:tbl>
      <w:tblPr>
        <w:tblStyle w:val="TableGrid10"/>
        <w:bidiVisual/>
        <w:tblW w:w="8635" w:type="dxa"/>
        <w:tblInd w:w="720" w:type="dxa"/>
        <w:tblLayout w:type="fixed"/>
        <w:tblLook w:val="04A0" w:firstRow="1" w:lastRow="0" w:firstColumn="1" w:lastColumn="0" w:noHBand="0" w:noVBand="1"/>
      </w:tblPr>
      <w:tblGrid>
        <w:gridCol w:w="715"/>
        <w:gridCol w:w="6683"/>
        <w:gridCol w:w="1237"/>
      </w:tblGrid>
      <w:tr w:rsidR="008F631E" w:rsidRPr="00271953" w:rsidTr="008F631E">
        <w:trPr>
          <w:tblHeader/>
        </w:trPr>
        <w:tc>
          <w:tcPr>
            <w:tcW w:w="715" w:type="dxa"/>
          </w:tcPr>
          <w:p w:rsidR="008F631E" w:rsidRPr="008F631E" w:rsidRDefault="008F631E" w:rsidP="00375B22">
            <w:pPr>
              <w:widowControl w:val="0"/>
              <w:bidi/>
              <w:spacing w:before="40" w:after="40"/>
              <w:jc w:val="left"/>
              <w:rPr>
                <w:b/>
                <w:szCs w:val="24"/>
                <w:rtl/>
                <w:lang w:bidi="ar-EG"/>
              </w:rPr>
            </w:pPr>
            <w:r w:rsidRPr="008F631E">
              <w:rPr>
                <w:rFonts w:hint="cs"/>
                <w:b/>
                <w:szCs w:val="24"/>
                <w:rtl/>
                <w:lang w:bidi="ar-EG"/>
              </w:rPr>
              <w:t>الجزء</w:t>
            </w:r>
          </w:p>
        </w:tc>
        <w:tc>
          <w:tcPr>
            <w:tcW w:w="6683" w:type="dxa"/>
            <w:vAlign w:val="center"/>
          </w:tcPr>
          <w:p w:rsidR="008F631E" w:rsidRPr="008F631E" w:rsidRDefault="008F631E" w:rsidP="00375B22">
            <w:pPr>
              <w:widowControl w:val="0"/>
              <w:bidi/>
              <w:spacing w:before="40" w:after="40"/>
              <w:jc w:val="center"/>
              <w:rPr>
                <w:b/>
                <w:szCs w:val="24"/>
              </w:rPr>
            </w:pPr>
            <w:r w:rsidRPr="008F631E">
              <w:rPr>
                <w:rFonts w:hint="cs"/>
                <w:b/>
                <w:szCs w:val="24"/>
                <w:rtl/>
              </w:rPr>
              <w:t>عنوان الوثيقة</w:t>
            </w:r>
          </w:p>
        </w:tc>
        <w:tc>
          <w:tcPr>
            <w:tcW w:w="1237" w:type="dxa"/>
            <w:vAlign w:val="center"/>
          </w:tcPr>
          <w:p w:rsidR="008F631E" w:rsidRPr="008F631E" w:rsidRDefault="008F631E" w:rsidP="00375B22">
            <w:pPr>
              <w:widowControl w:val="0"/>
              <w:bidi/>
              <w:spacing w:before="40" w:after="40"/>
              <w:jc w:val="center"/>
              <w:rPr>
                <w:b/>
                <w:szCs w:val="24"/>
              </w:rPr>
            </w:pPr>
            <w:r w:rsidRPr="008F631E">
              <w:rPr>
                <w:rFonts w:hint="cs"/>
                <w:b/>
                <w:szCs w:val="24"/>
                <w:rtl/>
              </w:rPr>
              <w:t>الفقرات</w:t>
            </w:r>
          </w:p>
        </w:tc>
      </w:tr>
      <w:tr w:rsidR="008F631E" w:rsidRPr="00271953" w:rsidTr="008F631E">
        <w:tc>
          <w:tcPr>
            <w:tcW w:w="715" w:type="dxa"/>
            <w:vAlign w:val="center"/>
          </w:tcPr>
          <w:p w:rsidR="008F631E" w:rsidRPr="008F631E" w:rsidRDefault="008F631E" w:rsidP="008F631E">
            <w:pPr>
              <w:widowControl w:val="0"/>
              <w:bidi/>
              <w:jc w:val="center"/>
              <w:rPr>
                <w:szCs w:val="24"/>
                <w:lang w:val="en-US"/>
              </w:rPr>
            </w:pPr>
            <w:r w:rsidRPr="008F631E">
              <w:rPr>
                <w:rFonts w:hint="cs"/>
                <w:szCs w:val="24"/>
                <w:rtl/>
              </w:rPr>
              <w:t>الأول</w:t>
            </w:r>
          </w:p>
        </w:tc>
        <w:tc>
          <w:tcPr>
            <w:tcW w:w="6683" w:type="dxa"/>
            <w:vAlign w:val="center"/>
          </w:tcPr>
          <w:p w:rsidR="008F631E" w:rsidRPr="008F631E" w:rsidRDefault="00375B22" w:rsidP="007909BB">
            <w:pPr>
              <w:bidi/>
              <w:spacing w:before="40" w:after="40"/>
              <w:jc w:val="left"/>
              <w:rPr>
                <w:szCs w:val="24"/>
                <w:lang w:bidi="ar-EG"/>
              </w:rPr>
            </w:pPr>
            <w:r w:rsidRPr="00375B22">
              <w:rPr>
                <w:rFonts w:hint="cs"/>
                <w:szCs w:val="24"/>
                <w:rtl/>
                <w:lang w:val="en-CA"/>
              </w:rPr>
              <w:t>تقارير المراجعة المالية لقطاعات إنتاج الكلوروفلوروكربون، والهالونات ورغاوي البولي</w:t>
            </w:r>
            <w:r w:rsidR="00047FAB">
              <w:rPr>
                <w:rFonts w:hint="cs"/>
                <w:szCs w:val="24"/>
                <w:rtl/>
                <w:lang w:val="en-CA"/>
              </w:rPr>
              <w:t xml:space="preserve"> ي</w:t>
            </w:r>
            <w:r w:rsidRPr="00375B22">
              <w:rPr>
                <w:rFonts w:hint="cs"/>
                <w:szCs w:val="24"/>
                <w:rtl/>
                <w:lang w:val="en-CA"/>
              </w:rPr>
              <w:t xml:space="preserve">وريثان </w:t>
            </w:r>
            <w:r w:rsidR="007909BB">
              <w:rPr>
                <w:rFonts w:hint="cs"/>
                <w:szCs w:val="24"/>
                <w:rtl/>
                <w:lang w:val="en-CA"/>
              </w:rPr>
              <w:t>وعامل التصنيع</w:t>
            </w:r>
            <w:r w:rsidRPr="00375B22">
              <w:rPr>
                <w:rFonts w:hint="cs"/>
                <w:szCs w:val="24"/>
                <w:rtl/>
                <w:lang w:val="en-CA"/>
              </w:rPr>
              <w:t xml:space="preserve"> الثاني، والمذيبات وخدمة التبريد في الصين</w:t>
            </w:r>
            <w:r w:rsidRPr="00375B22">
              <w:rPr>
                <w:rFonts w:hint="cs"/>
                <w:szCs w:val="24"/>
                <w:rtl/>
                <w:lang w:bidi="ar-EG"/>
              </w:rPr>
              <w:t xml:space="preserve"> </w:t>
            </w:r>
            <w:r w:rsidR="008F631E" w:rsidRPr="00375B22">
              <w:rPr>
                <w:rFonts w:hint="cs"/>
                <w:szCs w:val="24"/>
                <w:rtl/>
                <w:lang w:bidi="ar-EG"/>
              </w:rPr>
              <w:t>(المقرر 86/41)</w:t>
            </w:r>
          </w:p>
        </w:tc>
        <w:tc>
          <w:tcPr>
            <w:tcW w:w="1237" w:type="dxa"/>
            <w:vAlign w:val="center"/>
          </w:tcPr>
          <w:p w:rsidR="008F631E" w:rsidRPr="008F631E" w:rsidRDefault="008F631E" w:rsidP="008F631E">
            <w:pPr>
              <w:widowControl w:val="0"/>
              <w:bidi/>
              <w:jc w:val="center"/>
              <w:rPr>
                <w:szCs w:val="24"/>
              </w:rPr>
            </w:pPr>
            <w:r w:rsidRPr="008F631E">
              <w:rPr>
                <w:rFonts w:hint="cs"/>
                <w:szCs w:val="24"/>
                <w:rtl/>
              </w:rPr>
              <w:t>3 - 11</w:t>
            </w:r>
          </w:p>
        </w:tc>
      </w:tr>
      <w:tr w:rsidR="008F631E" w:rsidRPr="00271953" w:rsidTr="008F631E">
        <w:tc>
          <w:tcPr>
            <w:tcW w:w="715" w:type="dxa"/>
            <w:vAlign w:val="center"/>
          </w:tcPr>
          <w:p w:rsidR="008F631E" w:rsidRPr="008F631E" w:rsidRDefault="008F631E" w:rsidP="008F631E">
            <w:pPr>
              <w:widowControl w:val="0"/>
              <w:bidi/>
              <w:jc w:val="center"/>
              <w:rPr>
                <w:szCs w:val="24"/>
              </w:rPr>
            </w:pPr>
            <w:r w:rsidRPr="008F631E">
              <w:rPr>
                <w:rFonts w:hint="cs"/>
                <w:szCs w:val="24"/>
                <w:rtl/>
              </w:rPr>
              <w:t>الثاني</w:t>
            </w:r>
          </w:p>
        </w:tc>
        <w:tc>
          <w:tcPr>
            <w:tcW w:w="6683" w:type="dxa"/>
            <w:vAlign w:val="center"/>
          </w:tcPr>
          <w:p w:rsidR="008F631E" w:rsidRPr="00375B22" w:rsidRDefault="008F631E" w:rsidP="00375B22">
            <w:pPr>
              <w:bidi/>
              <w:spacing w:before="40" w:after="40"/>
              <w:jc w:val="left"/>
              <w:rPr>
                <w:szCs w:val="24"/>
                <w:lang w:val="en-US" w:bidi="ar-EG"/>
              </w:rPr>
            </w:pPr>
            <w:r>
              <w:rPr>
                <w:rFonts w:hint="cs"/>
                <w:szCs w:val="24"/>
                <w:rtl/>
                <w:lang w:val="en-US" w:bidi="ar-EG"/>
              </w:rPr>
              <w:t>تقرير عن التقدم المحرز في تنفيذ الأنشطة الواردة في المقرر 83/41(هـ)</w:t>
            </w:r>
          </w:p>
        </w:tc>
        <w:tc>
          <w:tcPr>
            <w:tcW w:w="1237" w:type="dxa"/>
            <w:vAlign w:val="center"/>
          </w:tcPr>
          <w:p w:rsidR="008F631E" w:rsidRPr="008F631E" w:rsidRDefault="008F631E" w:rsidP="008F631E">
            <w:pPr>
              <w:widowControl w:val="0"/>
              <w:bidi/>
              <w:jc w:val="center"/>
              <w:rPr>
                <w:szCs w:val="24"/>
              </w:rPr>
            </w:pPr>
            <w:r w:rsidRPr="008F631E">
              <w:rPr>
                <w:szCs w:val="24"/>
              </w:rPr>
              <w:t>12 - 15</w:t>
            </w:r>
          </w:p>
        </w:tc>
      </w:tr>
      <w:tr w:rsidR="008F631E" w:rsidRPr="00271953" w:rsidTr="008F631E">
        <w:tc>
          <w:tcPr>
            <w:tcW w:w="715" w:type="dxa"/>
            <w:vAlign w:val="center"/>
          </w:tcPr>
          <w:p w:rsidR="008F631E" w:rsidRPr="008F631E" w:rsidRDefault="008F631E" w:rsidP="008F631E">
            <w:pPr>
              <w:widowControl w:val="0"/>
              <w:bidi/>
              <w:jc w:val="center"/>
              <w:rPr>
                <w:szCs w:val="24"/>
              </w:rPr>
            </w:pPr>
            <w:r w:rsidRPr="008F631E">
              <w:rPr>
                <w:rFonts w:hint="cs"/>
                <w:szCs w:val="24"/>
                <w:rtl/>
              </w:rPr>
              <w:t>الثالث</w:t>
            </w:r>
          </w:p>
        </w:tc>
        <w:tc>
          <w:tcPr>
            <w:tcW w:w="6683" w:type="dxa"/>
            <w:vAlign w:val="center"/>
          </w:tcPr>
          <w:p w:rsidR="008F631E" w:rsidRPr="00375B22" w:rsidRDefault="008F631E" w:rsidP="00375B22">
            <w:pPr>
              <w:bidi/>
              <w:spacing w:before="40" w:after="40"/>
              <w:jc w:val="left"/>
              <w:rPr>
                <w:szCs w:val="24"/>
                <w:lang w:val="en-US" w:bidi="ar-EG"/>
              </w:rPr>
            </w:pPr>
            <w:r>
              <w:rPr>
                <w:rFonts w:hint="cs"/>
                <w:szCs w:val="24"/>
                <w:rtl/>
                <w:lang w:val="en-US" w:bidi="ar-EG"/>
              </w:rPr>
              <w:t xml:space="preserve">دراسة لتحديد </w:t>
            </w:r>
            <w:r w:rsidRPr="008F631E">
              <w:rPr>
                <w:szCs w:val="24"/>
                <w:rtl/>
              </w:rPr>
              <w:t>الظروف التنظيمية وا</w:t>
            </w:r>
            <w:r>
              <w:rPr>
                <w:rFonts w:hint="cs"/>
                <w:szCs w:val="24"/>
                <w:rtl/>
              </w:rPr>
              <w:t>لإ</w:t>
            </w:r>
            <w:r w:rsidRPr="008F631E">
              <w:rPr>
                <w:szCs w:val="24"/>
                <w:rtl/>
              </w:rPr>
              <w:t>نفاذ والسياسات أو ظروف السوق التي قد تؤدي إلى إنتاج واستخدام غير مشروعين للكلوروفلوروكربون-11 والكلوروفلوروكربون-</w:t>
            </w:r>
            <w:r>
              <w:rPr>
                <w:rFonts w:hint="cs"/>
                <w:szCs w:val="24"/>
                <w:rtl/>
              </w:rPr>
              <w:t>12 (المقرر 83/41(د)</w:t>
            </w:r>
          </w:p>
        </w:tc>
        <w:tc>
          <w:tcPr>
            <w:tcW w:w="1237" w:type="dxa"/>
            <w:vAlign w:val="center"/>
          </w:tcPr>
          <w:p w:rsidR="008F631E" w:rsidRPr="008F631E" w:rsidRDefault="008F631E" w:rsidP="008F631E">
            <w:pPr>
              <w:widowControl w:val="0"/>
              <w:bidi/>
              <w:jc w:val="center"/>
              <w:rPr>
                <w:szCs w:val="24"/>
              </w:rPr>
            </w:pPr>
            <w:r w:rsidRPr="008F631E">
              <w:rPr>
                <w:szCs w:val="24"/>
              </w:rPr>
              <w:t>16 - 17</w:t>
            </w:r>
          </w:p>
        </w:tc>
      </w:tr>
    </w:tbl>
    <w:p w:rsidR="00460ED8" w:rsidRDefault="00460ED8" w:rsidP="00460ED8">
      <w:pPr>
        <w:pStyle w:val="StyleHeader4Para4Left0Firstline0"/>
        <w:numPr>
          <w:ilvl w:val="0"/>
          <w:numId w:val="0"/>
        </w:numPr>
        <w:tabs>
          <w:tab w:val="clear" w:pos="2880"/>
          <w:tab w:val="clear" w:pos="5760"/>
        </w:tabs>
        <w:bidi/>
        <w:rPr>
          <w:sz w:val="26"/>
          <w:szCs w:val="26"/>
          <w:lang w:bidi="ar-EG"/>
        </w:rPr>
      </w:pPr>
    </w:p>
    <w:p w:rsidR="00375B22" w:rsidRDefault="00375B22">
      <w:pPr>
        <w:jc w:val="left"/>
        <w:rPr>
          <w:sz w:val="26"/>
          <w:szCs w:val="26"/>
          <w:rtl/>
          <w:lang w:bidi="ar-EG"/>
        </w:rPr>
      </w:pPr>
      <w:r>
        <w:rPr>
          <w:sz w:val="26"/>
          <w:szCs w:val="26"/>
          <w:rtl/>
          <w:lang w:bidi="ar-EG"/>
        </w:rPr>
        <w:br w:type="page"/>
      </w:r>
    </w:p>
    <w:p w:rsidR="00375B22" w:rsidRPr="00375B22" w:rsidRDefault="00375B22" w:rsidP="004F44A4">
      <w:pPr>
        <w:pStyle w:val="StyleHeader4Para4Left0Firstline0"/>
        <w:numPr>
          <w:ilvl w:val="0"/>
          <w:numId w:val="0"/>
        </w:numPr>
        <w:tabs>
          <w:tab w:val="clear" w:pos="2880"/>
          <w:tab w:val="clear" w:pos="5760"/>
        </w:tabs>
        <w:bidi/>
        <w:ind w:left="1440" w:hanging="1440"/>
        <w:rPr>
          <w:b/>
          <w:bCs/>
          <w:sz w:val="28"/>
          <w:szCs w:val="28"/>
          <w:lang w:bidi="ar-SA"/>
        </w:rPr>
      </w:pPr>
      <w:r w:rsidRPr="00375B22">
        <w:rPr>
          <w:rFonts w:hint="cs"/>
          <w:b/>
          <w:bCs/>
          <w:sz w:val="28"/>
          <w:szCs w:val="28"/>
          <w:rtl/>
          <w:lang w:bidi="ar-EG"/>
        </w:rPr>
        <w:lastRenderedPageBreak/>
        <w:t>الجزء الأول:</w:t>
      </w:r>
      <w:r w:rsidRPr="00375B22">
        <w:rPr>
          <w:rFonts w:hint="cs"/>
          <w:b/>
          <w:bCs/>
          <w:sz w:val="28"/>
          <w:szCs w:val="28"/>
          <w:rtl/>
          <w:lang w:bidi="ar-EG"/>
        </w:rPr>
        <w:tab/>
      </w:r>
      <w:r w:rsidRPr="00375B22">
        <w:rPr>
          <w:rFonts w:hint="cs"/>
          <w:b/>
          <w:bCs/>
          <w:sz w:val="28"/>
          <w:szCs w:val="28"/>
          <w:rtl/>
          <w:lang w:val="en-CA"/>
        </w:rPr>
        <w:t>تقارير ال</w:t>
      </w:r>
      <w:r w:rsidR="004F44A4">
        <w:rPr>
          <w:rFonts w:hint="cs"/>
          <w:b/>
          <w:bCs/>
          <w:sz w:val="28"/>
          <w:szCs w:val="28"/>
          <w:rtl/>
          <w:lang w:val="en-CA"/>
        </w:rPr>
        <w:t>مراجعة</w:t>
      </w:r>
      <w:r w:rsidR="00C96FF1">
        <w:rPr>
          <w:rFonts w:hint="cs"/>
          <w:b/>
          <w:bCs/>
          <w:sz w:val="28"/>
          <w:szCs w:val="28"/>
          <w:rtl/>
          <w:lang w:val="en-CA"/>
        </w:rPr>
        <w:t xml:space="preserve"> المالي</w:t>
      </w:r>
      <w:r w:rsidR="004F44A4">
        <w:rPr>
          <w:rFonts w:hint="cs"/>
          <w:b/>
          <w:bCs/>
          <w:sz w:val="28"/>
          <w:szCs w:val="28"/>
          <w:rtl/>
          <w:lang w:val="en-CA"/>
        </w:rPr>
        <w:t>ة</w:t>
      </w:r>
      <w:r w:rsidRPr="00375B22">
        <w:rPr>
          <w:rFonts w:hint="cs"/>
          <w:b/>
          <w:bCs/>
          <w:sz w:val="28"/>
          <w:szCs w:val="28"/>
          <w:rtl/>
          <w:lang w:val="en-CA"/>
        </w:rPr>
        <w:t xml:space="preserve"> لقطاعات إنتاج الكلوروفلوروكربون، والهالونات ورغاوي البولي</w:t>
      </w:r>
      <w:r w:rsidR="00047FAB">
        <w:rPr>
          <w:rFonts w:hint="cs"/>
          <w:b/>
          <w:bCs/>
          <w:sz w:val="28"/>
          <w:szCs w:val="28"/>
          <w:rtl/>
          <w:lang w:val="en-CA"/>
        </w:rPr>
        <w:t xml:space="preserve"> ي</w:t>
      </w:r>
      <w:r w:rsidRPr="00375B22">
        <w:rPr>
          <w:rFonts w:hint="cs"/>
          <w:b/>
          <w:bCs/>
          <w:sz w:val="28"/>
          <w:szCs w:val="28"/>
          <w:rtl/>
          <w:lang w:val="en-CA"/>
        </w:rPr>
        <w:t>وريثان و</w:t>
      </w:r>
      <w:r w:rsidR="007909BB">
        <w:rPr>
          <w:rFonts w:hint="cs"/>
          <w:b/>
          <w:bCs/>
          <w:sz w:val="28"/>
          <w:szCs w:val="28"/>
          <w:rtl/>
          <w:lang w:val="en-CA"/>
        </w:rPr>
        <w:t>عامل التصنيع الثاني</w:t>
      </w:r>
      <w:r w:rsidRPr="00375B22">
        <w:rPr>
          <w:rFonts w:hint="cs"/>
          <w:b/>
          <w:bCs/>
          <w:sz w:val="28"/>
          <w:szCs w:val="28"/>
          <w:rtl/>
          <w:lang w:val="en-CA"/>
        </w:rPr>
        <w:t>، والمذيبات وخدمة التبري</w:t>
      </w:r>
      <w:r w:rsidRPr="00375B22">
        <w:rPr>
          <w:rFonts w:hint="cs"/>
          <w:b/>
          <w:bCs/>
          <w:sz w:val="28"/>
          <w:szCs w:val="28"/>
          <w:rtl/>
        </w:rPr>
        <w:t>د</w:t>
      </w:r>
    </w:p>
    <w:p w:rsidR="00375B22" w:rsidRPr="00375B22" w:rsidRDefault="00375B22" w:rsidP="00375B22">
      <w:pPr>
        <w:pStyle w:val="StyleHeader4Para4Left0Firstline0"/>
        <w:numPr>
          <w:ilvl w:val="0"/>
          <w:numId w:val="0"/>
        </w:numPr>
        <w:tabs>
          <w:tab w:val="clear" w:pos="2880"/>
          <w:tab w:val="clear" w:pos="5760"/>
        </w:tabs>
        <w:bidi/>
        <w:rPr>
          <w:b/>
          <w:bCs/>
          <w:sz w:val="26"/>
          <w:szCs w:val="26"/>
          <w:lang w:bidi="ar-SA"/>
        </w:rPr>
      </w:pPr>
      <w:r w:rsidRPr="00375B22">
        <w:rPr>
          <w:rFonts w:hint="cs"/>
          <w:b/>
          <w:bCs/>
          <w:sz w:val="26"/>
          <w:szCs w:val="26"/>
          <w:rtl/>
          <w:lang w:bidi="ar-SA"/>
        </w:rPr>
        <w:t>معلومات أساسية</w:t>
      </w:r>
    </w:p>
    <w:p w:rsidR="00375B22" w:rsidRDefault="00A051A8" w:rsidP="00047FAB">
      <w:pPr>
        <w:pStyle w:val="StyleHeader4Para4Left0Firstline0"/>
        <w:numPr>
          <w:ilvl w:val="0"/>
          <w:numId w:val="27"/>
        </w:numPr>
        <w:tabs>
          <w:tab w:val="clear" w:pos="2880"/>
          <w:tab w:val="clear" w:pos="5760"/>
        </w:tabs>
        <w:bidi/>
        <w:ind w:left="0" w:firstLine="0"/>
        <w:rPr>
          <w:sz w:val="26"/>
          <w:szCs w:val="26"/>
          <w:lang w:bidi="ar-SA"/>
        </w:rPr>
      </w:pPr>
      <w:r w:rsidRPr="000864BF">
        <w:rPr>
          <w:szCs w:val="26"/>
          <w:rtl/>
          <w:lang w:val="en-CA"/>
        </w:rPr>
        <w:t>نظرت اللجنة التنفيذية</w:t>
      </w:r>
      <w:r>
        <w:rPr>
          <w:rFonts w:hint="cs"/>
          <w:sz w:val="26"/>
          <w:szCs w:val="26"/>
          <w:rtl/>
        </w:rPr>
        <w:t xml:space="preserve"> </w:t>
      </w:r>
      <w:r w:rsidR="00050B22">
        <w:rPr>
          <w:rFonts w:hint="cs"/>
          <w:sz w:val="26"/>
          <w:szCs w:val="26"/>
          <w:rtl/>
        </w:rPr>
        <w:t xml:space="preserve">في </w:t>
      </w:r>
      <w:r>
        <w:rPr>
          <w:rFonts w:hint="cs"/>
          <w:sz w:val="26"/>
          <w:szCs w:val="26"/>
          <w:rtl/>
        </w:rPr>
        <w:t>ا</w:t>
      </w:r>
      <w:r w:rsidR="00050B22">
        <w:rPr>
          <w:rFonts w:hint="cs"/>
          <w:sz w:val="26"/>
          <w:szCs w:val="26"/>
          <w:rtl/>
        </w:rPr>
        <w:t>جتماع</w:t>
      </w:r>
      <w:r>
        <w:rPr>
          <w:rFonts w:hint="cs"/>
          <w:sz w:val="26"/>
          <w:szCs w:val="26"/>
          <w:rtl/>
        </w:rPr>
        <w:t>ها</w:t>
      </w:r>
      <w:r w:rsidR="00050B22">
        <w:rPr>
          <w:rFonts w:hint="cs"/>
          <w:sz w:val="26"/>
          <w:szCs w:val="26"/>
          <w:rtl/>
        </w:rPr>
        <w:t xml:space="preserve"> الرابع والثمانين، </w:t>
      </w:r>
      <w:r w:rsidR="00F603FB" w:rsidRPr="000864BF">
        <w:rPr>
          <w:szCs w:val="26"/>
          <w:rtl/>
          <w:lang w:val="en-CA"/>
        </w:rPr>
        <w:t>في تقارير ال</w:t>
      </w:r>
      <w:r w:rsidR="00F603FB">
        <w:rPr>
          <w:rFonts w:hint="cs"/>
          <w:szCs w:val="26"/>
          <w:rtl/>
          <w:lang w:val="en-CA"/>
        </w:rPr>
        <w:t>مراجعة</w:t>
      </w:r>
      <w:r w:rsidR="00F603FB" w:rsidRPr="000864BF">
        <w:rPr>
          <w:szCs w:val="26"/>
          <w:rtl/>
          <w:lang w:val="en-CA"/>
        </w:rPr>
        <w:t xml:space="preserve"> المالي</w:t>
      </w:r>
      <w:r w:rsidR="00F603FB">
        <w:rPr>
          <w:rFonts w:hint="cs"/>
          <w:szCs w:val="26"/>
          <w:rtl/>
          <w:lang w:val="en-CA"/>
        </w:rPr>
        <w:t>ة</w:t>
      </w:r>
      <w:r w:rsidR="00F603FB" w:rsidRPr="000864BF">
        <w:rPr>
          <w:szCs w:val="26"/>
          <w:rtl/>
          <w:lang w:val="en-CA"/>
        </w:rPr>
        <w:t xml:space="preserve"> ل</w:t>
      </w:r>
      <w:r w:rsidR="00047FAB">
        <w:rPr>
          <w:rFonts w:hint="cs"/>
          <w:szCs w:val="26"/>
          <w:rtl/>
          <w:lang w:val="en-CA"/>
        </w:rPr>
        <w:t xml:space="preserve">قطاعات </w:t>
      </w:r>
      <w:r w:rsidR="00F603FB" w:rsidRPr="000864BF">
        <w:rPr>
          <w:szCs w:val="26"/>
          <w:rtl/>
          <w:lang w:val="en-CA"/>
        </w:rPr>
        <w:t>إنتاج الكلوروفلوروكربون، والهالون، ورغوة البولي يوريثان، وعامل التصنيع الثاني، وقطاعي خدمة التبريد والمذيبات، حيث تم تقديم تحديث للأنشطة المنفذة في خطة كل قطاع.</w:t>
      </w:r>
      <w:r>
        <w:rPr>
          <w:rStyle w:val="FootnoteReference"/>
          <w:szCs w:val="26"/>
          <w:rtl/>
          <w:lang w:val="en-CA"/>
        </w:rPr>
        <w:footnoteReference w:id="2"/>
      </w:r>
      <w:r w:rsidR="00F603FB" w:rsidRPr="000864BF">
        <w:rPr>
          <w:szCs w:val="26"/>
          <w:rtl/>
          <w:lang w:val="en-CA"/>
        </w:rPr>
        <w:t xml:space="preserve"> وبالتالي، طلبت اللجنة التنفيذية، من جملة أمور أخرى، من حكومة الصين من خلال الوكالة المنفذة ذات الصلة، أن تقدم في الاجتماع الخامس والثمانين تقارير ال</w:t>
      </w:r>
      <w:r w:rsidR="00047FAB">
        <w:rPr>
          <w:rFonts w:hint="cs"/>
          <w:szCs w:val="26"/>
          <w:rtl/>
          <w:lang w:val="en-CA"/>
        </w:rPr>
        <w:t>مراجعة</w:t>
      </w:r>
      <w:r w:rsidR="00F603FB" w:rsidRPr="000864BF">
        <w:rPr>
          <w:szCs w:val="26"/>
          <w:rtl/>
          <w:lang w:val="en-CA"/>
        </w:rPr>
        <w:t xml:space="preserve"> المالي</w:t>
      </w:r>
      <w:r w:rsidR="00047FAB">
        <w:rPr>
          <w:rFonts w:hint="cs"/>
          <w:szCs w:val="26"/>
          <w:rtl/>
          <w:lang w:val="en-CA"/>
        </w:rPr>
        <w:t>ة</w:t>
      </w:r>
      <w:r w:rsidR="00F603FB" w:rsidRPr="000864BF">
        <w:rPr>
          <w:szCs w:val="26"/>
          <w:rtl/>
          <w:lang w:val="en-CA"/>
        </w:rPr>
        <w:t xml:space="preserve"> بتاريخِ 31 ديسمبر/</w:t>
      </w:r>
      <w:r>
        <w:rPr>
          <w:rFonts w:hint="cs"/>
          <w:szCs w:val="26"/>
          <w:rtl/>
          <w:lang w:val="en-CA"/>
        </w:rPr>
        <w:t xml:space="preserve"> </w:t>
      </w:r>
      <w:r w:rsidR="00F603FB" w:rsidRPr="000864BF">
        <w:rPr>
          <w:szCs w:val="26"/>
          <w:rtl/>
          <w:lang w:val="en-CA"/>
        </w:rPr>
        <w:t>كانون الأول 2019 ل</w:t>
      </w:r>
      <w:r w:rsidR="00047FAB">
        <w:rPr>
          <w:rFonts w:hint="cs"/>
          <w:szCs w:val="26"/>
          <w:rtl/>
          <w:lang w:val="en-CA"/>
        </w:rPr>
        <w:t xml:space="preserve">خطط قطاعات </w:t>
      </w:r>
      <w:r w:rsidR="00F603FB" w:rsidRPr="000864BF">
        <w:rPr>
          <w:szCs w:val="26"/>
          <w:rtl/>
          <w:lang w:val="en-CA"/>
        </w:rPr>
        <w:t>إنتاج الكلوروفلوروكربون، والهالون، ورغوة البولي يوريثان، وعامل التصنيع الثاني، وخدمة التبريد، وخطط قطاع المذيبات، وتقارير إنجاز المشروع ل</w:t>
      </w:r>
      <w:r w:rsidR="00047FAB">
        <w:rPr>
          <w:rFonts w:hint="cs"/>
          <w:szCs w:val="26"/>
          <w:rtl/>
          <w:lang w:val="en-CA"/>
        </w:rPr>
        <w:t xml:space="preserve">خطط قطاعات </w:t>
      </w:r>
      <w:r w:rsidR="00F603FB" w:rsidRPr="000864BF">
        <w:rPr>
          <w:szCs w:val="26"/>
          <w:rtl/>
          <w:lang w:val="en-CA"/>
        </w:rPr>
        <w:t xml:space="preserve">إنتاج الكلوروفلوروكربون، ورغوة البولي يوريثان، وخدمة التبريد، </w:t>
      </w:r>
      <w:r w:rsidR="00047FAB">
        <w:rPr>
          <w:rFonts w:hint="cs"/>
          <w:szCs w:val="26"/>
          <w:rtl/>
          <w:lang w:val="en-CA"/>
        </w:rPr>
        <w:t>و</w:t>
      </w:r>
      <w:r w:rsidR="00F603FB" w:rsidRPr="000864BF">
        <w:rPr>
          <w:szCs w:val="26"/>
          <w:rtl/>
          <w:lang w:val="en-CA"/>
        </w:rPr>
        <w:t>المذيبات؛ وإعادة أرصدة التمويل المتاحة بتاريخِ 31 ديسمبر/</w:t>
      </w:r>
      <w:r w:rsidR="00047FAB">
        <w:rPr>
          <w:rFonts w:hint="cs"/>
          <w:szCs w:val="26"/>
          <w:rtl/>
          <w:lang w:val="en-CA"/>
        </w:rPr>
        <w:t xml:space="preserve"> </w:t>
      </w:r>
      <w:r w:rsidR="00F603FB" w:rsidRPr="000864BF">
        <w:rPr>
          <w:szCs w:val="26"/>
          <w:rtl/>
          <w:lang w:val="en-CA"/>
        </w:rPr>
        <w:t>كانون الأول 2019 المرتبطة بإنتاج الكلوروفلوروكربون، ورغوة البولي يوريثان، وخدمة التبريد وخطط قطاع المذيبات إلى الصندوق المتعدد الأطراف في الاجتماع الخامس والثمانين (المقرر 84/39(ج)(1) و(ج)(2).</w:t>
      </w:r>
    </w:p>
    <w:p w:rsidR="00375B22" w:rsidRDefault="00BA6018" w:rsidP="00C86673">
      <w:pPr>
        <w:pStyle w:val="StyleHeader4Para4Left0Firstline0"/>
        <w:numPr>
          <w:ilvl w:val="0"/>
          <w:numId w:val="27"/>
        </w:numPr>
        <w:tabs>
          <w:tab w:val="clear" w:pos="2880"/>
          <w:tab w:val="clear" w:pos="5760"/>
        </w:tabs>
        <w:bidi/>
        <w:ind w:left="0" w:firstLine="0"/>
        <w:rPr>
          <w:sz w:val="26"/>
          <w:szCs w:val="26"/>
          <w:lang w:bidi="ar-SA"/>
        </w:rPr>
      </w:pPr>
      <w:r>
        <w:rPr>
          <w:rFonts w:hint="cs"/>
          <w:sz w:val="26"/>
          <w:szCs w:val="26"/>
          <w:rtl/>
          <w:lang w:bidi="ar-SA"/>
        </w:rPr>
        <w:t>ووفقا للمقرر 84/39(</w:t>
      </w:r>
      <w:r w:rsidR="00C86673">
        <w:rPr>
          <w:rFonts w:hint="cs"/>
          <w:sz w:val="26"/>
          <w:szCs w:val="26"/>
          <w:rtl/>
          <w:lang w:bidi="ar-SA"/>
        </w:rPr>
        <w:t>ج</w:t>
      </w:r>
      <w:r>
        <w:rPr>
          <w:rFonts w:hint="cs"/>
          <w:sz w:val="26"/>
          <w:szCs w:val="26"/>
          <w:rtl/>
          <w:lang w:bidi="ar-SA"/>
        </w:rPr>
        <w:t xml:space="preserve">)(1)، </w:t>
      </w:r>
      <w:r w:rsidR="004F44A4">
        <w:rPr>
          <w:rFonts w:hint="cs"/>
          <w:sz w:val="26"/>
          <w:szCs w:val="26"/>
          <w:rtl/>
          <w:lang w:bidi="ar-SA"/>
        </w:rPr>
        <w:t>قدمت الوكالات المنفذة ذات الصلة، بالنيابة عن حكومة الصين، إلى الاجتماع الخامس والثانين تقارير المراجعة المالية</w:t>
      </w:r>
      <w:r w:rsidR="00274E88">
        <w:rPr>
          <w:rFonts w:hint="cs"/>
          <w:sz w:val="26"/>
          <w:szCs w:val="26"/>
          <w:rtl/>
          <w:lang w:bidi="ar-SA"/>
        </w:rPr>
        <w:t xml:space="preserve"> حتى 31 ديسمبر/ كانون الأول 2019 وتقارير إنجاز المشروع لقطاعات إنتاج الكلوروفلوروكربون، ورغاوي البولي</w:t>
      </w:r>
      <w:r w:rsidR="00C86673">
        <w:rPr>
          <w:rFonts w:hint="cs"/>
          <w:sz w:val="26"/>
          <w:szCs w:val="26"/>
          <w:rtl/>
          <w:lang w:bidi="ar-SA"/>
        </w:rPr>
        <w:t xml:space="preserve"> ي</w:t>
      </w:r>
      <w:r w:rsidR="00274E88">
        <w:rPr>
          <w:rFonts w:hint="cs"/>
          <w:sz w:val="26"/>
          <w:szCs w:val="26"/>
          <w:rtl/>
          <w:lang w:bidi="ar-SA"/>
        </w:rPr>
        <w:t>وريثان، وخدمة التبريد، والمذيبات. وقدمت تقارير نهائية تكميلية لقطاعي خدمة التبريد والمذيبات فض</w:t>
      </w:r>
      <w:r w:rsidR="00C86673">
        <w:rPr>
          <w:rFonts w:hint="cs"/>
          <w:sz w:val="26"/>
          <w:szCs w:val="26"/>
          <w:rtl/>
          <w:lang w:bidi="ar-SA"/>
        </w:rPr>
        <w:t>لا</w:t>
      </w:r>
      <w:r w:rsidR="00274E88">
        <w:rPr>
          <w:rFonts w:hint="cs"/>
          <w:sz w:val="26"/>
          <w:szCs w:val="26"/>
          <w:rtl/>
          <w:lang w:bidi="ar-SA"/>
        </w:rPr>
        <w:t xml:space="preserve"> عن تحديث عن التقدم المحرز في عامل التصنيع الثاني</w:t>
      </w:r>
      <w:r w:rsidR="004F44A4">
        <w:rPr>
          <w:rFonts w:hint="cs"/>
          <w:sz w:val="26"/>
          <w:szCs w:val="26"/>
          <w:rtl/>
          <w:lang w:bidi="ar-SA"/>
        </w:rPr>
        <w:t>.</w:t>
      </w:r>
      <w:r w:rsidR="004F44A4">
        <w:rPr>
          <w:rStyle w:val="FootnoteReference"/>
          <w:sz w:val="26"/>
          <w:szCs w:val="26"/>
          <w:rtl/>
          <w:lang w:bidi="ar-SA"/>
        </w:rPr>
        <w:footnoteReference w:id="3"/>
      </w:r>
    </w:p>
    <w:p w:rsidR="00375B22" w:rsidRDefault="00274E88" w:rsidP="00C86673">
      <w:pPr>
        <w:pStyle w:val="StyleHeader4Para4Left0Firstline0"/>
        <w:numPr>
          <w:ilvl w:val="0"/>
          <w:numId w:val="27"/>
        </w:numPr>
        <w:tabs>
          <w:tab w:val="clear" w:pos="2880"/>
          <w:tab w:val="clear" w:pos="5760"/>
        </w:tabs>
        <w:bidi/>
        <w:ind w:left="0" w:firstLine="0"/>
        <w:rPr>
          <w:sz w:val="26"/>
          <w:szCs w:val="26"/>
          <w:lang w:bidi="ar-SA"/>
        </w:rPr>
      </w:pPr>
      <w:r>
        <w:rPr>
          <w:rFonts w:hint="cs"/>
          <w:sz w:val="26"/>
          <w:szCs w:val="26"/>
          <w:rtl/>
          <w:lang w:bidi="ar-EG"/>
        </w:rPr>
        <w:t>ولم يتم النظر في هذه المسألة في إطار عملية الموافقة فيما بين الدورات المنشأة للاجتماع الخامس والثمانين. ونظرا لأن الاجتماع قد تأجل نتيجة للقيود المرتبطة بجائحة كوفيد</w:t>
      </w:r>
      <w:r w:rsidR="00C86673">
        <w:rPr>
          <w:rFonts w:hint="cs"/>
          <w:sz w:val="26"/>
          <w:szCs w:val="26"/>
          <w:rtl/>
          <w:lang w:bidi="ar-EG"/>
        </w:rPr>
        <w:t>-</w:t>
      </w:r>
      <w:r>
        <w:rPr>
          <w:rFonts w:hint="cs"/>
          <w:sz w:val="26"/>
          <w:szCs w:val="26"/>
          <w:rtl/>
          <w:lang w:bidi="ar-EG"/>
        </w:rPr>
        <w:t>19، أدرجت المسألة مرة أخرى للنظر فيها في الاجتماع السادس والثمانين</w:t>
      </w:r>
      <w:r w:rsidR="004F44A4">
        <w:rPr>
          <w:rFonts w:hint="cs"/>
          <w:sz w:val="26"/>
          <w:szCs w:val="26"/>
          <w:rtl/>
          <w:lang w:bidi="ar-EG"/>
        </w:rPr>
        <w:t>.</w:t>
      </w:r>
      <w:r w:rsidR="004F44A4">
        <w:rPr>
          <w:rStyle w:val="FootnoteReference"/>
          <w:sz w:val="26"/>
          <w:szCs w:val="26"/>
          <w:rtl/>
          <w:lang w:bidi="ar-SA"/>
        </w:rPr>
        <w:footnoteReference w:id="4"/>
      </w:r>
      <w:r w:rsidR="004F44A4">
        <w:rPr>
          <w:rFonts w:hint="cs"/>
          <w:sz w:val="26"/>
          <w:szCs w:val="26"/>
          <w:rtl/>
          <w:lang w:bidi="ar-EG"/>
        </w:rPr>
        <w:t xml:space="preserve"> </w:t>
      </w:r>
      <w:r>
        <w:rPr>
          <w:rFonts w:hint="cs"/>
          <w:sz w:val="26"/>
          <w:szCs w:val="26"/>
          <w:rtl/>
          <w:lang w:bidi="ar-EG"/>
        </w:rPr>
        <w:t>ومن خلال عملية الموافقة فيما بين الدورات المنشأة للاجتماع السادس والثمانين في نوفمبر/ تشرين الثاني 2020، نظرت اللجنة التنفيذية في المسألة وقررت ما يلي</w:t>
      </w:r>
      <w:r w:rsidR="00BA6018">
        <w:rPr>
          <w:rFonts w:hint="cs"/>
          <w:sz w:val="26"/>
          <w:szCs w:val="26"/>
          <w:rtl/>
          <w:lang w:bidi="ar-SA"/>
        </w:rPr>
        <w:t>:</w:t>
      </w:r>
      <w:r w:rsidR="004F44A4">
        <w:rPr>
          <w:rStyle w:val="FootnoteReference"/>
          <w:sz w:val="26"/>
          <w:szCs w:val="26"/>
          <w:rtl/>
          <w:lang w:bidi="ar-SA"/>
        </w:rPr>
        <w:footnoteReference w:id="5"/>
      </w:r>
    </w:p>
    <w:p w:rsidR="00BA6018" w:rsidRPr="00CB6DE6" w:rsidRDefault="00BA6018" w:rsidP="00BA6018">
      <w:pPr>
        <w:pStyle w:val="ListParagraph"/>
        <w:numPr>
          <w:ilvl w:val="0"/>
          <w:numId w:val="28"/>
        </w:numPr>
        <w:bidi/>
        <w:spacing w:after="240" w:line="22" w:lineRule="atLeast"/>
        <w:ind w:hanging="720"/>
        <w:contextualSpacing w:val="0"/>
        <w:outlineLvl w:val="1"/>
        <w:rPr>
          <w:szCs w:val="26"/>
          <w:lang w:val="en-CA"/>
        </w:rPr>
      </w:pPr>
      <w:r w:rsidRPr="00CB6DE6">
        <w:rPr>
          <w:rFonts w:hint="cs"/>
          <w:szCs w:val="26"/>
          <w:rtl/>
          <w:lang w:val="en-CA"/>
        </w:rPr>
        <w:t>الإحاطة علما بما يلي:</w:t>
      </w:r>
    </w:p>
    <w:p w:rsidR="00BA6018" w:rsidRPr="00CB6DE6" w:rsidRDefault="00BA6018" w:rsidP="00274E88">
      <w:pPr>
        <w:pStyle w:val="ListParagraph"/>
        <w:numPr>
          <w:ilvl w:val="0"/>
          <w:numId w:val="29"/>
        </w:numPr>
        <w:tabs>
          <w:tab w:val="left" w:pos="6521"/>
        </w:tabs>
        <w:bidi/>
        <w:spacing w:after="240" w:line="22" w:lineRule="atLeast"/>
        <w:ind w:left="2160" w:hanging="720"/>
        <w:contextualSpacing w:val="0"/>
        <w:outlineLvl w:val="2"/>
        <w:rPr>
          <w:szCs w:val="26"/>
          <w:lang w:val="en-CA"/>
        </w:rPr>
      </w:pPr>
      <w:r w:rsidRPr="00CB6DE6">
        <w:rPr>
          <w:szCs w:val="26"/>
          <w:rtl/>
          <w:lang w:val="en-CA"/>
        </w:rPr>
        <w:t>تقارير ال</w:t>
      </w:r>
      <w:r w:rsidR="00274E88">
        <w:rPr>
          <w:rFonts w:hint="cs"/>
          <w:szCs w:val="26"/>
          <w:rtl/>
          <w:lang w:val="en-CA"/>
        </w:rPr>
        <w:t>مراجعة</w:t>
      </w:r>
      <w:r w:rsidRPr="00CB6DE6">
        <w:rPr>
          <w:szCs w:val="26"/>
          <w:rtl/>
          <w:lang w:val="en-CA"/>
        </w:rPr>
        <w:t xml:space="preserve"> المالي</w:t>
      </w:r>
      <w:r w:rsidR="00274E88">
        <w:rPr>
          <w:rFonts w:hint="cs"/>
          <w:szCs w:val="26"/>
          <w:rtl/>
          <w:lang w:val="en-CA"/>
        </w:rPr>
        <w:t>ة</w:t>
      </w:r>
      <w:r w:rsidRPr="00CB6DE6">
        <w:rPr>
          <w:szCs w:val="26"/>
          <w:rtl/>
          <w:lang w:val="en-CA"/>
        </w:rPr>
        <w:t xml:space="preserve"> لإنتاج الكلوروفلوروكربون، والهالون، ورغوة البولي يوريثان، وعامل التصنيع الثاني، وقطاعي المذيبات والخدمة في الصين، الواردة في الوثيقة </w:t>
      </w:r>
      <w:r w:rsidRPr="00CB6DE6">
        <w:rPr>
          <w:szCs w:val="26"/>
          <w:lang w:val="en-CA"/>
        </w:rPr>
        <w:t>UNEP/OzL.Pro/ExCom/86/21/Add.1</w:t>
      </w:r>
      <w:r w:rsidRPr="00CB6DE6">
        <w:rPr>
          <w:rFonts w:hint="cs"/>
          <w:szCs w:val="26"/>
          <w:rtl/>
          <w:lang w:bidi="ar-AE"/>
        </w:rPr>
        <w:t>؛</w:t>
      </w:r>
    </w:p>
    <w:p w:rsidR="00BA6018" w:rsidRPr="00CB6DE6" w:rsidRDefault="00BA6018" w:rsidP="00BA6018">
      <w:pPr>
        <w:pStyle w:val="ListParagraph"/>
        <w:numPr>
          <w:ilvl w:val="0"/>
          <w:numId w:val="29"/>
        </w:numPr>
        <w:tabs>
          <w:tab w:val="left" w:pos="6521"/>
        </w:tabs>
        <w:bidi/>
        <w:spacing w:after="240" w:line="22" w:lineRule="atLeast"/>
        <w:ind w:left="2160" w:hanging="720"/>
        <w:contextualSpacing w:val="0"/>
        <w:outlineLvl w:val="2"/>
        <w:rPr>
          <w:szCs w:val="26"/>
          <w:lang w:val="en-CA"/>
        </w:rPr>
      </w:pPr>
      <w:r w:rsidRPr="00CB6DE6">
        <w:rPr>
          <w:szCs w:val="26"/>
          <w:rtl/>
          <w:lang w:val="en-CA"/>
        </w:rPr>
        <w:t xml:space="preserve">أن البنك الدولي </w:t>
      </w:r>
      <w:r w:rsidRPr="00CB6DE6">
        <w:rPr>
          <w:rFonts w:hint="cs"/>
          <w:szCs w:val="26"/>
          <w:rtl/>
          <w:lang w:val="en-CA"/>
        </w:rPr>
        <w:t xml:space="preserve">سيعيد </w:t>
      </w:r>
      <w:r w:rsidRPr="00CB6DE6">
        <w:rPr>
          <w:szCs w:val="26"/>
          <w:rtl/>
          <w:lang w:val="en-CA"/>
        </w:rPr>
        <w:t>الأرصدة المتبقية في قطاعي إنتاج الكلوروفلوروكربون ورغوة البولي يوريثان البالغة 314,015 دولار</w:t>
      </w:r>
      <w:r w:rsidRPr="00CB6DE6">
        <w:rPr>
          <w:rFonts w:hint="cs"/>
          <w:szCs w:val="26"/>
          <w:rtl/>
          <w:lang w:val="en-CA"/>
        </w:rPr>
        <w:t>ا</w:t>
      </w:r>
      <w:r w:rsidRPr="00CB6DE6">
        <w:rPr>
          <w:szCs w:val="26"/>
          <w:rtl/>
          <w:lang w:val="en-CA"/>
        </w:rPr>
        <w:t xml:space="preserve"> أمريكي</w:t>
      </w:r>
      <w:r w:rsidRPr="00CB6DE6">
        <w:rPr>
          <w:rFonts w:hint="cs"/>
          <w:szCs w:val="26"/>
          <w:rtl/>
          <w:lang w:val="en-CA"/>
        </w:rPr>
        <w:t>ا</w:t>
      </w:r>
      <w:r w:rsidRPr="00CB6DE6">
        <w:rPr>
          <w:szCs w:val="26"/>
          <w:rtl/>
          <w:lang w:val="en-CA"/>
        </w:rPr>
        <w:t xml:space="preserve"> والفوائد المتراكمة البالغة 22,119 دولار</w:t>
      </w:r>
      <w:r w:rsidRPr="00CB6DE6">
        <w:rPr>
          <w:rFonts w:hint="cs"/>
          <w:szCs w:val="26"/>
          <w:rtl/>
          <w:lang w:val="en-CA"/>
        </w:rPr>
        <w:t>ا</w:t>
      </w:r>
      <w:r w:rsidRPr="00CB6DE6">
        <w:rPr>
          <w:szCs w:val="26"/>
          <w:rtl/>
          <w:lang w:val="en-CA"/>
        </w:rPr>
        <w:t xml:space="preserve"> أمريكي</w:t>
      </w:r>
      <w:r w:rsidRPr="00CB6DE6">
        <w:rPr>
          <w:rFonts w:hint="cs"/>
          <w:szCs w:val="26"/>
          <w:rtl/>
          <w:lang w:val="en-CA"/>
        </w:rPr>
        <w:t>ا</w:t>
      </w:r>
      <w:r w:rsidRPr="00CB6DE6">
        <w:rPr>
          <w:szCs w:val="26"/>
          <w:rtl/>
          <w:lang w:val="en-CA"/>
        </w:rPr>
        <w:t xml:space="preserve"> إلى الاجتماع السادس والثمانين؛</w:t>
      </w:r>
    </w:p>
    <w:p w:rsidR="00BA6018" w:rsidRPr="00CB6DE6" w:rsidRDefault="00BA6018" w:rsidP="00BA6018">
      <w:pPr>
        <w:pStyle w:val="ListParagraph"/>
        <w:numPr>
          <w:ilvl w:val="0"/>
          <w:numId w:val="29"/>
        </w:numPr>
        <w:tabs>
          <w:tab w:val="left" w:pos="6521"/>
        </w:tabs>
        <w:bidi/>
        <w:spacing w:after="240" w:line="22" w:lineRule="atLeast"/>
        <w:ind w:left="2160" w:hanging="720"/>
        <w:contextualSpacing w:val="0"/>
        <w:outlineLvl w:val="2"/>
        <w:rPr>
          <w:szCs w:val="26"/>
          <w:lang w:val="en-CA"/>
        </w:rPr>
      </w:pPr>
      <w:r w:rsidRPr="00CB6DE6">
        <w:rPr>
          <w:szCs w:val="26"/>
          <w:rtl/>
          <w:lang w:val="en-CA"/>
        </w:rPr>
        <w:t xml:space="preserve">أن اليونيدو </w:t>
      </w:r>
      <w:r w:rsidRPr="00CB6DE6">
        <w:rPr>
          <w:rFonts w:hint="cs"/>
          <w:szCs w:val="26"/>
          <w:rtl/>
          <w:lang w:val="en-CA"/>
        </w:rPr>
        <w:t xml:space="preserve">ستعيد </w:t>
      </w:r>
      <w:r w:rsidRPr="00CB6DE6">
        <w:rPr>
          <w:szCs w:val="26"/>
          <w:rtl/>
          <w:lang w:val="en-CA"/>
        </w:rPr>
        <w:t>الأرصدة المتبقية من خطة قطاع خدمة التبريد البالغة 752 دولار</w:t>
      </w:r>
      <w:r w:rsidRPr="00CB6DE6">
        <w:rPr>
          <w:rFonts w:hint="cs"/>
          <w:szCs w:val="26"/>
          <w:rtl/>
          <w:lang w:val="en-CA"/>
        </w:rPr>
        <w:t>ا</w:t>
      </w:r>
      <w:r w:rsidRPr="00CB6DE6">
        <w:rPr>
          <w:szCs w:val="26"/>
          <w:rtl/>
          <w:lang w:val="en-CA"/>
        </w:rPr>
        <w:t xml:space="preserve"> أمريكي</w:t>
      </w:r>
      <w:r w:rsidRPr="00CB6DE6">
        <w:rPr>
          <w:rFonts w:hint="cs"/>
          <w:szCs w:val="26"/>
          <w:rtl/>
          <w:lang w:val="en-CA"/>
        </w:rPr>
        <w:t>ا</w:t>
      </w:r>
      <w:r w:rsidRPr="00CB6DE6">
        <w:rPr>
          <w:szCs w:val="26"/>
          <w:rtl/>
          <w:lang w:val="en-CA"/>
        </w:rPr>
        <w:t>، بالإضافة إلى الفائدة المتراكمة البالغة 99,178 دولار</w:t>
      </w:r>
      <w:r w:rsidRPr="00CB6DE6">
        <w:rPr>
          <w:rFonts w:hint="cs"/>
          <w:szCs w:val="26"/>
          <w:rtl/>
          <w:lang w:val="en-CA"/>
        </w:rPr>
        <w:t>ا</w:t>
      </w:r>
      <w:r w:rsidRPr="00CB6DE6">
        <w:rPr>
          <w:szCs w:val="26"/>
          <w:rtl/>
          <w:lang w:val="en-CA"/>
        </w:rPr>
        <w:t xml:space="preserve"> أمريكي</w:t>
      </w:r>
      <w:r w:rsidRPr="00CB6DE6">
        <w:rPr>
          <w:rFonts w:hint="cs"/>
          <w:szCs w:val="26"/>
          <w:rtl/>
          <w:lang w:val="en-CA"/>
        </w:rPr>
        <w:t>ا</w:t>
      </w:r>
      <w:r w:rsidRPr="00CB6DE6">
        <w:rPr>
          <w:szCs w:val="26"/>
          <w:rtl/>
          <w:lang w:val="en-CA"/>
        </w:rPr>
        <w:t xml:space="preserve"> إلى الاجتماع السادس والثمانين؛</w:t>
      </w:r>
    </w:p>
    <w:p w:rsidR="00BA6018" w:rsidRDefault="00BA6018" w:rsidP="00BA6018">
      <w:pPr>
        <w:pStyle w:val="ListParagraph"/>
        <w:numPr>
          <w:ilvl w:val="0"/>
          <w:numId w:val="29"/>
        </w:numPr>
        <w:tabs>
          <w:tab w:val="left" w:pos="6521"/>
        </w:tabs>
        <w:bidi/>
        <w:spacing w:after="240" w:line="22" w:lineRule="atLeast"/>
        <w:ind w:left="2160" w:hanging="720"/>
        <w:contextualSpacing w:val="0"/>
        <w:outlineLvl w:val="2"/>
        <w:rPr>
          <w:szCs w:val="26"/>
          <w:lang w:val="en-CA"/>
        </w:rPr>
      </w:pPr>
      <w:r w:rsidRPr="00CB6DE6">
        <w:rPr>
          <w:szCs w:val="26"/>
          <w:rtl/>
          <w:lang w:val="en-CA"/>
        </w:rPr>
        <w:t xml:space="preserve">أن اليوئنديبي </w:t>
      </w:r>
      <w:r w:rsidRPr="00CB6DE6">
        <w:rPr>
          <w:rFonts w:hint="cs"/>
          <w:szCs w:val="26"/>
          <w:rtl/>
          <w:lang w:val="en-CA"/>
        </w:rPr>
        <w:t xml:space="preserve">سيعيد </w:t>
      </w:r>
      <w:r w:rsidRPr="00CB6DE6">
        <w:rPr>
          <w:szCs w:val="26"/>
          <w:rtl/>
          <w:lang w:val="en-CA"/>
        </w:rPr>
        <w:t>الفائدة المتراكمة من خطة قطاع المذيبات والبالغة 356,151 دولار</w:t>
      </w:r>
      <w:r w:rsidRPr="00CB6DE6">
        <w:rPr>
          <w:rFonts w:hint="cs"/>
          <w:szCs w:val="26"/>
          <w:rtl/>
          <w:lang w:val="en-CA"/>
        </w:rPr>
        <w:t>ا</w:t>
      </w:r>
      <w:r w:rsidRPr="00CB6DE6">
        <w:rPr>
          <w:szCs w:val="26"/>
          <w:rtl/>
          <w:lang w:val="en-CA"/>
        </w:rPr>
        <w:t xml:space="preserve"> أمريكي</w:t>
      </w:r>
      <w:r w:rsidRPr="00CB6DE6">
        <w:rPr>
          <w:rFonts w:hint="cs"/>
          <w:szCs w:val="26"/>
          <w:rtl/>
          <w:lang w:val="en-CA"/>
        </w:rPr>
        <w:t>ا</w:t>
      </w:r>
      <w:r w:rsidRPr="00CB6DE6">
        <w:rPr>
          <w:szCs w:val="26"/>
          <w:rtl/>
          <w:lang w:val="en-CA"/>
        </w:rPr>
        <w:t xml:space="preserve"> إلى الاجتماع السادس والثمانين؛</w:t>
      </w:r>
    </w:p>
    <w:p w:rsidR="00A051A8" w:rsidRPr="00A051A8" w:rsidRDefault="00A051A8" w:rsidP="00A051A8">
      <w:pPr>
        <w:bidi/>
        <w:spacing w:after="240" w:line="22" w:lineRule="atLeast"/>
        <w:ind w:left="1440" w:hanging="720"/>
        <w:outlineLvl w:val="1"/>
        <w:rPr>
          <w:szCs w:val="26"/>
          <w:lang w:val="en-CA"/>
        </w:rPr>
      </w:pPr>
      <w:r>
        <w:rPr>
          <w:rFonts w:hint="cs"/>
          <w:szCs w:val="26"/>
          <w:rtl/>
          <w:lang w:val="en-CA"/>
        </w:rPr>
        <w:lastRenderedPageBreak/>
        <w:t>(ب)</w:t>
      </w:r>
      <w:r>
        <w:rPr>
          <w:rFonts w:hint="cs"/>
          <w:szCs w:val="26"/>
          <w:rtl/>
          <w:lang w:val="en-CA"/>
        </w:rPr>
        <w:tab/>
      </w:r>
      <w:r w:rsidRPr="00A051A8">
        <w:rPr>
          <w:szCs w:val="26"/>
          <w:rtl/>
          <w:lang w:val="en-CA"/>
        </w:rPr>
        <w:t>مطالبة البنك الدولي بتقديم تقارير ال</w:t>
      </w:r>
      <w:r>
        <w:rPr>
          <w:rFonts w:hint="cs"/>
          <w:szCs w:val="26"/>
          <w:rtl/>
          <w:lang w:val="en-CA"/>
        </w:rPr>
        <w:t>مراجعة</w:t>
      </w:r>
      <w:r w:rsidRPr="00A051A8">
        <w:rPr>
          <w:szCs w:val="26"/>
          <w:rtl/>
          <w:lang w:val="en-CA"/>
        </w:rPr>
        <w:t xml:space="preserve"> المالي</w:t>
      </w:r>
      <w:r>
        <w:rPr>
          <w:rFonts w:hint="cs"/>
          <w:szCs w:val="26"/>
          <w:rtl/>
          <w:lang w:val="en-CA"/>
        </w:rPr>
        <w:t>ة</w:t>
      </w:r>
      <w:r w:rsidRPr="00A051A8">
        <w:rPr>
          <w:szCs w:val="26"/>
          <w:rtl/>
          <w:lang w:val="en-CA"/>
        </w:rPr>
        <w:t xml:space="preserve"> لخطط قطاع الهالون وعامل التصنيع الثاني التي سيتم الانتهاء منها بحلول 31 ديسمبر/كانون الأول 2020، </w:t>
      </w:r>
      <w:r w:rsidRPr="00A051A8">
        <w:rPr>
          <w:rFonts w:hint="cs"/>
          <w:szCs w:val="26"/>
          <w:rtl/>
          <w:lang w:val="en-CA"/>
        </w:rPr>
        <w:t>وفقا ل</w:t>
      </w:r>
      <w:r w:rsidRPr="00A051A8">
        <w:rPr>
          <w:szCs w:val="26"/>
          <w:rtl/>
          <w:lang w:val="en-CA"/>
        </w:rPr>
        <w:t>لمقرر 84/39(ب) إلى الاجتماع السابع والثمانين مع تقارير إنجاز المشروع</w:t>
      </w:r>
      <w:r w:rsidRPr="00A051A8">
        <w:rPr>
          <w:rFonts w:hint="cs"/>
          <w:szCs w:val="26"/>
          <w:rtl/>
          <w:lang w:val="en-CA"/>
        </w:rPr>
        <w:t>ات</w:t>
      </w:r>
      <w:r w:rsidRPr="00A051A8">
        <w:rPr>
          <w:szCs w:val="26"/>
          <w:rtl/>
          <w:lang w:val="en-CA"/>
        </w:rPr>
        <w:t xml:space="preserve"> المقابلة وأي أرصدة متبقية بتاريخِ 31 ديسمبر/</w:t>
      </w:r>
      <w:r w:rsidRPr="00A051A8">
        <w:rPr>
          <w:rFonts w:hint="cs"/>
          <w:szCs w:val="26"/>
          <w:rtl/>
          <w:lang w:val="en-CA"/>
        </w:rPr>
        <w:t xml:space="preserve"> </w:t>
      </w:r>
      <w:r w:rsidRPr="00A051A8">
        <w:rPr>
          <w:szCs w:val="26"/>
          <w:rtl/>
          <w:lang w:val="en-CA"/>
        </w:rPr>
        <w:t>كانون الأول 2020؛ و</w:t>
      </w:r>
    </w:p>
    <w:p w:rsidR="00A051A8" w:rsidRPr="00A051A8" w:rsidRDefault="00A051A8" w:rsidP="00A051A8">
      <w:pPr>
        <w:bidi/>
        <w:spacing w:after="240" w:line="22" w:lineRule="atLeast"/>
        <w:ind w:left="1440" w:hanging="720"/>
        <w:outlineLvl w:val="1"/>
        <w:rPr>
          <w:szCs w:val="26"/>
          <w:lang w:val="en-CA"/>
        </w:rPr>
      </w:pPr>
      <w:r>
        <w:rPr>
          <w:rFonts w:hint="cs"/>
          <w:szCs w:val="26"/>
          <w:rtl/>
          <w:lang w:val="en-CA"/>
        </w:rPr>
        <w:t>(ج)</w:t>
      </w:r>
      <w:r>
        <w:rPr>
          <w:rFonts w:hint="cs"/>
          <w:szCs w:val="26"/>
          <w:rtl/>
          <w:lang w:val="en-CA"/>
        </w:rPr>
        <w:tab/>
      </w:r>
      <w:r w:rsidRPr="00A051A8">
        <w:rPr>
          <w:szCs w:val="26"/>
          <w:rtl/>
          <w:lang w:val="en-CA"/>
        </w:rPr>
        <w:t>مطالبة كبير</w:t>
      </w:r>
      <w:r w:rsidRPr="00A051A8">
        <w:rPr>
          <w:rFonts w:hint="cs"/>
          <w:szCs w:val="26"/>
          <w:rtl/>
          <w:lang w:val="en-CA"/>
        </w:rPr>
        <w:t>ة</w:t>
      </w:r>
      <w:r w:rsidRPr="00A051A8">
        <w:rPr>
          <w:szCs w:val="26"/>
          <w:rtl/>
          <w:lang w:val="en-CA"/>
        </w:rPr>
        <w:t xml:space="preserve"> موظفي الرصد والتقييم بالعمل مع الوكالة المنفذة ذات الصلة للتأكد من أن تقارير إنجاز المشروعات المقدمة لإنتاج الكلوروفلوروكربون، ورغوة البولي يوريثان، وخدمة التبريد، وخطط قطاع المذيبات تعكسُ المدفوعات إلى المستفيدين النهائيين، بما يتسق مع المعلومات الواردة في تقارير ال</w:t>
      </w:r>
      <w:r>
        <w:rPr>
          <w:rFonts w:hint="cs"/>
          <w:szCs w:val="26"/>
          <w:rtl/>
          <w:lang w:val="en-CA"/>
        </w:rPr>
        <w:t>مراجعة</w:t>
      </w:r>
      <w:r w:rsidRPr="00A051A8">
        <w:rPr>
          <w:szCs w:val="26"/>
          <w:rtl/>
          <w:lang w:val="en-CA"/>
        </w:rPr>
        <w:t xml:space="preserve"> المالي</w:t>
      </w:r>
      <w:r>
        <w:rPr>
          <w:rFonts w:hint="cs"/>
          <w:szCs w:val="26"/>
          <w:rtl/>
          <w:lang w:val="en-CA"/>
        </w:rPr>
        <w:t>ة</w:t>
      </w:r>
      <w:r w:rsidRPr="00A051A8">
        <w:rPr>
          <w:szCs w:val="26"/>
          <w:rtl/>
          <w:lang w:val="en-CA"/>
        </w:rPr>
        <w:t xml:space="preserve"> المقدمة إلى الاجتماع السادس والثمانين.</w:t>
      </w:r>
    </w:p>
    <w:p w:rsidR="00BA6018" w:rsidRPr="00BA6018" w:rsidRDefault="00BA6018" w:rsidP="00BA6018">
      <w:pPr>
        <w:tabs>
          <w:tab w:val="left" w:pos="6521"/>
        </w:tabs>
        <w:bidi/>
        <w:spacing w:after="240" w:line="22" w:lineRule="atLeast"/>
        <w:outlineLvl w:val="2"/>
        <w:rPr>
          <w:b/>
          <w:bCs/>
          <w:szCs w:val="26"/>
          <w:lang w:val="en-CA"/>
        </w:rPr>
      </w:pPr>
      <w:r w:rsidRPr="00BA6018">
        <w:rPr>
          <w:rFonts w:hint="cs"/>
          <w:b/>
          <w:bCs/>
          <w:szCs w:val="26"/>
          <w:rtl/>
          <w:lang w:val="en-CA"/>
        </w:rPr>
        <w:t>التقارير المقدمة إلى الاجتماع السابع والثمانين</w:t>
      </w:r>
    </w:p>
    <w:p w:rsidR="00375B22" w:rsidRDefault="00F13CB3" w:rsidP="00375B22">
      <w:pPr>
        <w:pStyle w:val="StyleHeader4Para4Left0Firstline0"/>
        <w:numPr>
          <w:ilvl w:val="0"/>
          <w:numId w:val="27"/>
        </w:numPr>
        <w:tabs>
          <w:tab w:val="clear" w:pos="2880"/>
          <w:tab w:val="clear" w:pos="5760"/>
        </w:tabs>
        <w:bidi/>
        <w:ind w:left="0" w:firstLine="0"/>
        <w:rPr>
          <w:sz w:val="26"/>
          <w:szCs w:val="26"/>
          <w:lang w:bidi="ar-SA"/>
        </w:rPr>
      </w:pPr>
      <w:r>
        <w:rPr>
          <w:rFonts w:hint="cs"/>
          <w:sz w:val="26"/>
          <w:szCs w:val="26"/>
          <w:rtl/>
          <w:lang w:bidi="ar-EG"/>
        </w:rPr>
        <w:t xml:space="preserve">بالنيابة عن حكومة الصين، قدم البنك الدولي إلى الاجتماع السابع والثمانين تقارير المراجعة المالية حتى 31 ديسمبر/ كانون الأول 2020 لخطط قطاع الهالونات وعامل التصنيع الثاني، </w:t>
      </w:r>
      <w:r>
        <w:rPr>
          <w:rFonts w:hint="cs"/>
          <w:sz w:val="26"/>
          <w:szCs w:val="26"/>
          <w:rtl/>
          <w:lang w:bidi="ar-SA"/>
        </w:rPr>
        <w:t>وتقارير إنجاز المشروعات المصاحبة، وفقا للمقرر 86/41.</w:t>
      </w:r>
    </w:p>
    <w:p w:rsidR="00375B22" w:rsidRDefault="00F13CB3" w:rsidP="00C86673">
      <w:pPr>
        <w:pStyle w:val="StyleHeader4Para4Left0Firstline0"/>
        <w:numPr>
          <w:ilvl w:val="0"/>
          <w:numId w:val="27"/>
        </w:numPr>
        <w:tabs>
          <w:tab w:val="clear" w:pos="2880"/>
          <w:tab w:val="clear" w:pos="5760"/>
        </w:tabs>
        <w:bidi/>
        <w:ind w:left="0" w:firstLine="0"/>
        <w:rPr>
          <w:sz w:val="26"/>
          <w:szCs w:val="26"/>
          <w:lang w:bidi="ar-SA"/>
        </w:rPr>
      </w:pPr>
      <w:r>
        <w:rPr>
          <w:rFonts w:hint="cs"/>
          <w:sz w:val="26"/>
          <w:szCs w:val="26"/>
          <w:rtl/>
          <w:lang w:bidi="ar-SA"/>
        </w:rPr>
        <w:t>وأشارت تقارير المراجعة المالية إلى رصيد قدره 8,723,002 د</w:t>
      </w:r>
      <w:r w:rsidR="00C86673">
        <w:rPr>
          <w:rFonts w:hint="cs"/>
          <w:sz w:val="26"/>
          <w:szCs w:val="26"/>
          <w:rtl/>
          <w:lang w:bidi="ar-SA"/>
        </w:rPr>
        <w:t>و</w:t>
      </w:r>
      <w:r>
        <w:rPr>
          <w:rFonts w:hint="cs"/>
          <w:sz w:val="26"/>
          <w:szCs w:val="26"/>
          <w:rtl/>
          <w:lang w:bidi="ar-SA"/>
        </w:rPr>
        <w:t xml:space="preserve">لار أمريكي (الجدول 1) لخطة قطاع الهالونات وفوائد مكتسبة بمقدار 22,163 دولارا أمريكيا من خطط قطاعي الهالونات وعامل التصنيع الثاني سيتم إعادتها إلى الصندوق المتعدد الأطراف. ولا يوجد أرصدة من خطة قطاع عامل التصنيع الثاني، إذ أن </w:t>
      </w:r>
      <w:r w:rsidR="00C86673">
        <w:rPr>
          <w:rFonts w:hint="cs"/>
          <w:sz w:val="26"/>
          <w:szCs w:val="26"/>
          <w:rtl/>
          <w:lang w:bidi="ar-SA"/>
        </w:rPr>
        <w:t>المدفوعات</w:t>
      </w:r>
      <w:r>
        <w:rPr>
          <w:rFonts w:hint="cs"/>
          <w:sz w:val="26"/>
          <w:szCs w:val="26"/>
          <w:rtl/>
          <w:lang w:bidi="ar-SA"/>
        </w:rPr>
        <w:t xml:space="preserve"> في عام 2020 بلغ</w:t>
      </w:r>
      <w:r w:rsidR="00C86673">
        <w:rPr>
          <w:rFonts w:hint="cs"/>
          <w:sz w:val="26"/>
          <w:szCs w:val="26"/>
          <w:rtl/>
          <w:lang w:bidi="ar-SA"/>
        </w:rPr>
        <w:t>ت</w:t>
      </w:r>
      <w:r>
        <w:rPr>
          <w:rFonts w:hint="cs"/>
          <w:sz w:val="26"/>
          <w:szCs w:val="26"/>
          <w:rtl/>
          <w:lang w:bidi="ar-SA"/>
        </w:rPr>
        <w:t xml:space="preserve"> 2,416,996 دولار أمريكي، مما أدى إلى صرف متراكم بمقدار 46,832,188 دولار أمريكي، وهو 332,</w:t>
      </w:r>
      <w:r w:rsidR="00575A43">
        <w:rPr>
          <w:rFonts w:hint="cs"/>
          <w:sz w:val="26"/>
          <w:szCs w:val="26"/>
          <w:rtl/>
          <w:lang w:bidi="ar-SA"/>
        </w:rPr>
        <w:t>188 دولارا أمريكيا أعلى من المبلغ الموافق عليه للخطة وهو 46,500,000 دولار أمريكي</w:t>
      </w:r>
      <w:r w:rsidR="00C86673">
        <w:rPr>
          <w:rFonts w:hint="cs"/>
          <w:sz w:val="26"/>
          <w:szCs w:val="26"/>
          <w:rtl/>
          <w:lang w:bidi="ar-SA"/>
        </w:rPr>
        <w:t>؛</w:t>
      </w:r>
      <w:r w:rsidR="00575A43">
        <w:rPr>
          <w:rFonts w:hint="cs"/>
          <w:sz w:val="26"/>
          <w:szCs w:val="26"/>
          <w:rtl/>
          <w:lang w:bidi="ar-SA"/>
        </w:rPr>
        <w:t xml:space="preserve"> وقدمت الحكومة تلك الأموال الإضافية كتمويل مشترك للاصد وإدارة خطة القطاع في عام 2020. ويلخص الجدول 1 الأرصدة والفائدة المكتسبة لخطط قطاعي الهالونات وعامل التصنيع الثاني.</w:t>
      </w:r>
    </w:p>
    <w:p w:rsidR="00BA6018" w:rsidRPr="00575A43" w:rsidRDefault="00BA6018" w:rsidP="00BA6018">
      <w:pPr>
        <w:pStyle w:val="StyleHeader4Para4Left0Firstline0"/>
        <w:numPr>
          <w:ilvl w:val="0"/>
          <w:numId w:val="0"/>
        </w:numPr>
        <w:tabs>
          <w:tab w:val="clear" w:pos="2880"/>
          <w:tab w:val="clear" w:pos="5760"/>
        </w:tabs>
        <w:bidi/>
        <w:spacing w:after="0"/>
        <w:rPr>
          <w:b/>
          <w:bCs/>
          <w:sz w:val="24"/>
          <w:szCs w:val="24"/>
          <w:rtl/>
          <w:lang w:bidi="ar-SA"/>
        </w:rPr>
      </w:pPr>
      <w:r w:rsidRPr="00575A43">
        <w:rPr>
          <w:rFonts w:hint="cs"/>
          <w:b/>
          <w:bCs/>
          <w:sz w:val="24"/>
          <w:szCs w:val="24"/>
          <w:rtl/>
          <w:lang w:bidi="ar-SA"/>
        </w:rPr>
        <w:t>الجدول 1. الأرصدة المتبقية والفائدة للخطط القطاعية للهالونات وعامل التصنيع الثاني</w:t>
      </w:r>
    </w:p>
    <w:tbl>
      <w:tblPr>
        <w:bidiVisual/>
        <w:tblW w:w="5000" w:type="pct"/>
        <w:jc w:val="center"/>
        <w:tblLook w:val="04A0" w:firstRow="1" w:lastRow="0" w:firstColumn="1" w:lastColumn="0" w:noHBand="0" w:noVBand="1"/>
      </w:tblPr>
      <w:tblGrid>
        <w:gridCol w:w="2542"/>
        <w:gridCol w:w="1965"/>
        <w:gridCol w:w="1940"/>
        <w:gridCol w:w="1371"/>
        <w:gridCol w:w="1758"/>
      </w:tblGrid>
      <w:tr w:rsidR="00D37195" w:rsidRPr="00271953" w:rsidTr="00D37195">
        <w:trPr>
          <w:tblHeader/>
          <w:jc w:val="center"/>
        </w:trPr>
        <w:tc>
          <w:tcPr>
            <w:tcW w:w="1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7195" w:rsidRPr="007909BB" w:rsidRDefault="007909BB" w:rsidP="009C7295">
            <w:pPr>
              <w:bidi/>
              <w:spacing w:before="20" w:after="20"/>
              <w:jc w:val="center"/>
              <w:rPr>
                <w:bCs/>
                <w:color w:val="000000"/>
                <w:sz w:val="20"/>
                <w:lang w:val="en-US" w:eastAsia="en-CA"/>
              </w:rPr>
            </w:pPr>
            <w:r w:rsidRPr="007909BB">
              <w:rPr>
                <w:rFonts w:hint="cs"/>
                <w:bCs/>
                <w:color w:val="000000"/>
                <w:sz w:val="20"/>
                <w:rtl/>
                <w:lang w:eastAsia="en-CA"/>
              </w:rPr>
              <w:t>النشاط</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D37195" w:rsidRPr="007909BB" w:rsidRDefault="007909BB" w:rsidP="009C7295">
            <w:pPr>
              <w:bidi/>
              <w:spacing w:before="20" w:after="20"/>
              <w:jc w:val="center"/>
              <w:rPr>
                <w:bCs/>
                <w:color w:val="000000"/>
                <w:sz w:val="20"/>
                <w:lang w:eastAsia="en-CA"/>
              </w:rPr>
            </w:pPr>
            <w:r w:rsidRPr="007909BB">
              <w:rPr>
                <w:rFonts w:hint="cs"/>
                <w:bCs/>
                <w:color w:val="000000"/>
                <w:sz w:val="20"/>
                <w:rtl/>
                <w:lang w:eastAsia="en-CA"/>
              </w:rPr>
              <w:t>الرصيد حتى 31 ديسمبر/ كانون الأول 2019</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D37195" w:rsidRPr="007909BB" w:rsidRDefault="007909BB" w:rsidP="009C7295">
            <w:pPr>
              <w:bidi/>
              <w:spacing w:before="20" w:after="20"/>
              <w:jc w:val="center"/>
              <w:rPr>
                <w:bCs/>
                <w:color w:val="000000"/>
                <w:sz w:val="20"/>
                <w:lang w:eastAsia="en-CA"/>
              </w:rPr>
            </w:pPr>
            <w:r w:rsidRPr="007909BB">
              <w:rPr>
                <w:rFonts w:hint="cs"/>
                <w:bCs/>
                <w:color w:val="000000"/>
                <w:sz w:val="20"/>
                <w:rtl/>
                <w:lang w:eastAsia="en-CA"/>
              </w:rPr>
              <w:t>الرصيد حتى 31 ديسمبر/ كانون الأول</w:t>
            </w:r>
            <w:r w:rsidRPr="007909BB">
              <w:rPr>
                <w:b/>
                <w:color w:val="000000"/>
                <w:sz w:val="20"/>
                <w:lang w:eastAsia="en-CA"/>
              </w:rPr>
              <w:t>2020</w:t>
            </w:r>
            <w:r w:rsidR="00D37195" w:rsidRPr="007909BB">
              <w:rPr>
                <w:b/>
                <w:color w:val="000000"/>
                <w:sz w:val="20"/>
                <w:lang w:eastAsia="en-CA"/>
              </w:rPr>
              <w:t xml:space="preserve"> </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D37195" w:rsidRPr="007909BB" w:rsidRDefault="007909BB" w:rsidP="009C7295">
            <w:pPr>
              <w:bidi/>
              <w:spacing w:before="20" w:after="20"/>
              <w:jc w:val="center"/>
              <w:rPr>
                <w:bCs/>
                <w:color w:val="000000"/>
                <w:sz w:val="20"/>
                <w:lang w:eastAsia="en-CA"/>
              </w:rPr>
            </w:pPr>
            <w:r w:rsidRPr="007909BB">
              <w:rPr>
                <w:rFonts w:hint="cs"/>
                <w:bCs/>
                <w:color w:val="000000"/>
                <w:sz w:val="20"/>
                <w:rtl/>
                <w:lang w:eastAsia="en-CA"/>
              </w:rPr>
              <w:t>الفائدة المكتسبة</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D37195" w:rsidRPr="007909BB" w:rsidRDefault="007909BB" w:rsidP="009C7295">
            <w:pPr>
              <w:bidi/>
              <w:spacing w:before="20" w:after="20"/>
              <w:jc w:val="center"/>
              <w:rPr>
                <w:bCs/>
                <w:color w:val="000000"/>
                <w:sz w:val="20"/>
                <w:lang w:eastAsia="en-CA"/>
              </w:rPr>
            </w:pPr>
            <w:r w:rsidRPr="007909BB">
              <w:rPr>
                <w:rFonts w:hint="cs"/>
                <w:bCs/>
                <w:color w:val="000000"/>
                <w:sz w:val="20"/>
                <w:rtl/>
                <w:lang w:eastAsia="en-CA"/>
              </w:rPr>
              <w:t>تاريخ الإنجاز</w:t>
            </w:r>
          </w:p>
        </w:tc>
      </w:tr>
      <w:tr w:rsidR="00D37195" w:rsidRPr="00271953" w:rsidTr="00D37195">
        <w:trPr>
          <w:jc w:val="center"/>
        </w:trPr>
        <w:tc>
          <w:tcPr>
            <w:tcW w:w="1327" w:type="pct"/>
            <w:tcBorders>
              <w:top w:val="nil"/>
              <w:left w:val="single" w:sz="4" w:space="0" w:color="auto"/>
              <w:bottom w:val="single" w:sz="4" w:space="0" w:color="auto"/>
              <w:right w:val="single" w:sz="4" w:space="0" w:color="auto"/>
            </w:tcBorders>
            <w:shd w:val="clear" w:color="auto" w:fill="auto"/>
            <w:vAlign w:val="center"/>
            <w:hideMark/>
          </w:tcPr>
          <w:p w:rsidR="00D37195" w:rsidRPr="00271953" w:rsidRDefault="007909BB" w:rsidP="009C7295">
            <w:pPr>
              <w:bidi/>
              <w:spacing w:before="20" w:after="20"/>
              <w:jc w:val="left"/>
              <w:rPr>
                <w:color w:val="000000"/>
                <w:sz w:val="20"/>
                <w:lang w:eastAsia="en-CA"/>
              </w:rPr>
            </w:pPr>
            <w:r>
              <w:rPr>
                <w:rFonts w:hint="cs"/>
                <w:color w:val="000000"/>
                <w:sz w:val="20"/>
                <w:rtl/>
                <w:lang w:eastAsia="en-CA"/>
              </w:rPr>
              <w:t>قطاع الهالونات</w:t>
            </w:r>
            <w:r w:rsidR="00D37195" w:rsidRPr="00271953">
              <w:rPr>
                <w:color w:val="000000"/>
                <w:sz w:val="20"/>
                <w:lang w:eastAsia="en-CA"/>
              </w:rPr>
              <w:t xml:space="preserve"> </w:t>
            </w:r>
          </w:p>
        </w:tc>
        <w:tc>
          <w:tcPr>
            <w:tcW w:w="1026" w:type="pct"/>
            <w:tcBorders>
              <w:top w:val="nil"/>
              <w:left w:val="nil"/>
              <w:bottom w:val="single" w:sz="4" w:space="0" w:color="auto"/>
              <w:right w:val="single" w:sz="4" w:space="0" w:color="auto"/>
            </w:tcBorders>
            <w:shd w:val="clear" w:color="auto" w:fill="auto"/>
            <w:noWrap/>
            <w:vAlign w:val="center"/>
          </w:tcPr>
          <w:p w:rsidR="00D37195" w:rsidRPr="00271953" w:rsidRDefault="00D37195" w:rsidP="009C7295">
            <w:pPr>
              <w:bidi/>
              <w:spacing w:before="20" w:after="20"/>
              <w:jc w:val="right"/>
              <w:rPr>
                <w:color w:val="000000"/>
                <w:sz w:val="20"/>
                <w:lang w:eastAsia="en-CA"/>
              </w:rPr>
            </w:pPr>
            <w:r w:rsidRPr="00271953">
              <w:rPr>
                <w:color w:val="000000"/>
                <w:sz w:val="20"/>
                <w:lang w:eastAsia="en-CA"/>
              </w:rPr>
              <w:t>8,913,167</w:t>
            </w:r>
          </w:p>
        </w:tc>
        <w:tc>
          <w:tcPr>
            <w:tcW w:w="1013" w:type="pct"/>
            <w:tcBorders>
              <w:top w:val="nil"/>
              <w:left w:val="nil"/>
              <w:bottom w:val="single" w:sz="4" w:space="0" w:color="auto"/>
              <w:right w:val="single" w:sz="4" w:space="0" w:color="auto"/>
            </w:tcBorders>
            <w:shd w:val="clear" w:color="auto" w:fill="auto"/>
            <w:noWrap/>
            <w:vAlign w:val="center"/>
          </w:tcPr>
          <w:p w:rsidR="00D37195" w:rsidRPr="00271953" w:rsidRDefault="00D37195" w:rsidP="009C7295">
            <w:pPr>
              <w:bidi/>
              <w:spacing w:before="20" w:after="20"/>
              <w:jc w:val="right"/>
              <w:rPr>
                <w:color w:val="000000"/>
                <w:sz w:val="20"/>
                <w:lang w:eastAsia="en-CA"/>
              </w:rPr>
            </w:pPr>
            <w:r w:rsidRPr="00271953">
              <w:rPr>
                <w:color w:val="000000"/>
                <w:sz w:val="20"/>
                <w:lang w:eastAsia="en-CA"/>
              </w:rPr>
              <w:t>8,723,002</w:t>
            </w:r>
          </w:p>
        </w:tc>
        <w:tc>
          <w:tcPr>
            <w:tcW w:w="716" w:type="pct"/>
            <w:vMerge w:val="restart"/>
            <w:tcBorders>
              <w:top w:val="nil"/>
              <w:left w:val="single" w:sz="4" w:space="0" w:color="auto"/>
              <w:bottom w:val="single" w:sz="4" w:space="0" w:color="auto"/>
              <w:right w:val="single" w:sz="4" w:space="0" w:color="auto"/>
            </w:tcBorders>
            <w:shd w:val="clear" w:color="auto" w:fill="auto"/>
            <w:vAlign w:val="center"/>
            <w:hideMark/>
          </w:tcPr>
          <w:p w:rsidR="00D37195" w:rsidRPr="00271953" w:rsidRDefault="00D37195" w:rsidP="009C7295">
            <w:pPr>
              <w:bidi/>
              <w:spacing w:before="20" w:after="20"/>
              <w:jc w:val="right"/>
              <w:rPr>
                <w:color w:val="000000"/>
                <w:sz w:val="20"/>
                <w:lang w:eastAsia="en-CA"/>
              </w:rPr>
            </w:pPr>
            <w:r w:rsidRPr="00271953">
              <w:rPr>
                <w:color w:val="000000"/>
                <w:sz w:val="20"/>
                <w:lang w:eastAsia="en-CA"/>
              </w:rPr>
              <w:t>22,163</w:t>
            </w:r>
          </w:p>
        </w:tc>
        <w:tc>
          <w:tcPr>
            <w:tcW w:w="918" w:type="pct"/>
            <w:tcBorders>
              <w:top w:val="nil"/>
              <w:left w:val="nil"/>
              <w:bottom w:val="single" w:sz="4" w:space="0" w:color="auto"/>
              <w:right w:val="single" w:sz="4" w:space="0" w:color="auto"/>
            </w:tcBorders>
            <w:shd w:val="clear" w:color="auto" w:fill="auto"/>
            <w:noWrap/>
            <w:vAlign w:val="center"/>
            <w:hideMark/>
          </w:tcPr>
          <w:p w:rsidR="00D37195" w:rsidRPr="007909BB" w:rsidRDefault="007909BB" w:rsidP="009C7295">
            <w:pPr>
              <w:bidi/>
              <w:spacing w:before="20" w:after="20"/>
              <w:jc w:val="center"/>
              <w:rPr>
                <w:b/>
                <w:color w:val="000000"/>
                <w:sz w:val="20"/>
                <w:lang w:eastAsia="en-CA" w:bidi="ar-EG"/>
              </w:rPr>
            </w:pPr>
            <w:r w:rsidRPr="007909BB">
              <w:rPr>
                <w:rFonts w:hint="cs"/>
                <w:b/>
                <w:color w:val="000000"/>
                <w:sz w:val="20"/>
                <w:rtl/>
                <w:lang w:eastAsia="en-CA"/>
              </w:rPr>
              <w:t>ديسمبر/ كانون الأول</w:t>
            </w:r>
          </w:p>
        </w:tc>
      </w:tr>
      <w:tr w:rsidR="00D37195" w:rsidRPr="00271953" w:rsidTr="00D37195">
        <w:trPr>
          <w:jc w:val="center"/>
        </w:trPr>
        <w:tc>
          <w:tcPr>
            <w:tcW w:w="1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7195" w:rsidRPr="00271953" w:rsidRDefault="007909BB" w:rsidP="009C7295">
            <w:pPr>
              <w:bidi/>
              <w:spacing w:before="20" w:after="20"/>
              <w:jc w:val="left"/>
              <w:rPr>
                <w:color w:val="000000"/>
                <w:sz w:val="20"/>
                <w:lang w:eastAsia="en-CA"/>
              </w:rPr>
            </w:pPr>
            <w:r>
              <w:rPr>
                <w:rFonts w:hint="cs"/>
                <w:color w:val="000000"/>
                <w:sz w:val="20"/>
                <w:rtl/>
                <w:lang w:eastAsia="en-CA"/>
              </w:rPr>
              <w:t>عامل التصنيع الثاني</w:t>
            </w:r>
            <w:r w:rsidR="00D37195" w:rsidRPr="00271953">
              <w:rPr>
                <w:color w:val="000000"/>
                <w:sz w:val="20"/>
                <w:lang w:eastAsia="en-CA"/>
              </w:rPr>
              <w:t xml:space="preserve"> </w:t>
            </w:r>
          </w:p>
        </w:tc>
        <w:tc>
          <w:tcPr>
            <w:tcW w:w="1026" w:type="pct"/>
            <w:tcBorders>
              <w:top w:val="single" w:sz="4" w:space="0" w:color="auto"/>
              <w:left w:val="nil"/>
              <w:bottom w:val="single" w:sz="4" w:space="0" w:color="auto"/>
              <w:right w:val="single" w:sz="4" w:space="0" w:color="auto"/>
            </w:tcBorders>
            <w:shd w:val="clear" w:color="auto" w:fill="auto"/>
            <w:noWrap/>
            <w:vAlign w:val="center"/>
          </w:tcPr>
          <w:p w:rsidR="00D37195" w:rsidRPr="00271953" w:rsidRDefault="00D37195" w:rsidP="009C7295">
            <w:pPr>
              <w:bidi/>
              <w:spacing w:before="20" w:after="20"/>
              <w:jc w:val="right"/>
              <w:rPr>
                <w:color w:val="000000"/>
                <w:sz w:val="20"/>
                <w:lang w:eastAsia="en-CA"/>
              </w:rPr>
            </w:pPr>
            <w:r w:rsidRPr="00271953">
              <w:rPr>
                <w:color w:val="000000"/>
                <w:sz w:val="20"/>
                <w:lang w:eastAsia="en-CA"/>
              </w:rPr>
              <w:t>2,084,808</w:t>
            </w:r>
          </w:p>
        </w:tc>
        <w:tc>
          <w:tcPr>
            <w:tcW w:w="1013" w:type="pct"/>
            <w:tcBorders>
              <w:top w:val="single" w:sz="4" w:space="0" w:color="auto"/>
              <w:left w:val="nil"/>
              <w:bottom w:val="single" w:sz="4" w:space="0" w:color="auto"/>
              <w:right w:val="single" w:sz="4" w:space="0" w:color="auto"/>
            </w:tcBorders>
            <w:shd w:val="clear" w:color="auto" w:fill="auto"/>
            <w:noWrap/>
            <w:vAlign w:val="center"/>
          </w:tcPr>
          <w:p w:rsidR="00D37195" w:rsidRPr="00271953" w:rsidRDefault="00D37195" w:rsidP="009C7295">
            <w:pPr>
              <w:bidi/>
              <w:spacing w:before="20" w:after="20"/>
              <w:jc w:val="right"/>
              <w:rPr>
                <w:color w:val="000000"/>
                <w:sz w:val="20"/>
                <w:lang w:eastAsia="en-CA"/>
              </w:rPr>
            </w:pPr>
            <w:r w:rsidRPr="00271953">
              <w:rPr>
                <w:color w:val="000000"/>
                <w:sz w:val="20"/>
                <w:lang w:eastAsia="en-CA"/>
              </w:rPr>
              <w:t>-332,188*</w:t>
            </w:r>
          </w:p>
        </w:tc>
        <w:tc>
          <w:tcPr>
            <w:tcW w:w="7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7195" w:rsidRPr="00271953" w:rsidRDefault="00D37195" w:rsidP="009C7295">
            <w:pPr>
              <w:bidi/>
              <w:spacing w:before="20" w:after="20"/>
              <w:jc w:val="left"/>
              <w:rPr>
                <w:color w:val="000000"/>
                <w:sz w:val="20"/>
                <w:lang w:eastAsia="en-CA"/>
              </w:rPr>
            </w:pPr>
          </w:p>
        </w:tc>
        <w:tc>
          <w:tcPr>
            <w:tcW w:w="918" w:type="pct"/>
            <w:tcBorders>
              <w:top w:val="single" w:sz="4" w:space="0" w:color="auto"/>
              <w:left w:val="nil"/>
              <w:bottom w:val="single" w:sz="4" w:space="0" w:color="auto"/>
              <w:right w:val="single" w:sz="4" w:space="0" w:color="auto"/>
            </w:tcBorders>
            <w:shd w:val="clear" w:color="auto" w:fill="auto"/>
            <w:noWrap/>
            <w:vAlign w:val="center"/>
            <w:hideMark/>
          </w:tcPr>
          <w:p w:rsidR="00D37195" w:rsidRPr="007909BB" w:rsidRDefault="007909BB" w:rsidP="009C7295">
            <w:pPr>
              <w:bidi/>
              <w:spacing w:before="20" w:after="20"/>
              <w:jc w:val="center"/>
              <w:rPr>
                <w:b/>
                <w:color w:val="000000"/>
                <w:sz w:val="20"/>
                <w:lang w:eastAsia="en-CA"/>
              </w:rPr>
            </w:pPr>
            <w:r w:rsidRPr="007909BB">
              <w:rPr>
                <w:rFonts w:hint="cs"/>
                <w:b/>
                <w:color w:val="000000"/>
                <w:sz w:val="20"/>
                <w:rtl/>
                <w:lang w:eastAsia="en-CA"/>
              </w:rPr>
              <w:t>ديسمبر/ كانون الأول</w:t>
            </w:r>
          </w:p>
        </w:tc>
      </w:tr>
    </w:tbl>
    <w:p w:rsidR="00BA6018" w:rsidRPr="00D37195" w:rsidRDefault="00C86673" w:rsidP="009C7295">
      <w:pPr>
        <w:pStyle w:val="StyleHeader4Para4Left0Firstline0"/>
        <w:numPr>
          <w:ilvl w:val="0"/>
          <w:numId w:val="0"/>
        </w:numPr>
        <w:tabs>
          <w:tab w:val="clear" w:pos="2880"/>
          <w:tab w:val="clear" w:pos="5760"/>
        </w:tabs>
        <w:bidi/>
        <w:spacing w:before="20"/>
        <w:rPr>
          <w:lang w:bidi="ar-EG"/>
        </w:rPr>
      </w:pPr>
      <w:r>
        <w:rPr>
          <w:rFonts w:hint="cs"/>
          <w:rtl/>
          <w:lang w:bidi="ar-EG"/>
        </w:rPr>
        <w:t xml:space="preserve">* الأموال </w:t>
      </w:r>
      <w:r w:rsidR="009C7295">
        <w:rPr>
          <w:rFonts w:hint="cs"/>
          <w:rtl/>
          <w:lang w:bidi="ar-EG"/>
        </w:rPr>
        <w:t>ال</w:t>
      </w:r>
      <w:r>
        <w:rPr>
          <w:rFonts w:hint="cs"/>
          <w:rtl/>
          <w:lang w:bidi="ar-EG"/>
        </w:rPr>
        <w:t xml:space="preserve">مقدمة من الحكومة كتمويل مشترك لرصد وإدارة </w:t>
      </w:r>
      <w:r w:rsidR="009C7295">
        <w:rPr>
          <w:rFonts w:hint="cs"/>
          <w:rtl/>
          <w:lang w:bidi="ar-EG"/>
        </w:rPr>
        <w:t>خطة القطاع في عام 2020.</w:t>
      </w:r>
    </w:p>
    <w:p w:rsidR="007909BB" w:rsidRPr="007909BB" w:rsidRDefault="007909BB" w:rsidP="007909BB">
      <w:pPr>
        <w:pStyle w:val="StyleHeader4Para4Left0Firstline0"/>
        <w:numPr>
          <w:ilvl w:val="0"/>
          <w:numId w:val="0"/>
        </w:numPr>
        <w:tabs>
          <w:tab w:val="clear" w:pos="2880"/>
          <w:tab w:val="clear" w:pos="5760"/>
        </w:tabs>
        <w:bidi/>
        <w:rPr>
          <w:b/>
          <w:bCs/>
          <w:sz w:val="26"/>
          <w:szCs w:val="26"/>
          <w:lang w:bidi="ar-SA"/>
        </w:rPr>
      </w:pPr>
      <w:r w:rsidRPr="007909BB">
        <w:rPr>
          <w:rFonts w:hint="cs"/>
          <w:b/>
          <w:bCs/>
          <w:sz w:val="26"/>
          <w:szCs w:val="26"/>
          <w:rtl/>
          <w:lang w:bidi="ar-SA"/>
        </w:rPr>
        <w:t>تعليقات الأمانة</w:t>
      </w:r>
    </w:p>
    <w:p w:rsidR="00375B22" w:rsidRDefault="00575A43" w:rsidP="009C7295">
      <w:pPr>
        <w:pStyle w:val="StyleHeader4Para4Left0Firstline0"/>
        <w:widowControl/>
        <w:numPr>
          <w:ilvl w:val="0"/>
          <w:numId w:val="27"/>
        </w:numPr>
        <w:tabs>
          <w:tab w:val="clear" w:pos="2880"/>
          <w:tab w:val="clear" w:pos="5760"/>
        </w:tabs>
        <w:bidi/>
        <w:ind w:left="0" w:firstLine="0"/>
        <w:rPr>
          <w:sz w:val="26"/>
          <w:szCs w:val="26"/>
          <w:lang w:bidi="ar-SA"/>
        </w:rPr>
      </w:pPr>
      <w:r>
        <w:rPr>
          <w:rFonts w:hint="cs"/>
          <w:sz w:val="26"/>
          <w:szCs w:val="26"/>
          <w:rtl/>
          <w:lang w:bidi="ar-SA"/>
        </w:rPr>
        <w:t>لاحظت الأمانة مع التقدير أن حكومة الصين استكملت خطط قطاعات إنتاح الكلوروفلوروكربون، ورغاوي البولي يوريثان، والمذيبات، والخدمة بحلول 31 ديسمبر/كانون الأول 2019، وخطط قطاعي الهالونا</w:t>
      </w:r>
      <w:r w:rsidR="009C7295">
        <w:rPr>
          <w:rFonts w:hint="cs"/>
          <w:sz w:val="26"/>
          <w:szCs w:val="26"/>
          <w:rtl/>
          <w:lang w:bidi="ar-SA"/>
        </w:rPr>
        <w:t>ت</w:t>
      </w:r>
      <w:r>
        <w:rPr>
          <w:rFonts w:hint="cs"/>
          <w:sz w:val="26"/>
          <w:szCs w:val="26"/>
          <w:rtl/>
          <w:lang w:bidi="ar-SA"/>
        </w:rPr>
        <w:t xml:space="preserve"> وعامل التصنيع الثاني بحلول 31 ديسمبر/ كانون الأول 2020، وتم إعادة الأرصدة المرتبطة بخطط القطاعات هذه، بما في ذلك الفائدة المكتسبة، إلى الصندوق المتعدد الأطراف أو سيتم إعادتها إلى الاجتماع السابع والثمانين</w:t>
      </w:r>
      <w:r w:rsidR="007909BB">
        <w:rPr>
          <w:rFonts w:hint="cs"/>
          <w:sz w:val="26"/>
          <w:szCs w:val="26"/>
          <w:rtl/>
          <w:lang w:bidi="ar-SA"/>
        </w:rPr>
        <w:t>.</w:t>
      </w:r>
    </w:p>
    <w:p w:rsidR="00375B22" w:rsidRDefault="004F44A4" w:rsidP="009C7295">
      <w:pPr>
        <w:pStyle w:val="StyleHeader4Para4Left0Firstline0"/>
        <w:widowControl/>
        <w:numPr>
          <w:ilvl w:val="0"/>
          <w:numId w:val="27"/>
        </w:numPr>
        <w:tabs>
          <w:tab w:val="clear" w:pos="2880"/>
          <w:tab w:val="clear" w:pos="5760"/>
        </w:tabs>
        <w:bidi/>
        <w:ind w:left="0" w:firstLine="0"/>
        <w:rPr>
          <w:sz w:val="26"/>
          <w:szCs w:val="26"/>
          <w:lang w:bidi="ar-SA"/>
        </w:rPr>
      </w:pPr>
      <w:r>
        <w:rPr>
          <w:rFonts w:hint="cs"/>
          <w:sz w:val="26"/>
          <w:szCs w:val="26"/>
          <w:rtl/>
          <w:lang w:bidi="ar-SA"/>
        </w:rPr>
        <w:t xml:space="preserve">ووفقا للمقرر </w:t>
      </w:r>
      <w:r w:rsidR="00575A43">
        <w:rPr>
          <w:rFonts w:hint="cs"/>
          <w:sz w:val="26"/>
          <w:szCs w:val="26"/>
          <w:rtl/>
          <w:lang w:bidi="ar-SA"/>
        </w:rPr>
        <w:t>84/39(ج)(3)</w:t>
      </w:r>
      <w:r>
        <w:rPr>
          <w:rFonts w:hint="cs"/>
          <w:sz w:val="26"/>
          <w:szCs w:val="26"/>
          <w:rtl/>
          <w:lang w:bidi="ar-SA"/>
        </w:rPr>
        <w:t>،</w:t>
      </w:r>
      <w:r>
        <w:rPr>
          <w:rStyle w:val="FootnoteReference"/>
          <w:sz w:val="26"/>
          <w:szCs w:val="26"/>
          <w:rtl/>
          <w:lang w:bidi="ar-SA"/>
        </w:rPr>
        <w:footnoteReference w:id="6"/>
      </w:r>
      <w:r>
        <w:rPr>
          <w:rFonts w:hint="cs"/>
          <w:sz w:val="26"/>
          <w:szCs w:val="26"/>
          <w:rtl/>
          <w:lang w:bidi="ar-SA"/>
        </w:rPr>
        <w:t xml:space="preserve"> </w:t>
      </w:r>
      <w:r w:rsidR="00575A43">
        <w:rPr>
          <w:rFonts w:hint="cs"/>
          <w:sz w:val="26"/>
          <w:szCs w:val="26"/>
          <w:rtl/>
          <w:lang w:bidi="ar-SA"/>
        </w:rPr>
        <w:t xml:space="preserve">أفاد البنك الدولي أن المكاتب المحلية للإيكولوجيا والبيئة تستمر في جهودها للاضطلاع بإدارة ورصد المواد المستنفدة للأوزون وفقا لسياسات وقواعد إدارة المواد المستنفدة للأوزون. ولم يكن هناك أي نتائج أو حالات </w:t>
      </w:r>
      <w:r w:rsidR="002164EC">
        <w:rPr>
          <w:rFonts w:hint="cs"/>
          <w:sz w:val="26"/>
          <w:szCs w:val="26"/>
          <w:rtl/>
          <w:lang w:bidi="ar-SA"/>
        </w:rPr>
        <w:t xml:space="preserve">إضافية للاستهلاك أو الإنتاج غير المشروع للكلوروفلوروكربون-11 لمزيد من التحديث </w:t>
      </w:r>
      <w:r>
        <w:rPr>
          <w:rFonts w:hint="cs"/>
          <w:sz w:val="26"/>
          <w:szCs w:val="26"/>
          <w:rtl/>
          <w:lang w:bidi="ar-SA"/>
        </w:rPr>
        <w:t>بين الاجتماعين السادس والثمانين</w:t>
      </w:r>
      <w:r>
        <w:rPr>
          <w:rStyle w:val="FootnoteReference"/>
          <w:sz w:val="26"/>
          <w:szCs w:val="26"/>
          <w:rtl/>
          <w:lang w:bidi="ar-SA"/>
        </w:rPr>
        <w:footnoteReference w:id="7"/>
      </w:r>
      <w:r>
        <w:rPr>
          <w:rFonts w:hint="cs"/>
          <w:sz w:val="26"/>
          <w:szCs w:val="26"/>
          <w:rtl/>
          <w:lang w:bidi="ar-SA"/>
        </w:rPr>
        <w:t xml:space="preserve"> والسابع والثمانين.</w:t>
      </w:r>
    </w:p>
    <w:p w:rsidR="00375B22" w:rsidRDefault="004C54E5" w:rsidP="009C7295">
      <w:pPr>
        <w:pStyle w:val="StyleHeader4Para4Left0Firstline0"/>
        <w:widowControl/>
        <w:numPr>
          <w:ilvl w:val="0"/>
          <w:numId w:val="27"/>
        </w:numPr>
        <w:tabs>
          <w:tab w:val="clear" w:pos="2880"/>
          <w:tab w:val="clear" w:pos="5760"/>
        </w:tabs>
        <w:bidi/>
        <w:ind w:left="0" w:firstLine="0"/>
        <w:rPr>
          <w:sz w:val="26"/>
          <w:szCs w:val="26"/>
          <w:lang w:bidi="ar-SA"/>
        </w:rPr>
      </w:pPr>
      <w:r>
        <w:rPr>
          <w:rFonts w:hint="cs"/>
          <w:sz w:val="26"/>
          <w:szCs w:val="26"/>
          <w:rtl/>
          <w:lang w:bidi="ar-SA"/>
        </w:rPr>
        <w:lastRenderedPageBreak/>
        <w:t xml:space="preserve">وبينما تحتوي تقارير إنجاز المشروعات لخطط قطاعات إنتاج الكلوروفلوروكربون، ورغاوي البولي يوريثان، والهالونات وعامل التصنيع الثاني على بيانات مالية تتسق مع تقارير </w:t>
      </w:r>
      <w:r w:rsidR="009C7295">
        <w:rPr>
          <w:rFonts w:hint="cs"/>
          <w:sz w:val="26"/>
          <w:szCs w:val="26"/>
          <w:rtl/>
          <w:lang w:bidi="ar-SA"/>
        </w:rPr>
        <w:t>المراجعة المالية ذات الصلة، وإع</w:t>
      </w:r>
      <w:r>
        <w:rPr>
          <w:rFonts w:hint="cs"/>
          <w:sz w:val="26"/>
          <w:szCs w:val="26"/>
          <w:rtl/>
          <w:lang w:bidi="ar-SA"/>
        </w:rPr>
        <w:t>ا</w:t>
      </w:r>
      <w:r w:rsidR="009C7295">
        <w:rPr>
          <w:rFonts w:hint="cs"/>
          <w:sz w:val="26"/>
          <w:szCs w:val="26"/>
          <w:rtl/>
          <w:lang w:bidi="ar-SA"/>
        </w:rPr>
        <w:t>د</w:t>
      </w:r>
      <w:r>
        <w:rPr>
          <w:rFonts w:hint="cs"/>
          <w:sz w:val="26"/>
          <w:szCs w:val="26"/>
          <w:rtl/>
          <w:lang w:bidi="ar-SA"/>
        </w:rPr>
        <w:t>ة الأرصدة المتبقية إلى الصندوق المتعدد الأطراف، فإن تقارير إنجاز</w:t>
      </w:r>
      <w:r w:rsidR="009C7295">
        <w:rPr>
          <w:rFonts w:hint="cs"/>
          <w:sz w:val="26"/>
          <w:szCs w:val="26"/>
          <w:rtl/>
          <w:lang w:bidi="ar-SA"/>
        </w:rPr>
        <w:t xml:space="preserve"> ا</w:t>
      </w:r>
      <w:r>
        <w:rPr>
          <w:rFonts w:hint="cs"/>
          <w:sz w:val="26"/>
          <w:szCs w:val="26"/>
          <w:rtl/>
          <w:lang w:bidi="ar-SA"/>
        </w:rPr>
        <w:t>لمشروعات لخطط قطاعات خدمة التبريد والمذيبات التي أنجزت في ديسمبر/</w:t>
      </w:r>
      <w:r w:rsidR="009C7295">
        <w:rPr>
          <w:rFonts w:hint="cs"/>
          <w:sz w:val="26"/>
          <w:szCs w:val="26"/>
          <w:rtl/>
          <w:lang w:bidi="ar-SA"/>
        </w:rPr>
        <w:t xml:space="preserve"> </w:t>
      </w:r>
      <w:r>
        <w:rPr>
          <w:rFonts w:hint="cs"/>
          <w:sz w:val="26"/>
          <w:szCs w:val="26"/>
          <w:rtl/>
          <w:lang w:bidi="ar-SA"/>
        </w:rPr>
        <w:t xml:space="preserve">كانون الأول 22019 لا تحتوي على ذلك. وسيحتاج كبير موظفي الرصد والتقييم الذي سيتم تعيينه في عام 2021 </w:t>
      </w:r>
      <w:r w:rsidR="009C7295">
        <w:rPr>
          <w:rFonts w:hint="cs"/>
          <w:sz w:val="26"/>
          <w:szCs w:val="26"/>
          <w:rtl/>
          <w:lang w:bidi="ar-SA"/>
        </w:rPr>
        <w:t>إ</w:t>
      </w:r>
      <w:r>
        <w:rPr>
          <w:rFonts w:hint="cs"/>
          <w:sz w:val="26"/>
          <w:szCs w:val="26"/>
          <w:rtl/>
          <w:lang w:bidi="ar-SA"/>
        </w:rPr>
        <w:t>لى مواصلة العمل مع الوكالات المنفذة ذات الصلة من أجل ضمان إدراج البيانات المالية في تقارير إنجاز المشروعات هذه.</w:t>
      </w:r>
    </w:p>
    <w:p w:rsidR="00375B22" w:rsidRPr="007909BB" w:rsidRDefault="007909BB" w:rsidP="007909BB">
      <w:pPr>
        <w:pStyle w:val="StyleHeader4Para4Left0Firstline0"/>
        <w:numPr>
          <w:ilvl w:val="0"/>
          <w:numId w:val="0"/>
        </w:numPr>
        <w:tabs>
          <w:tab w:val="clear" w:pos="2880"/>
          <w:tab w:val="clear" w:pos="5760"/>
        </w:tabs>
        <w:bidi/>
        <w:rPr>
          <w:b/>
          <w:bCs/>
          <w:sz w:val="26"/>
          <w:szCs w:val="26"/>
          <w:lang w:bidi="ar-SA"/>
        </w:rPr>
      </w:pPr>
      <w:r w:rsidRPr="007909BB">
        <w:rPr>
          <w:rFonts w:hint="cs"/>
          <w:b/>
          <w:bCs/>
          <w:sz w:val="26"/>
          <w:szCs w:val="26"/>
          <w:rtl/>
          <w:lang w:bidi="ar-SA"/>
        </w:rPr>
        <w:t>التوصية</w:t>
      </w:r>
    </w:p>
    <w:p w:rsidR="007909BB" w:rsidRDefault="007909BB" w:rsidP="009C7295">
      <w:pPr>
        <w:pStyle w:val="StyleHeader4Para4Left0Firstline0"/>
        <w:widowControl/>
        <w:numPr>
          <w:ilvl w:val="0"/>
          <w:numId w:val="27"/>
        </w:numPr>
        <w:tabs>
          <w:tab w:val="clear" w:pos="2880"/>
          <w:tab w:val="clear" w:pos="5760"/>
        </w:tabs>
        <w:bidi/>
        <w:ind w:left="0" w:firstLine="0"/>
        <w:rPr>
          <w:sz w:val="26"/>
          <w:szCs w:val="26"/>
          <w:lang w:bidi="ar-SA"/>
        </w:rPr>
      </w:pPr>
      <w:r>
        <w:rPr>
          <w:rFonts w:hint="cs"/>
          <w:sz w:val="26"/>
          <w:szCs w:val="26"/>
          <w:rtl/>
          <w:lang w:bidi="ar-SA"/>
        </w:rPr>
        <w:t>قد ترغب اللجنة التنفيذية في الإحاطة علما بما يلي:</w:t>
      </w:r>
    </w:p>
    <w:p w:rsidR="007909BB" w:rsidRDefault="007909BB" w:rsidP="009C7295">
      <w:pPr>
        <w:pStyle w:val="StyleHeader4Para4Left0Firstline0"/>
        <w:widowControl/>
        <w:numPr>
          <w:ilvl w:val="0"/>
          <w:numId w:val="0"/>
        </w:numPr>
        <w:tabs>
          <w:tab w:val="clear" w:pos="2880"/>
          <w:tab w:val="clear" w:pos="5760"/>
        </w:tabs>
        <w:bidi/>
        <w:ind w:left="1440" w:hanging="720"/>
        <w:rPr>
          <w:sz w:val="26"/>
          <w:szCs w:val="26"/>
          <w:rtl/>
          <w:lang w:bidi="ar-SA"/>
        </w:rPr>
      </w:pPr>
      <w:r>
        <w:rPr>
          <w:rFonts w:hint="cs"/>
          <w:sz w:val="26"/>
          <w:szCs w:val="26"/>
          <w:rtl/>
          <w:lang w:bidi="ar-SA"/>
        </w:rPr>
        <w:t>(أ)</w:t>
      </w:r>
      <w:r>
        <w:rPr>
          <w:rFonts w:hint="cs"/>
          <w:sz w:val="26"/>
          <w:szCs w:val="26"/>
          <w:rtl/>
          <w:lang w:bidi="ar-SA"/>
        </w:rPr>
        <w:tab/>
        <w:t>تقرير ال</w:t>
      </w:r>
      <w:r w:rsidR="004C54E5">
        <w:rPr>
          <w:rFonts w:hint="cs"/>
          <w:sz w:val="26"/>
          <w:szCs w:val="26"/>
          <w:rtl/>
          <w:lang w:bidi="ar-SA"/>
        </w:rPr>
        <w:t>مراجعة</w:t>
      </w:r>
      <w:r>
        <w:rPr>
          <w:rFonts w:hint="cs"/>
          <w:sz w:val="26"/>
          <w:szCs w:val="26"/>
          <w:rtl/>
          <w:lang w:bidi="ar-SA"/>
        </w:rPr>
        <w:t xml:space="preserve"> المالي</w:t>
      </w:r>
      <w:r w:rsidR="004C54E5">
        <w:rPr>
          <w:rFonts w:hint="cs"/>
          <w:sz w:val="26"/>
          <w:szCs w:val="26"/>
          <w:rtl/>
          <w:lang w:bidi="ar-SA"/>
        </w:rPr>
        <w:t>ة</w:t>
      </w:r>
      <w:r>
        <w:rPr>
          <w:rFonts w:hint="cs"/>
          <w:sz w:val="26"/>
          <w:szCs w:val="26"/>
          <w:rtl/>
          <w:lang w:bidi="ar-SA"/>
        </w:rPr>
        <w:t xml:space="preserve"> لخطط قطاعات الهالونات وعامل التصنيع الثاني في الصين، الوارد في الوثيقة </w:t>
      </w:r>
      <w:r w:rsidRPr="007909BB">
        <w:rPr>
          <w:sz w:val="24"/>
          <w:szCs w:val="24"/>
        </w:rPr>
        <w:t>UNEP/OzL.Pro/ExCom/87/9/Add.1</w:t>
      </w:r>
      <w:r>
        <w:rPr>
          <w:rFonts w:hint="cs"/>
          <w:sz w:val="26"/>
          <w:szCs w:val="26"/>
          <w:rtl/>
          <w:lang w:bidi="ar-SA"/>
        </w:rPr>
        <w:t>؛</w:t>
      </w:r>
    </w:p>
    <w:p w:rsidR="007909BB" w:rsidRDefault="007909BB" w:rsidP="009C7295">
      <w:pPr>
        <w:pStyle w:val="StyleHeader4Para4Left0Firstline0"/>
        <w:widowControl/>
        <w:numPr>
          <w:ilvl w:val="0"/>
          <w:numId w:val="0"/>
        </w:numPr>
        <w:tabs>
          <w:tab w:val="clear" w:pos="2880"/>
          <w:tab w:val="clear" w:pos="5760"/>
        </w:tabs>
        <w:bidi/>
        <w:ind w:left="1440" w:hanging="720"/>
        <w:rPr>
          <w:sz w:val="26"/>
          <w:szCs w:val="26"/>
          <w:rtl/>
          <w:lang w:bidi="ar-EG"/>
        </w:rPr>
      </w:pPr>
      <w:r>
        <w:rPr>
          <w:rFonts w:hint="cs"/>
          <w:sz w:val="26"/>
          <w:szCs w:val="26"/>
          <w:rtl/>
          <w:lang w:bidi="ar-SA"/>
        </w:rPr>
        <w:t>(ب)</w:t>
      </w:r>
      <w:r>
        <w:rPr>
          <w:rFonts w:hint="cs"/>
          <w:sz w:val="26"/>
          <w:szCs w:val="26"/>
          <w:rtl/>
          <w:lang w:bidi="ar-SA"/>
        </w:rPr>
        <w:tab/>
        <w:t xml:space="preserve">أن البنك الدولي سيعيد </w:t>
      </w:r>
      <w:r w:rsidR="00C96FF1">
        <w:rPr>
          <w:rFonts w:hint="cs"/>
          <w:sz w:val="26"/>
          <w:szCs w:val="26"/>
          <w:rtl/>
          <w:lang w:bidi="ar-SA"/>
        </w:rPr>
        <w:t xml:space="preserve">إلى الاجتماع السابع والثمانين </w:t>
      </w:r>
      <w:r>
        <w:rPr>
          <w:rFonts w:hint="cs"/>
          <w:sz w:val="26"/>
          <w:szCs w:val="26"/>
          <w:rtl/>
          <w:lang w:bidi="ar-SA"/>
        </w:rPr>
        <w:t>الرصيد المتبقي البالغ 8,723,002 دولار أمريكي من خطة قطاع الهالونات، والفائدة المكتسبة البالغة 22,163 دولارا أمريكيا، المرتبطين بخطط قطاعات الهالونات وعامل التجهيز الثاني</w:t>
      </w:r>
      <w:r w:rsidR="00C96FF1">
        <w:rPr>
          <w:rFonts w:hint="cs"/>
          <w:sz w:val="26"/>
          <w:szCs w:val="26"/>
          <w:rtl/>
          <w:lang w:bidi="ar-SA"/>
        </w:rPr>
        <w:t>.</w:t>
      </w:r>
    </w:p>
    <w:p w:rsidR="00186E51" w:rsidRDefault="00186E51" w:rsidP="00186E51">
      <w:pPr>
        <w:pStyle w:val="StyleHeader4Para4Left0Firstline0"/>
        <w:widowControl/>
        <w:numPr>
          <w:ilvl w:val="0"/>
          <w:numId w:val="0"/>
        </w:numPr>
        <w:tabs>
          <w:tab w:val="clear" w:pos="2880"/>
          <w:tab w:val="clear" w:pos="5760"/>
        </w:tabs>
        <w:bidi/>
        <w:ind w:left="1440" w:hanging="720"/>
        <w:rPr>
          <w:sz w:val="26"/>
          <w:szCs w:val="26"/>
          <w:rtl/>
          <w:lang w:bidi="ar-EG"/>
        </w:rPr>
      </w:pPr>
    </w:p>
    <w:p w:rsidR="00375B22" w:rsidRPr="00186E51" w:rsidRDefault="00375B22">
      <w:pPr>
        <w:jc w:val="left"/>
        <w:rPr>
          <w:sz w:val="26"/>
          <w:szCs w:val="26"/>
          <w:lang w:val="en-US" w:bidi="ar-SA"/>
        </w:rPr>
      </w:pPr>
      <w:r>
        <w:rPr>
          <w:sz w:val="26"/>
          <w:szCs w:val="26"/>
          <w:rtl/>
          <w:lang w:bidi="ar-SA"/>
        </w:rPr>
        <w:br w:type="page"/>
      </w:r>
    </w:p>
    <w:p w:rsidR="00375B22" w:rsidRPr="00375B22" w:rsidRDefault="00375B22" w:rsidP="00375B22">
      <w:pPr>
        <w:pStyle w:val="StyleHeader4Para4Left0Firstline0"/>
        <w:numPr>
          <w:ilvl w:val="0"/>
          <w:numId w:val="0"/>
        </w:numPr>
        <w:tabs>
          <w:tab w:val="clear" w:pos="2880"/>
          <w:tab w:val="clear" w:pos="5760"/>
        </w:tabs>
        <w:bidi/>
        <w:ind w:left="1710" w:hanging="1710"/>
        <w:rPr>
          <w:b/>
          <w:bCs/>
          <w:sz w:val="28"/>
          <w:szCs w:val="28"/>
          <w:lang w:bidi="ar-EG"/>
        </w:rPr>
      </w:pPr>
      <w:r w:rsidRPr="00375B22">
        <w:rPr>
          <w:rFonts w:hint="cs"/>
          <w:b/>
          <w:bCs/>
          <w:sz w:val="28"/>
          <w:szCs w:val="28"/>
          <w:rtl/>
          <w:lang w:bidi="ar-SA"/>
        </w:rPr>
        <w:lastRenderedPageBreak/>
        <w:t>الجزء الثاني:</w:t>
      </w:r>
      <w:r w:rsidRPr="00375B22">
        <w:rPr>
          <w:rFonts w:hint="cs"/>
          <w:b/>
          <w:bCs/>
          <w:sz w:val="28"/>
          <w:szCs w:val="28"/>
          <w:rtl/>
          <w:lang w:bidi="ar-SA"/>
        </w:rPr>
        <w:tab/>
      </w:r>
      <w:r w:rsidRPr="00375B22">
        <w:rPr>
          <w:rFonts w:hint="cs"/>
          <w:b/>
          <w:bCs/>
          <w:sz w:val="28"/>
          <w:szCs w:val="28"/>
          <w:rtl/>
          <w:lang w:val="en-US" w:bidi="ar-EG"/>
        </w:rPr>
        <w:t>تقرير عن التقدم المحرز في تنفيذ الأنشطة الواردة في المقرر 83/41(هـ)</w:t>
      </w:r>
    </w:p>
    <w:p w:rsidR="00375B22" w:rsidRPr="00375B22" w:rsidRDefault="00375B22" w:rsidP="00375B22">
      <w:pPr>
        <w:pStyle w:val="StyleHeader4Para4Left0Firstline0"/>
        <w:numPr>
          <w:ilvl w:val="0"/>
          <w:numId w:val="0"/>
        </w:numPr>
        <w:tabs>
          <w:tab w:val="clear" w:pos="2880"/>
          <w:tab w:val="clear" w:pos="5760"/>
        </w:tabs>
        <w:bidi/>
        <w:rPr>
          <w:b/>
          <w:bCs/>
          <w:sz w:val="26"/>
          <w:szCs w:val="26"/>
          <w:lang w:bidi="ar-SA"/>
        </w:rPr>
      </w:pPr>
      <w:r w:rsidRPr="00375B22">
        <w:rPr>
          <w:rFonts w:hint="cs"/>
          <w:b/>
          <w:bCs/>
          <w:sz w:val="26"/>
          <w:szCs w:val="26"/>
          <w:rtl/>
          <w:lang w:bidi="ar-SA"/>
        </w:rPr>
        <w:t>معلومات أساسية</w:t>
      </w:r>
    </w:p>
    <w:p w:rsidR="00375B22" w:rsidRDefault="004C54E5" w:rsidP="009C7295">
      <w:pPr>
        <w:pStyle w:val="StyleHeader4Para4Left0Firstline0"/>
        <w:widowControl/>
        <w:numPr>
          <w:ilvl w:val="0"/>
          <w:numId w:val="27"/>
        </w:numPr>
        <w:tabs>
          <w:tab w:val="clear" w:pos="2880"/>
          <w:tab w:val="clear" w:pos="5760"/>
        </w:tabs>
        <w:bidi/>
        <w:ind w:left="0" w:firstLine="0"/>
        <w:rPr>
          <w:sz w:val="26"/>
          <w:szCs w:val="26"/>
          <w:lang w:bidi="ar-SA"/>
        </w:rPr>
      </w:pPr>
      <w:r>
        <w:rPr>
          <w:rFonts w:hint="cs"/>
          <w:sz w:val="26"/>
          <w:szCs w:val="26"/>
          <w:rtl/>
          <w:lang w:bidi="ar-SA"/>
        </w:rPr>
        <w:t>في الاجتماع الثالث والثمانين، نظرت اللجنة التنفيذية في الوثيقتين التاليتين</w:t>
      </w:r>
      <w:r w:rsidR="00375B22">
        <w:rPr>
          <w:rFonts w:hint="cs"/>
          <w:sz w:val="26"/>
          <w:szCs w:val="26"/>
          <w:rtl/>
          <w:lang w:bidi="ar-SA"/>
        </w:rPr>
        <w:t>:</w:t>
      </w:r>
    </w:p>
    <w:p w:rsidR="00375B22" w:rsidRPr="00C96FF1" w:rsidRDefault="00375B22" w:rsidP="009C7295">
      <w:pPr>
        <w:pStyle w:val="StyleHeader4Para4Left0Firstline0"/>
        <w:widowControl/>
        <w:numPr>
          <w:ilvl w:val="0"/>
          <w:numId w:val="0"/>
        </w:numPr>
        <w:tabs>
          <w:tab w:val="clear" w:pos="2880"/>
          <w:tab w:val="clear" w:pos="5760"/>
        </w:tabs>
        <w:bidi/>
        <w:ind w:left="1440" w:hanging="720"/>
        <w:rPr>
          <w:sz w:val="26"/>
          <w:szCs w:val="26"/>
          <w:rtl/>
          <w:lang w:bidi="ar-SA"/>
        </w:rPr>
      </w:pPr>
      <w:r>
        <w:rPr>
          <w:rFonts w:hint="cs"/>
          <w:sz w:val="26"/>
          <w:szCs w:val="26"/>
          <w:rtl/>
          <w:lang w:bidi="ar-SA"/>
        </w:rPr>
        <w:t>(أ)</w:t>
      </w:r>
      <w:r>
        <w:rPr>
          <w:rFonts w:hint="cs"/>
          <w:sz w:val="26"/>
          <w:szCs w:val="26"/>
          <w:rtl/>
          <w:lang w:bidi="ar-SA"/>
        </w:rPr>
        <w:tab/>
      </w:r>
      <w:r w:rsidR="004C54E5">
        <w:rPr>
          <w:rFonts w:hint="cs"/>
          <w:sz w:val="26"/>
          <w:szCs w:val="26"/>
          <w:rtl/>
          <w:lang w:bidi="ar-SA"/>
        </w:rPr>
        <w:t xml:space="preserve">استعراض </w:t>
      </w:r>
      <w:r w:rsidR="00C96FF1" w:rsidRPr="00C96FF1">
        <w:rPr>
          <w:sz w:val="26"/>
          <w:szCs w:val="26"/>
          <w:rtl/>
          <w:lang w:bidi="ar-EG"/>
        </w:rPr>
        <w:t>النظم الجارية للرصد والإبلاغ والتحقق وإنفاذ الترخيص والحصص</w:t>
      </w:r>
      <w:r w:rsidR="0082473D">
        <w:rPr>
          <w:rFonts w:hint="cs"/>
          <w:sz w:val="26"/>
          <w:szCs w:val="26"/>
          <w:rtl/>
          <w:lang w:bidi="ar-SA"/>
        </w:rPr>
        <w:t xml:space="preserve"> وفقا للاتفاقات بين حكومة الصين واللجنة التنفيذية المتعلقة بخطة إدارة إزالة استهلاك وإنتاج المواد الهيدروكلوروفلوروكربونية، </w:t>
      </w:r>
      <w:r w:rsidR="004C54E5">
        <w:rPr>
          <w:rFonts w:hint="cs"/>
          <w:sz w:val="26"/>
          <w:szCs w:val="26"/>
          <w:rtl/>
          <w:lang w:bidi="ar-SA"/>
        </w:rPr>
        <w:t>المقدمة من</w:t>
      </w:r>
      <w:r w:rsidR="0082473D">
        <w:rPr>
          <w:rFonts w:hint="cs"/>
          <w:sz w:val="26"/>
          <w:szCs w:val="26"/>
          <w:rtl/>
          <w:lang w:bidi="ar-SA"/>
        </w:rPr>
        <w:t xml:space="preserve"> اليوئنديبي بالنيابة عن حكومة الصين، وفقا للمقررين 82/65 و82/71(أ)؛</w:t>
      </w:r>
    </w:p>
    <w:p w:rsidR="00375B22" w:rsidRDefault="00375B22" w:rsidP="00CB3B1D">
      <w:pPr>
        <w:pStyle w:val="StyleHeader4Para4Left0Firstline0"/>
        <w:widowControl/>
        <w:numPr>
          <w:ilvl w:val="0"/>
          <w:numId w:val="0"/>
        </w:numPr>
        <w:tabs>
          <w:tab w:val="clear" w:pos="2880"/>
          <w:tab w:val="clear" w:pos="5760"/>
        </w:tabs>
        <w:bidi/>
        <w:ind w:left="1440" w:hanging="720"/>
        <w:rPr>
          <w:sz w:val="26"/>
          <w:szCs w:val="26"/>
          <w:lang w:bidi="ar-SA"/>
        </w:rPr>
      </w:pPr>
      <w:r>
        <w:rPr>
          <w:rFonts w:hint="cs"/>
          <w:sz w:val="26"/>
          <w:szCs w:val="26"/>
          <w:rtl/>
          <w:lang w:bidi="ar-SA"/>
        </w:rPr>
        <w:t>(ب)</w:t>
      </w:r>
      <w:r>
        <w:rPr>
          <w:rFonts w:hint="cs"/>
          <w:sz w:val="26"/>
          <w:szCs w:val="26"/>
          <w:rtl/>
          <w:lang w:bidi="ar-SA"/>
        </w:rPr>
        <w:tab/>
      </w:r>
      <w:r w:rsidR="0082473D">
        <w:rPr>
          <w:rFonts w:hint="cs"/>
          <w:sz w:val="26"/>
          <w:szCs w:val="26"/>
          <w:rtl/>
          <w:lang w:bidi="ar-SA"/>
        </w:rPr>
        <w:t xml:space="preserve">دراسة </w:t>
      </w:r>
      <w:r w:rsidR="004C54E5">
        <w:rPr>
          <w:rFonts w:hint="cs"/>
          <w:sz w:val="26"/>
          <w:szCs w:val="26"/>
          <w:rtl/>
          <w:lang w:bidi="ar-SA"/>
        </w:rPr>
        <w:t>نظر</w:t>
      </w:r>
      <w:r w:rsidR="0082473D">
        <w:rPr>
          <w:rFonts w:hint="cs"/>
          <w:sz w:val="26"/>
          <w:szCs w:val="26"/>
          <w:rtl/>
          <w:lang w:bidi="ar-SA"/>
        </w:rPr>
        <w:t>ية عن النظام الجاري لرصد استهلاك عوامل نفخ الرغاوي في المنشئات التي تقدم لها المساعدة بموجب المرحلة الأولى من خط</w:t>
      </w:r>
      <w:r w:rsidR="00CB3B1D">
        <w:rPr>
          <w:rFonts w:hint="cs"/>
          <w:sz w:val="26"/>
          <w:szCs w:val="26"/>
          <w:rtl/>
          <w:lang w:bidi="ar-SA"/>
        </w:rPr>
        <w:t>ة</w:t>
      </w:r>
      <w:r w:rsidR="0082473D">
        <w:rPr>
          <w:rFonts w:hint="cs"/>
          <w:sz w:val="26"/>
          <w:szCs w:val="26"/>
          <w:rtl/>
          <w:lang w:bidi="ar-SA"/>
        </w:rPr>
        <w:t xml:space="preserve"> إدارة إزالة المواد الهيدروكلوروفلوروكربونية و</w:t>
      </w:r>
      <w:r w:rsidR="00CB3B1D">
        <w:rPr>
          <w:rFonts w:hint="cs"/>
          <w:sz w:val="26"/>
          <w:szCs w:val="26"/>
          <w:rtl/>
          <w:lang w:bidi="ar-SA"/>
        </w:rPr>
        <w:t>من</w:t>
      </w:r>
      <w:r w:rsidR="0082473D">
        <w:rPr>
          <w:rFonts w:hint="cs"/>
          <w:sz w:val="26"/>
          <w:szCs w:val="26"/>
          <w:rtl/>
          <w:lang w:bidi="ar-SA"/>
        </w:rPr>
        <w:t>هجية التحقق المقدمة من البنك الدولي بالنيابة عن حكومة الصين وفقا للمقرر 82/67(ج).</w:t>
      </w:r>
    </w:p>
    <w:p w:rsidR="00375B22" w:rsidRDefault="004C54E5" w:rsidP="00CB3B1D">
      <w:pPr>
        <w:pStyle w:val="StyleHeader4Para4Left0Firstline0"/>
        <w:widowControl/>
        <w:numPr>
          <w:ilvl w:val="0"/>
          <w:numId w:val="27"/>
        </w:numPr>
        <w:tabs>
          <w:tab w:val="clear" w:pos="2880"/>
          <w:tab w:val="clear" w:pos="5760"/>
        </w:tabs>
        <w:bidi/>
        <w:ind w:left="0" w:firstLine="0"/>
        <w:rPr>
          <w:sz w:val="26"/>
          <w:szCs w:val="26"/>
          <w:lang w:bidi="ar-SA"/>
        </w:rPr>
      </w:pPr>
      <w:r>
        <w:rPr>
          <w:rFonts w:hint="cs"/>
          <w:sz w:val="26"/>
          <w:szCs w:val="26"/>
          <w:rtl/>
          <w:lang w:bidi="ar-SA"/>
        </w:rPr>
        <w:t>وفي مداولاتها، رحبت اللجنة التنفيذية ضمن جملة أمور بعدد من الإجراءات التنظيمية و</w:t>
      </w:r>
      <w:r w:rsidR="00CB3B1D">
        <w:rPr>
          <w:rFonts w:hint="cs"/>
          <w:sz w:val="26"/>
          <w:szCs w:val="26"/>
          <w:rtl/>
          <w:lang w:bidi="ar-SA"/>
        </w:rPr>
        <w:t>إجراءات ا</w:t>
      </w:r>
      <w:r>
        <w:rPr>
          <w:rFonts w:hint="cs"/>
          <w:sz w:val="26"/>
          <w:szCs w:val="26"/>
          <w:rtl/>
          <w:lang w:bidi="ar-SA"/>
        </w:rPr>
        <w:t>لإنفاذ التي ستقوم بها الحكومة؛ ولاح</w:t>
      </w:r>
      <w:r w:rsidR="00CB3B1D">
        <w:rPr>
          <w:rFonts w:hint="cs"/>
          <w:sz w:val="26"/>
          <w:szCs w:val="26"/>
          <w:rtl/>
          <w:lang w:bidi="ar-SA"/>
        </w:rPr>
        <w:t>ظ</w:t>
      </w:r>
      <w:r>
        <w:rPr>
          <w:rFonts w:hint="cs"/>
          <w:sz w:val="26"/>
          <w:szCs w:val="26"/>
          <w:rtl/>
          <w:lang w:bidi="ar-SA"/>
        </w:rPr>
        <w:t>ت مع التقدير أن الحكومة ست</w:t>
      </w:r>
      <w:r w:rsidR="00CB3B1D">
        <w:rPr>
          <w:rFonts w:hint="cs"/>
          <w:sz w:val="26"/>
          <w:szCs w:val="26"/>
          <w:rtl/>
          <w:lang w:bidi="ar-SA"/>
        </w:rPr>
        <w:t>نفذ</w:t>
      </w:r>
      <w:r>
        <w:rPr>
          <w:rFonts w:hint="cs"/>
          <w:sz w:val="26"/>
          <w:szCs w:val="26"/>
          <w:rtl/>
          <w:lang w:bidi="ar-SA"/>
        </w:rPr>
        <w:t xml:space="preserve"> إجراءات إضافية دعما لإجراءات الإنفاذ؛ ولاحظت كذلك مع التقدير أن الحكومة ستنظر في مجموعة من المقترحات لتكميل وزيادة إجراءتها التنظيمية وإجراءات الإنفاذ. ولاحظت اللجنة التنفيذية أيضا أن حكومة الصين ستقدم تقريرا إلى الاجتماع الرابع والثمانين، ومرة أخرى إلى الاجتماع السادس والثمانين، عن التقدم الذي أحرزته في تنفيذ الأنشطة الوارد وصفها في الفقرات الفرعية من (أ) إلى (د) </w:t>
      </w:r>
      <w:r w:rsidR="00CB3B1D">
        <w:rPr>
          <w:rFonts w:hint="cs"/>
          <w:sz w:val="26"/>
          <w:szCs w:val="26"/>
          <w:rtl/>
          <w:lang w:bidi="ar-SA"/>
        </w:rPr>
        <w:t>من</w:t>
      </w:r>
      <w:r>
        <w:rPr>
          <w:rFonts w:hint="cs"/>
          <w:sz w:val="26"/>
          <w:szCs w:val="26"/>
          <w:rtl/>
          <w:lang w:bidi="ar-SA"/>
        </w:rPr>
        <w:t xml:space="preserve"> المقرر 83/41.</w:t>
      </w:r>
    </w:p>
    <w:p w:rsidR="00375B22" w:rsidRDefault="004C54E5" w:rsidP="009C7295">
      <w:pPr>
        <w:pStyle w:val="StyleHeader4Para4Left0Firstline0"/>
        <w:widowControl/>
        <w:numPr>
          <w:ilvl w:val="0"/>
          <w:numId w:val="27"/>
        </w:numPr>
        <w:tabs>
          <w:tab w:val="clear" w:pos="2880"/>
          <w:tab w:val="clear" w:pos="5760"/>
        </w:tabs>
        <w:bidi/>
        <w:ind w:left="0" w:firstLine="0"/>
        <w:rPr>
          <w:sz w:val="26"/>
          <w:szCs w:val="26"/>
          <w:lang w:bidi="ar-SA"/>
        </w:rPr>
      </w:pPr>
      <w:r>
        <w:rPr>
          <w:rFonts w:hint="cs"/>
          <w:sz w:val="26"/>
          <w:szCs w:val="26"/>
          <w:rtl/>
          <w:lang w:bidi="ar-SA"/>
        </w:rPr>
        <w:t>وفي اجتماعها الرابع والثمانين، نظرت اللجنة التنفيذية في التقرير المرحلي المقدم من حكومة الصين وفقا للمقرر 83/41(هـ)</w:t>
      </w:r>
      <w:r w:rsidR="004F44A4">
        <w:rPr>
          <w:rFonts w:hint="cs"/>
          <w:sz w:val="26"/>
          <w:szCs w:val="26"/>
          <w:rtl/>
          <w:lang w:bidi="ar-SA"/>
        </w:rPr>
        <w:t>.</w:t>
      </w:r>
      <w:r w:rsidR="004F44A4">
        <w:rPr>
          <w:rStyle w:val="FootnoteReference"/>
          <w:sz w:val="26"/>
          <w:szCs w:val="26"/>
          <w:rtl/>
          <w:lang w:bidi="ar-SA"/>
        </w:rPr>
        <w:footnoteReference w:id="8"/>
      </w:r>
      <w:r>
        <w:rPr>
          <w:rFonts w:hint="cs"/>
          <w:sz w:val="26"/>
          <w:szCs w:val="26"/>
          <w:rtl/>
          <w:lang w:bidi="ar-SA"/>
        </w:rPr>
        <w:t xml:space="preserve"> وعقب المناقشة، أحاطت اللجنة التنفيذية علما بالمعلومات المقدمة </w:t>
      </w:r>
      <w:r w:rsidR="00CB3B1D">
        <w:rPr>
          <w:rFonts w:hint="cs"/>
          <w:sz w:val="26"/>
          <w:szCs w:val="26"/>
          <w:rtl/>
          <w:lang w:bidi="ar-SA"/>
        </w:rPr>
        <w:t>م</w:t>
      </w:r>
      <w:r>
        <w:rPr>
          <w:rFonts w:hint="cs"/>
          <w:sz w:val="26"/>
          <w:szCs w:val="26"/>
          <w:rtl/>
          <w:lang w:bidi="ar-SA"/>
        </w:rPr>
        <w:t>ن ممثل حكومة الصين بخصوص تنفيذ الأنشطة الوارده في المقرر 83/41.</w:t>
      </w:r>
    </w:p>
    <w:p w:rsidR="00375B22" w:rsidRDefault="00485F4B" w:rsidP="009C7295">
      <w:pPr>
        <w:pStyle w:val="StyleHeader4Para4Left0Firstline0"/>
        <w:widowControl/>
        <w:numPr>
          <w:ilvl w:val="0"/>
          <w:numId w:val="27"/>
        </w:numPr>
        <w:tabs>
          <w:tab w:val="clear" w:pos="2880"/>
          <w:tab w:val="clear" w:pos="5760"/>
        </w:tabs>
        <w:bidi/>
        <w:ind w:left="0" w:firstLine="0"/>
        <w:rPr>
          <w:sz w:val="26"/>
          <w:szCs w:val="26"/>
          <w:lang w:bidi="ar-SA"/>
        </w:rPr>
      </w:pPr>
      <w:r>
        <w:rPr>
          <w:rFonts w:hint="cs"/>
          <w:sz w:val="26"/>
          <w:szCs w:val="26"/>
          <w:rtl/>
          <w:lang w:bidi="ar-SA"/>
        </w:rPr>
        <w:t xml:space="preserve">وقدمت حكومة الصين إلى الاجتماع السادس والثمانين تقريرا مرحليا عملا للمقرر 83/41 </w:t>
      </w:r>
      <w:r w:rsidRPr="00485F4B">
        <w:rPr>
          <w:rFonts w:hint="cs"/>
          <w:i/>
          <w:iCs/>
          <w:sz w:val="26"/>
          <w:szCs w:val="26"/>
          <w:rtl/>
          <w:lang w:bidi="ar-SA"/>
        </w:rPr>
        <w:t>("تقرير مرحلي")</w:t>
      </w:r>
      <w:r>
        <w:rPr>
          <w:rFonts w:hint="cs"/>
          <w:sz w:val="26"/>
          <w:szCs w:val="26"/>
          <w:rtl/>
          <w:lang w:bidi="ar-SA"/>
        </w:rPr>
        <w:t>. وأجلت اللجنة التنفيذية النظر في التقرير المرحلي إلى الاجتماع السابع والثمانين وفقا للإجراءات المتفق عليها لتسيير الاجتماع السادس والثمانين</w:t>
      </w:r>
      <w:r w:rsidR="004F44A4">
        <w:rPr>
          <w:rFonts w:hint="cs"/>
          <w:sz w:val="26"/>
          <w:szCs w:val="26"/>
          <w:rtl/>
          <w:lang w:bidi="ar-SA"/>
        </w:rPr>
        <w:t>.</w:t>
      </w:r>
      <w:r w:rsidR="004F44A4">
        <w:rPr>
          <w:rStyle w:val="FootnoteReference"/>
          <w:sz w:val="26"/>
          <w:szCs w:val="26"/>
          <w:rtl/>
          <w:lang w:bidi="ar-SA"/>
        </w:rPr>
        <w:footnoteReference w:id="9"/>
      </w:r>
      <w:r w:rsidR="00CB3B1D">
        <w:rPr>
          <w:rFonts w:hint="cs"/>
          <w:sz w:val="26"/>
          <w:szCs w:val="26"/>
          <w:rtl/>
          <w:lang w:bidi="ar-SA"/>
        </w:rPr>
        <w:t xml:space="preserve"> </w:t>
      </w:r>
      <w:r>
        <w:rPr>
          <w:rFonts w:hint="cs"/>
          <w:sz w:val="26"/>
          <w:szCs w:val="26"/>
          <w:rtl/>
          <w:lang w:bidi="ar-SA"/>
        </w:rPr>
        <w:t>ويرفق التقرير المرحلي بأكمله بالوثيقة الحالية بدون إجراء أي تحرير أو استعراض آخر.</w:t>
      </w:r>
    </w:p>
    <w:p w:rsidR="00375B22" w:rsidRDefault="00375B22" w:rsidP="009C7295">
      <w:pPr>
        <w:jc w:val="left"/>
        <w:rPr>
          <w:sz w:val="26"/>
          <w:szCs w:val="26"/>
          <w:rtl/>
          <w:lang w:bidi="ar-EG"/>
        </w:rPr>
      </w:pPr>
      <w:r>
        <w:rPr>
          <w:sz w:val="26"/>
          <w:szCs w:val="26"/>
          <w:rtl/>
          <w:lang w:bidi="ar-EG"/>
        </w:rPr>
        <w:br w:type="page"/>
      </w:r>
    </w:p>
    <w:p w:rsidR="00375B22" w:rsidRPr="00375B22" w:rsidRDefault="00375B22" w:rsidP="009C7295">
      <w:pPr>
        <w:pStyle w:val="StyleHeader4Para4Left0Firstline0"/>
        <w:widowControl/>
        <w:numPr>
          <w:ilvl w:val="0"/>
          <w:numId w:val="0"/>
        </w:numPr>
        <w:tabs>
          <w:tab w:val="clear" w:pos="2880"/>
          <w:tab w:val="clear" w:pos="5760"/>
        </w:tabs>
        <w:bidi/>
        <w:ind w:left="1890" w:hanging="1890"/>
        <w:rPr>
          <w:b/>
          <w:bCs/>
          <w:sz w:val="28"/>
          <w:szCs w:val="28"/>
        </w:rPr>
      </w:pPr>
      <w:r w:rsidRPr="00375B22">
        <w:rPr>
          <w:rFonts w:hint="cs"/>
          <w:b/>
          <w:bCs/>
          <w:sz w:val="28"/>
          <w:szCs w:val="28"/>
          <w:rtl/>
          <w:lang w:bidi="ar-SA"/>
        </w:rPr>
        <w:lastRenderedPageBreak/>
        <w:t xml:space="preserve">الجزء الثالث: </w:t>
      </w:r>
      <w:r w:rsidRPr="00375B22">
        <w:rPr>
          <w:rFonts w:hint="cs"/>
          <w:b/>
          <w:bCs/>
          <w:sz w:val="28"/>
          <w:szCs w:val="28"/>
          <w:rtl/>
          <w:lang w:bidi="ar-SA"/>
        </w:rPr>
        <w:tab/>
      </w:r>
      <w:r w:rsidRPr="00375B22">
        <w:rPr>
          <w:rFonts w:hint="cs"/>
          <w:b/>
          <w:bCs/>
          <w:sz w:val="28"/>
          <w:szCs w:val="28"/>
          <w:rtl/>
          <w:lang w:val="en-US" w:bidi="ar-EG"/>
        </w:rPr>
        <w:t xml:space="preserve">دراسة لتحديد </w:t>
      </w:r>
      <w:r w:rsidRPr="00375B22">
        <w:rPr>
          <w:b/>
          <w:bCs/>
          <w:sz w:val="28"/>
          <w:szCs w:val="28"/>
          <w:rtl/>
        </w:rPr>
        <w:t>الظروف التنظيمية وا</w:t>
      </w:r>
      <w:r w:rsidRPr="00375B22">
        <w:rPr>
          <w:rFonts w:hint="cs"/>
          <w:b/>
          <w:bCs/>
          <w:sz w:val="28"/>
          <w:szCs w:val="28"/>
          <w:rtl/>
        </w:rPr>
        <w:t>لإ</w:t>
      </w:r>
      <w:r w:rsidRPr="00375B22">
        <w:rPr>
          <w:b/>
          <w:bCs/>
          <w:sz w:val="28"/>
          <w:szCs w:val="28"/>
          <w:rtl/>
        </w:rPr>
        <w:t>نفاذ والسياسات أو ظروف السوق التي قد تؤدي إلى إنتاج واستخدام غير مشروعين للكلوروفلوروكربون-11 والكلوروفلوروكربون-</w:t>
      </w:r>
      <w:r w:rsidRPr="00375B22">
        <w:rPr>
          <w:rFonts w:hint="cs"/>
          <w:b/>
          <w:bCs/>
          <w:sz w:val="28"/>
          <w:szCs w:val="28"/>
          <w:rtl/>
        </w:rPr>
        <w:t>12 (المقرر 83/41(د)</w:t>
      </w:r>
    </w:p>
    <w:p w:rsidR="00152C0D" w:rsidRDefault="0082473D" w:rsidP="009C7295">
      <w:pPr>
        <w:pStyle w:val="StyleHeader4Para4Left0Firstline0"/>
        <w:widowControl/>
        <w:numPr>
          <w:ilvl w:val="0"/>
          <w:numId w:val="27"/>
        </w:numPr>
        <w:tabs>
          <w:tab w:val="clear" w:pos="2880"/>
          <w:tab w:val="clear" w:pos="5760"/>
        </w:tabs>
        <w:bidi/>
        <w:ind w:left="0" w:firstLine="0"/>
        <w:rPr>
          <w:sz w:val="26"/>
          <w:szCs w:val="26"/>
          <w:lang w:bidi="ar-SA"/>
        </w:rPr>
      </w:pPr>
      <w:r>
        <w:rPr>
          <w:rFonts w:hint="cs"/>
          <w:sz w:val="26"/>
          <w:szCs w:val="26"/>
          <w:rtl/>
          <w:lang w:bidi="ar-EG"/>
        </w:rPr>
        <w:t xml:space="preserve">في سياق مناقشاتها في الاجتماع الثالث والثمانين بشأن نظم الرصد والإبلاغ والتحقق والإنفاذ، قررت اللجنة التنفيذية، ضمن جملة أمور، أن تحيط علما بأن حكومة الصين ستنظر في </w:t>
      </w:r>
      <w:r w:rsidRPr="0082473D">
        <w:rPr>
          <w:sz w:val="26"/>
          <w:szCs w:val="26"/>
          <w:rtl/>
        </w:rPr>
        <w:t xml:space="preserve">تعيين خبير استشاري من خارج الحكومة </w:t>
      </w:r>
      <w:r w:rsidR="00953E33">
        <w:rPr>
          <w:rFonts w:hint="cs"/>
          <w:sz w:val="26"/>
          <w:szCs w:val="26"/>
          <w:rtl/>
        </w:rPr>
        <w:t>لإ</w:t>
      </w:r>
      <w:r w:rsidRPr="0082473D">
        <w:rPr>
          <w:sz w:val="26"/>
          <w:szCs w:val="26"/>
          <w:rtl/>
        </w:rPr>
        <w:t xml:space="preserve">جراء دراسة </w:t>
      </w:r>
      <w:r w:rsidR="00953E33">
        <w:rPr>
          <w:rFonts w:hint="cs"/>
          <w:sz w:val="26"/>
          <w:szCs w:val="26"/>
          <w:rtl/>
        </w:rPr>
        <w:t>(</w:t>
      </w:r>
      <w:r w:rsidRPr="0082473D">
        <w:rPr>
          <w:sz w:val="26"/>
          <w:szCs w:val="26"/>
          <w:rtl/>
        </w:rPr>
        <w:t>بما في ذلك بيانات كمية، عند توافرها، ومعلومات نوعية عن السوق</w:t>
      </w:r>
      <w:r w:rsidR="00953E33">
        <w:rPr>
          <w:rFonts w:hint="cs"/>
          <w:sz w:val="26"/>
          <w:szCs w:val="26"/>
          <w:rtl/>
        </w:rPr>
        <w:t>)</w:t>
      </w:r>
      <w:r w:rsidRPr="0082473D">
        <w:rPr>
          <w:sz w:val="26"/>
          <w:szCs w:val="26"/>
          <w:rtl/>
        </w:rPr>
        <w:t xml:space="preserve"> لتحديد الظروف التنظيمية وا</w:t>
      </w:r>
      <w:r w:rsidR="00953E33">
        <w:rPr>
          <w:rFonts w:hint="cs"/>
          <w:sz w:val="26"/>
          <w:szCs w:val="26"/>
          <w:rtl/>
        </w:rPr>
        <w:t>لإن</w:t>
      </w:r>
      <w:r w:rsidRPr="0082473D">
        <w:rPr>
          <w:sz w:val="26"/>
          <w:szCs w:val="26"/>
          <w:rtl/>
        </w:rPr>
        <w:t>فاذ والسياسات أو ظروف السوق التي قد تؤدي إلى إنتاج واستخدام غير مشروعين للكلوروفلوروكربون-11 والكلوروفلوروكربون-</w:t>
      </w:r>
      <w:r w:rsidR="00953E33">
        <w:rPr>
          <w:rFonts w:hint="cs"/>
          <w:sz w:val="26"/>
          <w:szCs w:val="26"/>
          <w:rtl/>
        </w:rPr>
        <w:t>12 (المقرر 83/41(د)).</w:t>
      </w:r>
    </w:p>
    <w:p w:rsidR="00953E33" w:rsidRPr="0082473D" w:rsidRDefault="00953E33" w:rsidP="009C7295">
      <w:pPr>
        <w:pStyle w:val="StyleHeader4Para4Left0Firstline0"/>
        <w:widowControl/>
        <w:numPr>
          <w:ilvl w:val="0"/>
          <w:numId w:val="27"/>
        </w:numPr>
        <w:tabs>
          <w:tab w:val="clear" w:pos="2880"/>
          <w:tab w:val="clear" w:pos="5760"/>
        </w:tabs>
        <w:bidi/>
        <w:ind w:left="0" w:firstLine="0"/>
        <w:rPr>
          <w:sz w:val="26"/>
          <w:szCs w:val="26"/>
          <w:lang w:bidi="ar-SA"/>
        </w:rPr>
      </w:pPr>
      <w:r>
        <w:rPr>
          <w:rFonts w:hint="cs"/>
          <w:sz w:val="26"/>
          <w:szCs w:val="26"/>
          <w:rtl/>
        </w:rPr>
        <w:t xml:space="preserve">وعملا للمقرر 83/41(د)، قدمت حكومة الصين إلى الاجتماع السادس والثمانين الدراسة عن </w:t>
      </w:r>
      <w:r w:rsidR="00047FAB">
        <w:rPr>
          <w:rFonts w:hint="cs"/>
          <w:sz w:val="26"/>
          <w:szCs w:val="26"/>
          <w:rtl/>
          <w:lang w:bidi="ar-SA"/>
        </w:rPr>
        <w:t>الإشراف، وإنفاذ القانون، والسياسات وظروف السوق للمواد المستنفدة للأوزون في الصين التي أعدها خبير استشاري من خارج الحكومة</w:t>
      </w:r>
      <w:r w:rsidR="00485F4B">
        <w:rPr>
          <w:rFonts w:hint="cs"/>
          <w:sz w:val="26"/>
          <w:szCs w:val="26"/>
          <w:rtl/>
          <w:lang w:bidi="ar-SA"/>
        </w:rPr>
        <w:t>. وأجلت اللجنة التنفيذية النظر في الدراسة إلى الاجتماع السابع والثمانين وفقا للإجراءات المتفق عليها لتسيير الاجتماع السابع والثمانين.</w:t>
      </w:r>
      <w:r w:rsidR="00485F4B">
        <w:rPr>
          <w:rStyle w:val="FootnoteReference"/>
          <w:sz w:val="26"/>
          <w:szCs w:val="26"/>
          <w:rtl/>
          <w:lang w:bidi="ar-SA"/>
        </w:rPr>
        <w:footnoteReference w:id="10"/>
      </w:r>
      <w:r w:rsidR="00485F4B">
        <w:rPr>
          <w:rFonts w:hint="cs"/>
          <w:sz w:val="26"/>
          <w:szCs w:val="26"/>
          <w:rtl/>
          <w:lang w:bidi="ar-SA"/>
        </w:rPr>
        <w:t xml:space="preserve"> وترفق </w:t>
      </w:r>
      <w:r w:rsidR="00CB3B1D">
        <w:rPr>
          <w:rFonts w:hint="cs"/>
          <w:sz w:val="26"/>
          <w:szCs w:val="26"/>
          <w:rtl/>
          <w:lang w:bidi="ar-SA"/>
        </w:rPr>
        <w:t xml:space="preserve">تلك </w:t>
      </w:r>
      <w:r w:rsidR="00485F4B">
        <w:rPr>
          <w:rFonts w:hint="cs"/>
          <w:sz w:val="26"/>
          <w:szCs w:val="26"/>
          <w:rtl/>
          <w:lang w:bidi="ar-SA"/>
        </w:rPr>
        <w:t>الدراسة بأكملها بالوثيقة الحالية بدون إجراء أي تحرير أو استعراض آخر</w:t>
      </w:r>
      <w:r w:rsidR="004F44A4">
        <w:rPr>
          <w:rFonts w:hint="cs"/>
          <w:sz w:val="26"/>
          <w:szCs w:val="26"/>
          <w:rtl/>
          <w:lang w:bidi="ar-SA"/>
        </w:rPr>
        <w:t>.</w:t>
      </w:r>
    </w:p>
    <w:p w:rsidR="007E5D09" w:rsidRDefault="007E5D09" w:rsidP="00375B22">
      <w:pPr>
        <w:pStyle w:val="StyleHeader4Para4Left0Firstline0"/>
        <w:numPr>
          <w:ilvl w:val="0"/>
          <w:numId w:val="0"/>
        </w:numPr>
        <w:bidi/>
        <w:rPr>
          <w:rtl/>
          <w:lang w:bidi="ar-EG"/>
        </w:rPr>
      </w:pPr>
    </w:p>
    <w:p w:rsidR="007E5D09" w:rsidRDefault="007E5D09">
      <w:pPr>
        <w:rPr>
          <w:rtl/>
          <w:lang w:val="en-CA"/>
        </w:rPr>
      </w:pPr>
    </w:p>
    <w:p w:rsidR="007E5D09" w:rsidRDefault="007E5D09">
      <w:pPr>
        <w:rPr>
          <w:rtl/>
          <w:lang w:val="en-CA"/>
        </w:rPr>
      </w:pPr>
      <w:bookmarkStart w:id="0" w:name="_GoBack"/>
      <w:bookmarkEnd w:id="0"/>
    </w:p>
    <w:sectPr w:rsidR="007E5D09" w:rsidSect="00767DF2">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157" w:rsidRDefault="004A6157">
      <w:r>
        <w:separator/>
      </w:r>
    </w:p>
  </w:endnote>
  <w:endnote w:type="continuationSeparator" w:id="0">
    <w:p w:rsidR="004A6157" w:rsidRDefault="004A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khbar MT">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1E" w:rsidRDefault="004A6157">
    <w:pPr>
      <w:jc w:val="center"/>
    </w:pPr>
    <w:r>
      <w:fldChar w:fldCharType="begin"/>
    </w:r>
    <w:r>
      <w:instrText xml:space="preserve"> PAGE </w:instrText>
    </w:r>
    <w:r>
      <w:fldChar w:fldCharType="separate"/>
    </w:r>
    <w:r w:rsidR="00854B16">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1E" w:rsidRDefault="004A6157">
    <w:pPr>
      <w:jc w:val="center"/>
    </w:pPr>
    <w:r>
      <w:fldChar w:fldCharType="begin"/>
    </w:r>
    <w:r>
      <w:instrText xml:space="preserve"> PAGE </w:instrText>
    </w:r>
    <w:r>
      <w:fldChar w:fldCharType="separate"/>
    </w:r>
    <w:r w:rsidR="00854B16">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EF4" w:rsidRDefault="006A6EF4" w:rsidP="006A6EF4">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rsidR="006A6EF4" w:rsidRDefault="006A6EF4" w:rsidP="006A6EF4">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p w:rsidR="008F631E" w:rsidRDefault="008F631E" w:rsidP="006A6EF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157" w:rsidRDefault="004A6157" w:rsidP="005D64EE">
      <w:pPr>
        <w:bidi/>
      </w:pPr>
      <w:r>
        <w:separator/>
      </w:r>
    </w:p>
  </w:footnote>
  <w:footnote w:type="continuationSeparator" w:id="0">
    <w:p w:rsidR="004A6157" w:rsidRDefault="004A6157">
      <w:r>
        <w:continuationSeparator/>
      </w:r>
    </w:p>
  </w:footnote>
  <w:footnote w:id="1">
    <w:p w:rsidR="008F631E" w:rsidRDefault="008F631E" w:rsidP="00460ED8">
      <w:pPr>
        <w:pStyle w:val="FootnoteText"/>
        <w:bidi/>
        <w:rPr>
          <w:sz w:val="18"/>
          <w:szCs w:val="18"/>
          <w:lang w:val="en-US"/>
        </w:rPr>
      </w:pPr>
      <w:r>
        <w:rPr>
          <w:rStyle w:val="FootnoteReference"/>
        </w:rPr>
        <w:footnoteRef/>
      </w:r>
      <w:r>
        <w:rPr>
          <w:rFonts w:hint="cs"/>
          <w:rtl/>
        </w:rPr>
        <w:t xml:space="preserve"> </w:t>
      </w:r>
      <w:r w:rsidRPr="00460ED8">
        <w:rPr>
          <w:sz w:val="18"/>
          <w:szCs w:val="18"/>
          <w:lang w:val="en-US"/>
        </w:rPr>
        <w:t>UNEP/OzL.Pro/ExCom/86/IAPext/1/Rev.1</w:t>
      </w:r>
    </w:p>
    <w:p w:rsidR="006A6EF4" w:rsidRPr="00460ED8" w:rsidRDefault="006A6EF4" w:rsidP="006A6EF4">
      <w:pPr>
        <w:pStyle w:val="FootnoteText"/>
        <w:bidi/>
        <w:rPr>
          <w:rtl/>
          <w:lang w:bidi="ar-EG"/>
        </w:rPr>
      </w:pPr>
    </w:p>
  </w:footnote>
  <w:footnote w:id="2">
    <w:p w:rsidR="00A051A8" w:rsidRPr="00A051A8" w:rsidRDefault="00A051A8" w:rsidP="00A051A8">
      <w:pPr>
        <w:pStyle w:val="FootnoteText"/>
        <w:bidi/>
        <w:rPr>
          <w:rtl/>
          <w:lang w:bidi="ar-EG"/>
        </w:rPr>
      </w:pPr>
      <w:r>
        <w:rPr>
          <w:rStyle w:val="FootnoteReference"/>
        </w:rPr>
        <w:footnoteRef/>
      </w:r>
      <w:r>
        <w:rPr>
          <w:rFonts w:hint="cs"/>
          <w:rtl/>
          <w:lang w:bidi="ar-EG"/>
        </w:rPr>
        <w:t xml:space="preserve"> الفقرات 6 إلى 105 من الوثيقة </w:t>
      </w:r>
      <w:r>
        <w:t>UNEP/OzL.Pro/ExCom/84/22/Add.1</w:t>
      </w:r>
    </w:p>
  </w:footnote>
  <w:footnote w:id="3">
    <w:p w:rsidR="004F44A4" w:rsidRDefault="004F44A4" w:rsidP="004F44A4">
      <w:pPr>
        <w:pStyle w:val="FootnoteText"/>
        <w:bidi/>
        <w:rPr>
          <w:rtl/>
          <w:lang w:bidi="ar-EG"/>
        </w:rPr>
      </w:pPr>
      <w:r>
        <w:rPr>
          <w:rStyle w:val="FootnoteReference"/>
        </w:rPr>
        <w:footnoteRef/>
      </w:r>
      <w:r>
        <w:rPr>
          <w:rFonts w:hint="cs"/>
          <w:rtl/>
          <w:lang w:bidi="ar-EG"/>
        </w:rPr>
        <w:t xml:space="preserve"> </w:t>
      </w:r>
      <w:r w:rsidR="00274E88" w:rsidRPr="00196B3D">
        <w:t>UNEP/OzL.Pro/ExCom/85/9</w:t>
      </w:r>
    </w:p>
  </w:footnote>
  <w:footnote w:id="4">
    <w:p w:rsidR="004F44A4" w:rsidRPr="00274E88" w:rsidRDefault="004F44A4" w:rsidP="004F44A4">
      <w:pPr>
        <w:pStyle w:val="FootnoteText"/>
        <w:bidi/>
        <w:rPr>
          <w:rtl/>
          <w:lang w:val="en-US" w:bidi="ar-EG"/>
        </w:rPr>
      </w:pPr>
      <w:r>
        <w:rPr>
          <w:rStyle w:val="FootnoteReference"/>
        </w:rPr>
        <w:footnoteRef/>
      </w:r>
      <w:r>
        <w:rPr>
          <w:rFonts w:hint="cs"/>
          <w:rtl/>
          <w:lang w:bidi="ar-EG"/>
        </w:rPr>
        <w:t xml:space="preserve"> </w:t>
      </w:r>
      <w:r w:rsidR="00274E88">
        <w:rPr>
          <w:lang w:val="en-US"/>
        </w:rPr>
        <w:t>UNEP/OzL.Pro/ExCom/86/21/Add.1</w:t>
      </w:r>
    </w:p>
  </w:footnote>
  <w:footnote w:id="5">
    <w:p w:rsidR="004F44A4" w:rsidRDefault="004F44A4" w:rsidP="00C86673">
      <w:pPr>
        <w:pStyle w:val="FootnoteText"/>
        <w:bidi/>
        <w:rPr>
          <w:rtl/>
          <w:lang w:bidi="ar-EG"/>
        </w:rPr>
      </w:pPr>
      <w:r>
        <w:rPr>
          <w:rStyle w:val="FootnoteReference"/>
        </w:rPr>
        <w:footnoteRef/>
      </w:r>
      <w:r>
        <w:rPr>
          <w:rFonts w:hint="cs"/>
          <w:rtl/>
          <w:lang w:bidi="ar-EG"/>
        </w:rPr>
        <w:t xml:space="preserve"> </w:t>
      </w:r>
      <w:r w:rsidR="00274E88">
        <w:rPr>
          <w:rFonts w:hint="cs"/>
          <w:rtl/>
          <w:lang w:bidi="ar-EG"/>
        </w:rPr>
        <w:t>المقرر 8</w:t>
      </w:r>
      <w:r w:rsidR="00C86673">
        <w:rPr>
          <w:rFonts w:hint="cs"/>
          <w:rtl/>
          <w:lang w:bidi="ar-EG"/>
        </w:rPr>
        <w:t>6</w:t>
      </w:r>
      <w:r w:rsidR="00274E88">
        <w:rPr>
          <w:rFonts w:hint="cs"/>
          <w:rtl/>
          <w:lang w:bidi="ar-EG"/>
        </w:rPr>
        <w:t>/41.</w:t>
      </w:r>
    </w:p>
  </w:footnote>
  <w:footnote w:id="6">
    <w:p w:rsidR="004F44A4" w:rsidRDefault="004F44A4" w:rsidP="009C7295">
      <w:pPr>
        <w:pStyle w:val="FootnoteText"/>
        <w:bidi/>
        <w:rPr>
          <w:rtl/>
          <w:lang w:bidi="ar-EG"/>
        </w:rPr>
      </w:pPr>
      <w:r>
        <w:rPr>
          <w:rStyle w:val="FootnoteReference"/>
        </w:rPr>
        <w:footnoteRef/>
      </w:r>
      <w:r>
        <w:rPr>
          <w:rFonts w:hint="cs"/>
          <w:rtl/>
          <w:lang w:bidi="ar-EG"/>
        </w:rPr>
        <w:t xml:space="preserve"> </w:t>
      </w:r>
      <w:r w:rsidR="002164EC">
        <w:rPr>
          <w:rFonts w:hint="cs"/>
          <w:rtl/>
          <w:lang w:bidi="ar-EG"/>
        </w:rPr>
        <w:t>طلبت اللجنة التنفيذية إلى حكومة الصين، من خلال الوكالة المنفذة ذات الصلة، أن تبلغ عن نتائج جهو</w:t>
      </w:r>
      <w:r w:rsidR="009C7295">
        <w:rPr>
          <w:rFonts w:hint="cs"/>
          <w:rtl/>
          <w:lang w:bidi="ar-EG"/>
        </w:rPr>
        <w:t>د</w:t>
      </w:r>
      <w:r w:rsidR="002164EC">
        <w:rPr>
          <w:rFonts w:hint="cs"/>
          <w:rtl/>
          <w:lang w:bidi="ar-EG"/>
        </w:rPr>
        <w:t xml:space="preserve"> </w:t>
      </w:r>
      <w:r w:rsidR="009C7295">
        <w:rPr>
          <w:rFonts w:hint="cs"/>
          <w:rtl/>
          <w:lang w:bidi="ar-EG"/>
        </w:rPr>
        <w:t>الرصد</w:t>
      </w:r>
      <w:r w:rsidR="002164EC">
        <w:rPr>
          <w:rFonts w:hint="cs"/>
          <w:rtl/>
          <w:lang w:bidi="ar-EG"/>
        </w:rPr>
        <w:t xml:space="preserve"> </w:t>
      </w:r>
      <w:r w:rsidR="009C7295">
        <w:rPr>
          <w:rFonts w:hint="cs"/>
          <w:rtl/>
          <w:lang w:bidi="ar-EG"/>
        </w:rPr>
        <w:t xml:space="preserve">التي تبذلها </w:t>
      </w:r>
      <w:r w:rsidR="002164EC">
        <w:rPr>
          <w:rFonts w:hint="cs"/>
          <w:rtl/>
          <w:lang w:bidi="ar-EG"/>
        </w:rPr>
        <w:t>المكاتب المحلية للإيكولو</w:t>
      </w:r>
      <w:r w:rsidR="009C7295">
        <w:rPr>
          <w:rFonts w:hint="cs"/>
          <w:rtl/>
          <w:lang w:bidi="ar-EG"/>
        </w:rPr>
        <w:t>ج</w:t>
      </w:r>
      <w:r w:rsidR="002164EC">
        <w:rPr>
          <w:rFonts w:hint="cs"/>
          <w:rtl/>
          <w:lang w:bidi="ar-EG"/>
        </w:rPr>
        <w:t>يا والبيئة، بما في ذلك الحالات التي تم كشف الكلوروفلوروكربون-11، وذلك في تقارير المراجعة المالية في المستقبل.</w:t>
      </w:r>
    </w:p>
  </w:footnote>
  <w:footnote w:id="7">
    <w:p w:rsidR="004F44A4" w:rsidRDefault="004F44A4" w:rsidP="004F44A4">
      <w:pPr>
        <w:pStyle w:val="FootnoteText"/>
        <w:bidi/>
        <w:rPr>
          <w:rtl/>
          <w:lang w:bidi="ar-EG"/>
        </w:rPr>
      </w:pPr>
      <w:r>
        <w:rPr>
          <w:rStyle w:val="FootnoteReference"/>
        </w:rPr>
        <w:footnoteRef/>
      </w:r>
      <w:r>
        <w:rPr>
          <w:rFonts w:hint="cs"/>
          <w:rtl/>
          <w:lang w:bidi="ar-EG"/>
        </w:rPr>
        <w:t xml:space="preserve"> </w:t>
      </w:r>
      <w:r w:rsidR="002164EC">
        <w:rPr>
          <w:rFonts w:hint="cs"/>
          <w:rtl/>
          <w:lang w:bidi="ar-EG"/>
        </w:rPr>
        <w:t xml:space="preserve">يقدم الجزء الرابع من الوثيقة </w:t>
      </w:r>
      <w:r w:rsidR="002164EC" w:rsidRPr="00506C63">
        <w:t>UNEP/OzL.Pro/ExCom/86/21/Add.1</w:t>
      </w:r>
      <w:r w:rsidR="002164EC">
        <w:rPr>
          <w:rFonts w:hint="cs"/>
          <w:rtl/>
          <w:lang w:bidi="ar-EG"/>
        </w:rPr>
        <w:t xml:space="preserve"> تحديثا حتى الاجتماع السادس والثمانين.</w:t>
      </w:r>
    </w:p>
  </w:footnote>
  <w:footnote w:id="8">
    <w:p w:rsidR="004F44A4" w:rsidRPr="00485F4B" w:rsidRDefault="004F44A4" w:rsidP="004F44A4">
      <w:pPr>
        <w:pStyle w:val="FootnoteText"/>
        <w:bidi/>
        <w:rPr>
          <w:rtl/>
          <w:lang w:bidi="ar-EG"/>
        </w:rPr>
      </w:pPr>
      <w:r>
        <w:rPr>
          <w:rStyle w:val="FootnoteReference"/>
        </w:rPr>
        <w:footnoteRef/>
      </w:r>
      <w:r>
        <w:rPr>
          <w:rFonts w:hint="cs"/>
          <w:rtl/>
          <w:lang w:bidi="ar-EG"/>
        </w:rPr>
        <w:t xml:space="preserve"> </w:t>
      </w:r>
      <w:r w:rsidR="00485F4B" w:rsidRPr="00D959A4">
        <w:t>UNEP/OzL.Pro/ExCom/84/22/Add.1</w:t>
      </w:r>
    </w:p>
  </w:footnote>
  <w:footnote w:id="9">
    <w:p w:rsidR="004F44A4" w:rsidRDefault="004F44A4" w:rsidP="004F44A4">
      <w:pPr>
        <w:pStyle w:val="FootnoteText"/>
        <w:bidi/>
        <w:rPr>
          <w:rtl/>
          <w:lang w:bidi="ar-EG"/>
        </w:rPr>
      </w:pPr>
      <w:r>
        <w:rPr>
          <w:rStyle w:val="FootnoteReference"/>
        </w:rPr>
        <w:footnoteRef/>
      </w:r>
      <w:r>
        <w:rPr>
          <w:rFonts w:hint="cs"/>
          <w:rtl/>
          <w:lang w:bidi="ar-EG"/>
        </w:rPr>
        <w:t xml:space="preserve"> </w:t>
      </w:r>
      <w:r w:rsidR="00485F4B" w:rsidRPr="00774AE8">
        <w:rPr>
          <w:lang w:val="en-US"/>
        </w:rPr>
        <w:t>UNEP/OzL.Pro/ExCom/86/IAPext/1/Rev.1</w:t>
      </w:r>
    </w:p>
  </w:footnote>
  <w:footnote w:id="10">
    <w:p w:rsidR="00485F4B" w:rsidRDefault="00485F4B" w:rsidP="00485F4B">
      <w:pPr>
        <w:pStyle w:val="FootnoteText"/>
        <w:bidi/>
        <w:rPr>
          <w:rtl/>
          <w:lang w:bidi="ar-EG"/>
        </w:rPr>
      </w:pPr>
      <w:r>
        <w:rPr>
          <w:rStyle w:val="FootnoteReference"/>
        </w:rPr>
        <w:footnoteRef/>
      </w:r>
      <w:r>
        <w:rPr>
          <w:rFonts w:hint="cs"/>
          <w:rtl/>
          <w:lang w:bidi="ar-EG"/>
        </w:rPr>
        <w:t xml:space="preserve"> </w:t>
      </w:r>
      <w:r w:rsidRPr="00774AE8">
        <w:rPr>
          <w:lang w:val="en-US"/>
        </w:rPr>
        <w:t>UNEP/OzL.Pro/ExCom/86/IAPext/1/Rev.1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1E" w:rsidRDefault="00ED4266" w:rsidP="005759A9">
    <w:pPr>
      <w:jc w:val="right"/>
    </w:pPr>
    <w:r>
      <w:fldChar w:fldCharType="begin"/>
    </w:r>
    <w:r w:rsidR="008F631E">
      <w:instrText xml:space="preserve"> DOCPROPERTY "Document number"  \* MERGEFORMAT </w:instrText>
    </w:r>
    <w:r>
      <w:fldChar w:fldCharType="separate"/>
    </w:r>
    <w:r w:rsidR="008F631E">
      <w:t>UNEP/OzL.Pro/ExCom/87/9/Add.1</w:t>
    </w:r>
    <w:r>
      <w:fldChar w:fldCharType="end"/>
    </w:r>
  </w:p>
  <w:p w:rsidR="008F631E" w:rsidRDefault="008F631E" w:rsidP="005759A9">
    <w:pPr>
      <w:jc w:val="right"/>
    </w:pPr>
  </w:p>
  <w:p w:rsidR="008F631E" w:rsidRDefault="008F631E" w:rsidP="005759A9">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1E" w:rsidRDefault="00ED4266" w:rsidP="005759A9">
    <w:pPr>
      <w:jc w:val="left"/>
    </w:pPr>
    <w:r>
      <w:fldChar w:fldCharType="begin"/>
    </w:r>
    <w:r w:rsidR="008F631E">
      <w:instrText xml:space="preserve"> DOCPROPERTY "Document number"  \* MERGEFORMAT </w:instrText>
    </w:r>
    <w:r>
      <w:fldChar w:fldCharType="separate"/>
    </w:r>
    <w:r w:rsidR="008F631E">
      <w:t>UNEP/OzL.Pro/ExCom/87/9/Add.1</w:t>
    </w:r>
    <w:r>
      <w:fldChar w:fldCharType="end"/>
    </w:r>
  </w:p>
  <w:p w:rsidR="008F631E" w:rsidRDefault="008F631E"/>
  <w:p w:rsidR="008F631E" w:rsidRDefault="008F63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1011F76"/>
    <w:multiLevelType w:val="hybridMultilevel"/>
    <w:tmpl w:val="46D25E9C"/>
    <w:lvl w:ilvl="0" w:tplc="79DC7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452245"/>
    <w:multiLevelType w:val="hybridMultilevel"/>
    <w:tmpl w:val="AD2E68E0"/>
    <w:lvl w:ilvl="0" w:tplc="DC564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54EFC"/>
    <w:multiLevelType w:val="hybridMultilevel"/>
    <w:tmpl w:val="8DC8B5B8"/>
    <w:lvl w:ilvl="0" w:tplc="79DC7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E7F69CF"/>
    <w:multiLevelType w:val="hybridMultilevel"/>
    <w:tmpl w:val="109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76D3F"/>
    <w:multiLevelType w:val="hybridMultilevel"/>
    <w:tmpl w:val="D34234F0"/>
    <w:lvl w:ilvl="0" w:tplc="D0EC9B8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807C62"/>
    <w:multiLevelType w:val="hybridMultilevel"/>
    <w:tmpl w:val="6FBCEAAA"/>
    <w:lvl w:ilvl="0" w:tplc="8D8EF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428BE"/>
    <w:multiLevelType w:val="hybridMultilevel"/>
    <w:tmpl w:val="92C2A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9"/>
  </w:num>
  <w:num w:numId="19">
    <w:abstractNumId w:val="24"/>
  </w:num>
  <w:num w:numId="20">
    <w:abstractNumId w:val="17"/>
  </w:num>
  <w:num w:numId="21">
    <w:abstractNumId w:val="12"/>
  </w:num>
  <w:num w:numId="22">
    <w:abstractNumId w:val="16"/>
  </w:num>
  <w:num w:numId="23">
    <w:abstractNumId w:val="20"/>
  </w:num>
  <w:num w:numId="24">
    <w:abstractNumId w:val="23"/>
  </w:num>
  <w:num w:numId="25">
    <w:abstractNumId w:val="11"/>
  </w:num>
  <w:num w:numId="26">
    <w:abstractNumId w:val="14"/>
  </w:num>
  <w:num w:numId="27">
    <w:abstractNumId w:val="22"/>
  </w:num>
  <w:num w:numId="28">
    <w:abstractNumId w:val="21"/>
  </w:num>
  <w:num w:numId="2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7145"/>
    <w:rsid w:val="00013372"/>
    <w:rsid w:val="00015F4A"/>
    <w:rsid w:val="000162DB"/>
    <w:rsid w:val="00017133"/>
    <w:rsid w:val="0004254A"/>
    <w:rsid w:val="00047FAB"/>
    <w:rsid w:val="00050B22"/>
    <w:rsid w:val="0007425D"/>
    <w:rsid w:val="000861FE"/>
    <w:rsid w:val="000936E9"/>
    <w:rsid w:val="000C2FE8"/>
    <w:rsid w:val="00126AD7"/>
    <w:rsid w:val="00152C0D"/>
    <w:rsid w:val="001745CD"/>
    <w:rsid w:val="00186E51"/>
    <w:rsid w:val="001E07DF"/>
    <w:rsid w:val="001E2259"/>
    <w:rsid w:val="002164EC"/>
    <w:rsid w:val="00274E88"/>
    <w:rsid w:val="002B54E1"/>
    <w:rsid w:val="002E250A"/>
    <w:rsid w:val="002E688B"/>
    <w:rsid w:val="002E7EF7"/>
    <w:rsid w:val="002F505F"/>
    <w:rsid w:val="00320289"/>
    <w:rsid w:val="00363DDB"/>
    <w:rsid w:val="00363F39"/>
    <w:rsid w:val="0037167A"/>
    <w:rsid w:val="00375B22"/>
    <w:rsid w:val="003F2852"/>
    <w:rsid w:val="004113EE"/>
    <w:rsid w:val="00460ED8"/>
    <w:rsid w:val="00485F4B"/>
    <w:rsid w:val="004A6157"/>
    <w:rsid w:val="004C54E5"/>
    <w:rsid w:val="004C5B74"/>
    <w:rsid w:val="004F44A4"/>
    <w:rsid w:val="00536690"/>
    <w:rsid w:val="005759A9"/>
    <w:rsid w:val="00575A43"/>
    <w:rsid w:val="005971AF"/>
    <w:rsid w:val="005C7D4A"/>
    <w:rsid w:val="005D64EE"/>
    <w:rsid w:val="005E7145"/>
    <w:rsid w:val="00662A73"/>
    <w:rsid w:val="006A1EDC"/>
    <w:rsid w:val="006A6EF4"/>
    <w:rsid w:val="006E09F1"/>
    <w:rsid w:val="006F2A2C"/>
    <w:rsid w:val="00757F8D"/>
    <w:rsid w:val="00767DF2"/>
    <w:rsid w:val="00786775"/>
    <w:rsid w:val="007909BB"/>
    <w:rsid w:val="007C4287"/>
    <w:rsid w:val="007D567C"/>
    <w:rsid w:val="007E5D09"/>
    <w:rsid w:val="007F100D"/>
    <w:rsid w:val="0082473D"/>
    <w:rsid w:val="008422FF"/>
    <w:rsid w:val="00854B16"/>
    <w:rsid w:val="0089665A"/>
    <w:rsid w:val="008B0BFD"/>
    <w:rsid w:val="008E3DF3"/>
    <w:rsid w:val="008F631E"/>
    <w:rsid w:val="009472BD"/>
    <w:rsid w:val="00953E33"/>
    <w:rsid w:val="0096286F"/>
    <w:rsid w:val="00983FD1"/>
    <w:rsid w:val="009C7295"/>
    <w:rsid w:val="00A038C4"/>
    <w:rsid w:val="00A051A8"/>
    <w:rsid w:val="00A378FD"/>
    <w:rsid w:val="00A44778"/>
    <w:rsid w:val="00AA6519"/>
    <w:rsid w:val="00AB4886"/>
    <w:rsid w:val="00AF1FC2"/>
    <w:rsid w:val="00B11DB6"/>
    <w:rsid w:val="00B17645"/>
    <w:rsid w:val="00B40E87"/>
    <w:rsid w:val="00B81E83"/>
    <w:rsid w:val="00B93061"/>
    <w:rsid w:val="00BA6018"/>
    <w:rsid w:val="00BF7C8A"/>
    <w:rsid w:val="00C0337B"/>
    <w:rsid w:val="00C55EF2"/>
    <w:rsid w:val="00C732F0"/>
    <w:rsid w:val="00C86673"/>
    <w:rsid w:val="00C96FF1"/>
    <w:rsid w:val="00CB3B1D"/>
    <w:rsid w:val="00D37195"/>
    <w:rsid w:val="00DB4203"/>
    <w:rsid w:val="00E1360E"/>
    <w:rsid w:val="00E9335F"/>
    <w:rsid w:val="00EB56C5"/>
    <w:rsid w:val="00EC108E"/>
    <w:rsid w:val="00ED4266"/>
    <w:rsid w:val="00F13CB3"/>
    <w:rsid w:val="00F603FB"/>
    <w:rsid w:val="00F9369D"/>
    <w:rsid w:val="00FF0E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C2AC94-9B43-4ECB-A0D5-7B0C16A8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DF2"/>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767DF2"/>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rsid w:val="00767DF2"/>
    <w:pPr>
      <w:widowControl w:val="0"/>
      <w:numPr>
        <w:ilvl w:val="1"/>
        <w:numId w:val="2"/>
      </w:numPr>
      <w:spacing w:after="240"/>
      <w:outlineLvl w:val="1"/>
    </w:pPr>
  </w:style>
  <w:style w:type="paragraph" w:styleId="Heading3">
    <w:name w:val="heading 3"/>
    <w:aliases w:val="Char"/>
    <w:basedOn w:val="Normal"/>
    <w:next w:val="Normal"/>
    <w:qFormat/>
    <w:rsid w:val="00767DF2"/>
    <w:pPr>
      <w:widowControl w:val="0"/>
      <w:numPr>
        <w:ilvl w:val="2"/>
        <w:numId w:val="3"/>
      </w:numPr>
      <w:spacing w:after="240"/>
      <w:outlineLvl w:val="2"/>
    </w:pPr>
  </w:style>
  <w:style w:type="paragraph" w:styleId="Heading4">
    <w:name w:val="heading 4"/>
    <w:aliases w:val="Heading 11"/>
    <w:basedOn w:val="Normal"/>
    <w:next w:val="Heading9"/>
    <w:qFormat/>
    <w:rsid w:val="00767DF2"/>
    <w:pPr>
      <w:keepNext/>
      <w:numPr>
        <w:ilvl w:val="3"/>
        <w:numId w:val="4"/>
      </w:numPr>
      <w:spacing w:before="240" w:after="60"/>
      <w:outlineLvl w:val="3"/>
    </w:pPr>
  </w:style>
  <w:style w:type="paragraph" w:styleId="Heading5">
    <w:name w:val="heading 5"/>
    <w:basedOn w:val="Normal"/>
    <w:next w:val="Normal"/>
    <w:qFormat/>
    <w:rsid w:val="00767DF2"/>
    <w:pPr>
      <w:keepNext/>
      <w:numPr>
        <w:numId w:val="20"/>
      </w:numPr>
      <w:spacing w:after="240"/>
      <w:ind w:left="3600" w:hanging="720"/>
      <w:outlineLvl w:val="4"/>
    </w:pPr>
  </w:style>
  <w:style w:type="paragraph" w:styleId="Heading6">
    <w:name w:val="heading 6"/>
    <w:basedOn w:val="Normal"/>
    <w:next w:val="Normal"/>
    <w:qFormat/>
    <w:rsid w:val="00767DF2"/>
    <w:pPr>
      <w:numPr>
        <w:ilvl w:val="5"/>
        <w:numId w:val="1"/>
      </w:numPr>
      <w:spacing w:before="240" w:after="60"/>
      <w:outlineLvl w:val="5"/>
    </w:pPr>
    <w:rPr>
      <w:rFonts w:ascii="Arial" w:hAnsi="Arial"/>
      <w:i/>
    </w:rPr>
  </w:style>
  <w:style w:type="paragraph" w:styleId="Heading7">
    <w:name w:val="heading 7"/>
    <w:basedOn w:val="Normal"/>
    <w:next w:val="Normal"/>
    <w:qFormat/>
    <w:rsid w:val="00767DF2"/>
    <w:pPr>
      <w:numPr>
        <w:ilvl w:val="6"/>
        <w:numId w:val="1"/>
      </w:numPr>
      <w:spacing w:before="240" w:after="60"/>
      <w:outlineLvl w:val="6"/>
    </w:pPr>
    <w:rPr>
      <w:rFonts w:ascii="Arial" w:hAnsi="Arial"/>
    </w:rPr>
  </w:style>
  <w:style w:type="paragraph" w:styleId="Heading8">
    <w:name w:val="heading 8"/>
    <w:basedOn w:val="Normal"/>
    <w:next w:val="Normal"/>
    <w:qFormat/>
    <w:rsid w:val="00767DF2"/>
    <w:pPr>
      <w:outlineLvl w:val="7"/>
    </w:pPr>
    <w:rPr>
      <w:b/>
    </w:rPr>
  </w:style>
  <w:style w:type="paragraph" w:styleId="Heading9">
    <w:name w:val="heading 9"/>
    <w:basedOn w:val="Normal"/>
    <w:next w:val="Normal"/>
    <w:qFormat/>
    <w:rsid w:val="00767DF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767DF2"/>
    <w:pPr>
      <w:numPr>
        <w:numId w:val="16"/>
      </w:numPr>
    </w:pPr>
  </w:style>
  <w:style w:type="paragraph" w:styleId="Header">
    <w:name w:val="header"/>
    <w:basedOn w:val="Normal"/>
    <w:rsid w:val="00767DF2"/>
    <w:pPr>
      <w:tabs>
        <w:tab w:val="center" w:pos="4320"/>
        <w:tab w:val="right" w:pos="8640"/>
      </w:tabs>
    </w:pPr>
  </w:style>
  <w:style w:type="paragraph" w:customStyle="1" w:styleId="sub-title">
    <w:name w:val="sub-title"/>
    <w:rsid w:val="00767DF2"/>
    <w:pPr>
      <w:jc w:val="both"/>
      <w:outlineLvl w:val="0"/>
    </w:pPr>
    <w:rPr>
      <w:b/>
      <w:noProof/>
      <w:sz w:val="22"/>
      <w:szCs w:val="22"/>
    </w:rPr>
  </w:style>
  <w:style w:type="paragraph" w:customStyle="1" w:styleId="Title1">
    <w:name w:val="Title1"/>
    <w:rsid w:val="00767DF2"/>
    <w:pPr>
      <w:jc w:val="center"/>
      <w:outlineLvl w:val="0"/>
    </w:pPr>
    <w:rPr>
      <w:b/>
      <w:caps/>
      <w:sz w:val="22"/>
      <w:szCs w:val="22"/>
      <w:lang w:val="en-GB"/>
    </w:rPr>
  </w:style>
  <w:style w:type="paragraph" w:customStyle="1" w:styleId="Decision">
    <w:name w:val="Decision"/>
    <w:basedOn w:val="Normal"/>
    <w:rsid w:val="00767DF2"/>
    <w:pPr>
      <w:keepLines/>
      <w:jc w:val="right"/>
    </w:pPr>
    <w:rPr>
      <w:b/>
    </w:rPr>
  </w:style>
  <w:style w:type="paragraph" w:customStyle="1" w:styleId="0Heading0">
    <w:name w:val="0 Heading 0"/>
    <w:uiPriority w:val="99"/>
    <w:rsid w:val="00767DF2"/>
    <w:rPr>
      <w:sz w:val="22"/>
      <w:szCs w:val="22"/>
      <w:lang w:val="en-GB"/>
    </w:rPr>
  </w:style>
  <w:style w:type="paragraph" w:styleId="Footer">
    <w:name w:val="footer"/>
    <w:basedOn w:val="Normal"/>
    <w:link w:val="FooterChar"/>
    <w:uiPriority w:val="99"/>
    <w:rsid w:val="00767DF2"/>
    <w:pPr>
      <w:tabs>
        <w:tab w:val="center" w:pos="4320"/>
        <w:tab w:val="right" w:pos="8640"/>
      </w:tabs>
    </w:pPr>
  </w:style>
  <w:style w:type="numbering" w:styleId="1ai">
    <w:name w:val="Outline List 1"/>
    <w:basedOn w:val="NoList"/>
    <w:semiHidden/>
    <w:rsid w:val="00767DF2"/>
    <w:pPr>
      <w:numPr>
        <w:numId w:val="17"/>
      </w:numPr>
    </w:pPr>
  </w:style>
  <w:style w:type="numbering" w:styleId="ArticleSection">
    <w:name w:val="Outline List 3"/>
    <w:basedOn w:val="NoList"/>
    <w:semiHidden/>
    <w:rsid w:val="00767DF2"/>
    <w:pPr>
      <w:numPr>
        <w:numId w:val="18"/>
      </w:numPr>
    </w:pPr>
  </w:style>
  <w:style w:type="paragraph" w:styleId="BlockText">
    <w:name w:val="Block Text"/>
    <w:basedOn w:val="Normal"/>
    <w:semiHidden/>
    <w:rsid w:val="00767DF2"/>
    <w:pPr>
      <w:spacing w:after="120"/>
      <w:ind w:left="1440" w:right="1440"/>
    </w:pPr>
  </w:style>
  <w:style w:type="paragraph" w:styleId="BodyText3">
    <w:name w:val="Body Text 3"/>
    <w:basedOn w:val="Normal"/>
    <w:semiHidden/>
    <w:rsid w:val="00767DF2"/>
    <w:pPr>
      <w:spacing w:after="120"/>
    </w:pPr>
    <w:rPr>
      <w:sz w:val="16"/>
      <w:szCs w:val="16"/>
    </w:rPr>
  </w:style>
  <w:style w:type="paragraph" w:styleId="BodyTextIndent3">
    <w:name w:val="Body Text Indent 3"/>
    <w:basedOn w:val="Normal"/>
    <w:semiHidden/>
    <w:rsid w:val="00767DF2"/>
    <w:pPr>
      <w:spacing w:after="120"/>
      <w:ind w:left="360"/>
    </w:pPr>
    <w:rPr>
      <w:sz w:val="16"/>
      <w:szCs w:val="16"/>
    </w:rPr>
  </w:style>
  <w:style w:type="paragraph" w:styleId="PlainText">
    <w:name w:val="Plain Text"/>
    <w:basedOn w:val="Normal"/>
    <w:semiHidden/>
    <w:rsid w:val="00767DF2"/>
    <w:rPr>
      <w:rFonts w:ascii="Courier New" w:hAnsi="Courier New" w:cs="Courier New"/>
      <w:sz w:val="20"/>
    </w:rPr>
  </w:style>
  <w:style w:type="table" w:styleId="Table3Deffects1">
    <w:name w:val="Table 3D effects 1"/>
    <w:basedOn w:val="TableNormal"/>
    <w:semiHidden/>
    <w:rsid w:val="00767D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67D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67D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67D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67D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67D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67D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67D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67D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67D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67D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67D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67D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67D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67D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67D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67D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767D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67D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67D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67D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67D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67D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67D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67D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67D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67D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67D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67D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67D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67D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67D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67D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67D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67D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67D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67D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67D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67D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67D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67D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67D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67D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67D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767DF2"/>
    <w:rPr>
      <w:sz w:val="22"/>
      <w:szCs w:val="22"/>
      <w:lang w:val="en-GB"/>
    </w:rPr>
  </w:style>
  <w:style w:type="paragraph" w:customStyle="1" w:styleId="Header4">
    <w:name w:val="Header4"/>
    <w:aliases w:val="Para 4"/>
    <w:basedOn w:val="Normal"/>
    <w:next w:val="Normal"/>
    <w:rsid w:val="00767DF2"/>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767DF2"/>
    <w:rPr>
      <w:sz w:val="16"/>
      <w:szCs w:val="16"/>
    </w:rPr>
  </w:style>
  <w:style w:type="paragraph" w:styleId="Subtitle">
    <w:name w:val="Subtitle"/>
    <w:basedOn w:val="Normal"/>
    <w:qFormat/>
    <w:rsid w:val="00767DF2"/>
    <w:pPr>
      <w:spacing w:after="60"/>
      <w:jc w:val="center"/>
      <w:outlineLvl w:val="1"/>
    </w:pPr>
    <w:rPr>
      <w:rFonts w:ascii="Arial" w:hAnsi="Arial" w:cs="Arial"/>
    </w:rPr>
  </w:style>
  <w:style w:type="paragraph" w:styleId="Title">
    <w:name w:val="Title"/>
    <w:basedOn w:val="Normal"/>
    <w:qFormat/>
    <w:rsid w:val="00767DF2"/>
    <w:pPr>
      <w:spacing w:before="240" w:after="60"/>
      <w:jc w:val="center"/>
      <w:outlineLvl w:val="0"/>
    </w:pPr>
    <w:rPr>
      <w:rFonts w:ascii="Arial" w:hAnsi="Arial" w:cs="Arial"/>
      <w:b/>
      <w:bCs/>
      <w:kern w:val="28"/>
    </w:rPr>
  </w:style>
  <w:style w:type="paragraph" w:styleId="Date">
    <w:name w:val="Date"/>
    <w:basedOn w:val="Normal"/>
    <w:next w:val="Normal"/>
    <w:rsid w:val="00767DF2"/>
  </w:style>
  <w:style w:type="character" w:styleId="PlaceholderText">
    <w:name w:val="Placeholder Text"/>
    <w:basedOn w:val="DefaultParagraphFont"/>
    <w:uiPriority w:val="99"/>
    <w:semiHidden/>
    <w:rsid w:val="00767DF2"/>
    <w:rPr>
      <w:color w:val="808080"/>
    </w:rPr>
  </w:style>
  <w:style w:type="paragraph" w:styleId="BalloonText">
    <w:name w:val="Balloon Text"/>
    <w:basedOn w:val="Normal"/>
    <w:link w:val="BalloonTextChar"/>
    <w:uiPriority w:val="99"/>
    <w:semiHidden/>
    <w:unhideWhenUsed/>
    <w:rsid w:val="00767DF2"/>
    <w:rPr>
      <w:rFonts w:ascii="Tahoma" w:hAnsi="Tahoma" w:cs="Tahoma"/>
      <w:sz w:val="16"/>
      <w:szCs w:val="16"/>
    </w:rPr>
  </w:style>
  <w:style w:type="character" w:customStyle="1" w:styleId="BalloonTextChar">
    <w:name w:val="Balloon Text Char"/>
    <w:basedOn w:val="DefaultParagraphFont"/>
    <w:link w:val="BalloonText"/>
    <w:uiPriority w:val="99"/>
    <w:semiHidden/>
    <w:rsid w:val="00767DF2"/>
    <w:rPr>
      <w:rFonts w:ascii="Tahoma" w:hAnsi="Tahoma" w:cs="Tahoma"/>
      <w:sz w:val="16"/>
      <w:szCs w:val="16"/>
      <w:lang w:val="en-GB"/>
    </w:rPr>
  </w:style>
  <w:style w:type="paragraph" w:styleId="CommentText">
    <w:name w:val="annotation text"/>
    <w:basedOn w:val="Normal"/>
    <w:link w:val="CommentTextChar"/>
    <w:uiPriority w:val="99"/>
    <w:semiHidden/>
    <w:unhideWhenUsed/>
    <w:rsid w:val="00767DF2"/>
    <w:rPr>
      <w:sz w:val="20"/>
    </w:rPr>
  </w:style>
  <w:style w:type="character" w:customStyle="1" w:styleId="CommentTextChar">
    <w:name w:val="Comment Text Char"/>
    <w:basedOn w:val="DefaultParagraphFont"/>
    <w:link w:val="CommentText"/>
    <w:uiPriority w:val="99"/>
    <w:semiHidden/>
    <w:rsid w:val="00767DF2"/>
    <w:rPr>
      <w:lang w:val="en-GB"/>
    </w:rPr>
  </w:style>
  <w:style w:type="paragraph" w:styleId="CommentSubject">
    <w:name w:val="annotation subject"/>
    <w:basedOn w:val="CommentText"/>
    <w:next w:val="CommentText"/>
    <w:link w:val="CommentSubjectChar"/>
    <w:uiPriority w:val="99"/>
    <w:semiHidden/>
    <w:unhideWhenUsed/>
    <w:rsid w:val="00767DF2"/>
    <w:rPr>
      <w:b/>
      <w:bCs/>
    </w:rPr>
  </w:style>
  <w:style w:type="character" w:customStyle="1" w:styleId="CommentSubjectChar">
    <w:name w:val="Comment Subject Char"/>
    <w:basedOn w:val="CommentTextChar"/>
    <w:link w:val="CommentSubject"/>
    <w:uiPriority w:val="99"/>
    <w:semiHidden/>
    <w:rsid w:val="00767DF2"/>
    <w:rPr>
      <w:b/>
      <w:bCs/>
      <w:lang w:val="en-GB"/>
    </w:rPr>
  </w:style>
  <w:style w:type="paragraph" w:customStyle="1" w:styleId="StyleHeader4Para4Left0Firstline0">
    <w:name w:val="Style Header4Para 4 + Left:  0&quot; First line:  0&quot;"/>
    <w:basedOn w:val="Header4"/>
    <w:rsid w:val="00767DF2"/>
    <w:pPr>
      <w:ind w:left="0" w:firstLine="0"/>
    </w:pPr>
    <w:rPr>
      <w:sz w:val="20"/>
    </w:rPr>
  </w:style>
  <w:style w:type="paragraph" w:styleId="Caption">
    <w:name w:val="caption"/>
    <w:basedOn w:val="Normal"/>
    <w:next w:val="Normal"/>
    <w:qFormat/>
    <w:rsid w:val="00767DF2"/>
    <w:pPr>
      <w:bidi/>
      <w:ind w:left="180" w:hanging="180"/>
      <w:jc w:val="lowKashida"/>
    </w:pPr>
    <w:rPr>
      <w:rFonts w:cs="Simplified Arabic"/>
      <w:szCs w:val="32"/>
      <w:lang w:val="en-US" w:eastAsia="en-CA"/>
    </w:rPr>
  </w:style>
  <w:style w:type="character" w:styleId="PageNumber">
    <w:name w:val="page number"/>
    <w:basedOn w:val="DefaultParagraphFont"/>
    <w:semiHidden/>
    <w:rsid w:val="00767DF2"/>
  </w:style>
  <w:style w:type="character" w:customStyle="1" w:styleId="FooterChar">
    <w:name w:val="Footer Char"/>
    <w:basedOn w:val="DefaultParagraphFont"/>
    <w:link w:val="Footer"/>
    <w:uiPriority w:val="99"/>
    <w:rsid w:val="00767DF2"/>
    <w:rPr>
      <w:sz w:val="24"/>
      <w:lang w:val="en-GB" w:bidi="ar-DZ"/>
    </w:rPr>
  </w:style>
  <w:style w:type="paragraph" w:styleId="FootnoteText">
    <w:name w:val="footnote text"/>
    <w:aliases w:val=" Char1, Char1 Char Char,Fußnotentextf,Char1,Char1 Char Char,fn,footnote text,Footnotes,Footnote ak,Texto nota pie Car Car Car Car,Footnote Text Char Char,Footnote Text Char1 Char Char,Footnote Text Char Char1 Char Char,Footnote Text Char1"/>
    <w:basedOn w:val="Normal"/>
    <w:link w:val="FootnoteTextChar"/>
    <w:uiPriority w:val="99"/>
    <w:unhideWhenUsed/>
    <w:qFormat/>
    <w:rsid w:val="00C0337B"/>
    <w:rPr>
      <w:sz w:val="20"/>
    </w:rPr>
  </w:style>
  <w:style w:type="character" w:customStyle="1" w:styleId="FootnoteTextChar">
    <w:name w:val="Footnote Text Char"/>
    <w:aliases w:val=" Char1 Char, Char1 Char Char Char,Fußnotentextf Char,Char1 Char,Char1 Char Char Char,fn Char,footnote text Char,Footnotes Char,Footnote ak Char,Texto nota pie Car Car Car Car Char,Footnote Text Char Char Char,Footnote Text Char1 Char"/>
    <w:basedOn w:val="DefaultParagraphFont"/>
    <w:link w:val="FootnoteText"/>
    <w:uiPriority w:val="99"/>
    <w:rsid w:val="00C0337B"/>
    <w:rPr>
      <w:lang w:val="en-GB" w:bidi="ar-DZ"/>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basedOn w:val="DefaultParagraphFont"/>
    <w:uiPriority w:val="99"/>
    <w:unhideWhenUsed/>
    <w:rsid w:val="00C0337B"/>
    <w:rPr>
      <w:vertAlign w:val="superscript"/>
    </w:rPr>
  </w:style>
  <w:style w:type="paragraph" w:styleId="ListParagraph">
    <w:name w:val="List Paragraph"/>
    <w:aliases w:val="列出段落YUAN,List Paragraph (numbered (a)),WB Para,Bullet OSM,Bullets,CORE-1.1.1,Dot pt,Heading 2_sj,List Paragraph11,Numbered Para 1,Proposal Bullet List,Report Para,Resume Title,TOC style,Table,WinDForce-Letter,bullets,d_bodyb,lp1,L"/>
    <w:basedOn w:val="Normal"/>
    <w:link w:val="ListParagraphChar"/>
    <w:uiPriority w:val="34"/>
    <w:qFormat/>
    <w:rsid w:val="00152C0D"/>
    <w:pPr>
      <w:ind w:left="720"/>
      <w:contextualSpacing/>
    </w:pPr>
  </w:style>
  <w:style w:type="character" w:customStyle="1" w:styleId="ListParagraphChar">
    <w:name w:val="List Paragraph Char"/>
    <w:aliases w:val="列出段落YUAN Char,List Paragraph (numbered (a)) Char,WB Para Char,Bullet OSM Char,Bullets Char,CORE-1.1.1 Char,Dot pt Char,Heading 2_sj Char,List Paragraph11 Char,Numbered Para 1 Char,Proposal Bullet List Char,Report Para Char,Table Char"/>
    <w:link w:val="ListParagraph"/>
    <w:uiPriority w:val="34"/>
    <w:qFormat/>
    <w:locked/>
    <w:rsid w:val="00363DDB"/>
    <w:rPr>
      <w:sz w:val="24"/>
      <w:lang w:val="en-GB" w:bidi="ar-DZ"/>
    </w:rPr>
  </w:style>
  <w:style w:type="table" w:customStyle="1" w:styleId="TableGrid10">
    <w:name w:val="Table Grid1"/>
    <w:basedOn w:val="TableNormal"/>
    <w:next w:val="TableGrid"/>
    <w:qFormat/>
    <w:rsid w:val="008F631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Favorites\Documents\Desktop\A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344F64B3C0BD4E94486C1C70C35CAD" ma:contentTypeVersion="2" ma:contentTypeDescription="Create a new document." ma:contentTypeScope="" ma:versionID="01cbea7de0b77e343a564bcfd9a09bdc">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UNEP/OzL.Pro/ExCom/87/9/Add.1</Document_x0020_Number>
    <DocumentType xmlns="48d2d36d-b4e3-478b-a344-cdbeebaca89a">Pre-session</DocumentType>
  </documentManagement>
</p:properties>
</file>

<file path=customXml/itemProps1.xml><?xml version="1.0" encoding="utf-8"?>
<ds:datastoreItem xmlns:ds="http://schemas.openxmlformats.org/officeDocument/2006/customXml" ds:itemID="{C82A98DA-2966-46EB-AEC3-F0F1CE6D005B}"/>
</file>

<file path=customXml/itemProps2.xml><?xml version="1.0" encoding="utf-8"?>
<ds:datastoreItem xmlns:ds="http://schemas.openxmlformats.org/officeDocument/2006/customXml" ds:itemID="{2CCDE466-65C5-4513-99F0-8CD47D917154}"/>
</file>

<file path=customXml/itemProps3.xml><?xml version="1.0" encoding="utf-8"?>
<ds:datastoreItem xmlns:ds="http://schemas.openxmlformats.org/officeDocument/2006/customXml" ds:itemID="{88CAD64E-BC03-4B1A-AAE0-6C8E3B0ADCC5}"/>
</file>

<file path=customXml/itemProps4.xml><?xml version="1.0" encoding="utf-8"?>
<ds:datastoreItem xmlns:ds="http://schemas.openxmlformats.org/officeDocument/2006/customXml" ds:itemID="{CE769285-DE66-41B7-A848-12217279708A}"/>
</file>

<file path=docProps/app.xml><?xml version="1.0" encoding="utf-8"?>
<Properties xmlns="http://schemas.openxmlformats.org/officeDocument/2006/extended-properties" xmlns:vt="http://schemas.openxmlformats.org/officeDocument/2006/docPropsVTypes">
  <Template>A87-template</Template>
  <TotalTime>221</TotalTime>
  <Pages>6</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تقارير عن المشروعات ذات متطلبات إبلاغ محددة - إضافة</vt:lpstr>
    </vt:vector>
  </TitlesOfParts>
  <Company>UNMFS</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تقارير عن المشروعات ذات متطلبات إبلاغ محددة - إضافة</dc:title>
  <dc:creator>UNMFS</dc:creator>
  <cp:lastModifiedBy>HB</cp:lastModifiedBy>
  <cp:revision>9</cp:revision>
  <cp:lastPrinted>2001-05-26T16:40:00Z</cp:lastPrinted>
  <dcterms:created xsi:type="dcterms:W3CDTF">2021-06-18T21:34:00Z</dcterms:created>
  <dcterms:modified xsi:type="dcterms:W3CDTF">2021-07-03T23:44:00Z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UNEP/OzL.Pro/ExCom/87/9/Add.1</vt:lpwstr>
  </property>
  <property fmtid="{D5CDD505-2E9C-101B-9397-08002B2CF9AE}" pid="3" name="Revision date">
    <vt:lpwstr>6/14/2021</vt:lpwstr>
  </property>
  <property fmtid="{D5CDD505-2E9C-101B-9397-08002B2CF9AE}" pid="4" name="ContentTypeId">
    <vt:lpwstr>0x010100B3344F64B3C0BD4E94486C1C70C35CAD</vt:lpwstr>
  </property>
</Properties>
</file>