
<file path=[Content_Types].xml><?xml version="1.0" encoding="utf-8"?>
<Types xmlns="http://schemas.openxmlformats.org/package/2006/content-types">
  <Override PartName="/word/footnotes.xml" ContentType="application/vnd.openxmlformats-officedocument.wordprocessingml.footnotes+xml"/>
  <Override PartName="/customXml/itemProps3.xml" ContentType="application/vnd.openxmlformats-officedocument.customXmlProperties+xml"/>
  <Override PartName="/customXml/itemProps1.xml" ContentType="application/vnd.openxmlformats-officedocument.customXmlProperties+xml"/>
  <Override PartName="/word/footer8.xml" ContentType="application/vnd.openxmlformats-officedocument.wordprocessingml.footer+xml"/>
  <Default Extension="rels" ContentType="application/vnd.openxmlformats-package.relationships+xml"/>
  <Override PartName="/word/footer6.xml" ContentType="application/vnd.openxmlformats-officedocument.wordprocessingml.footer+xml"/>
  <Override PartName="/word/footer7.xml" ContentType="application/vnd.openxmlformats-officedocument.wordprocessingml.footer+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Default Extension="png" ContentType="image/png"/>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06/relationships/ui/userCustomization" Target="userCustomization/customUI.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8" w:type="dxa"/>
        <w:tblLayout w:type="fixed"/>
        <w:tblLook w:val="0000" w:firstRow="0" w:lastRow="0" w:firstColumn="0" w:lastColumn="0" w:noHBand="0" w:noVBand="0"/>
      </w:tblPr>
      <w:tblGrid>
        <w:gridCol w:w="4059"/>
        <w:gridCol w:w="351"/>
        <w:gridCol w:w="3051"/>
        <w:gridCol w:w="2079"/>
      </w:tblGrid>
      <w:tr w:rsidR="007E5D09" w14:paraId="74C263EA" w14:textId="77777777">
        <w:trPr>
          <w:trHeight w:val="720"/>
        </w:trPr>
        <w:tc>
          <w:tcPr>
            <w:tcW w:w="4410" w:type="dxa"/>
            <w:gridSpan w:val="2"/>
            <w:tcBorders>
              <w:bottom w:val="single" w:sz="18" w:space="0" w:color="auto"/>
            </w:tcBorders>
          </w:tcPr>
          <w:p w14:paraId="6BF1BA8B" w14:textId="77777777" w:rsidR="007E5D09" w:rsidRDefault="00E1360E">
            <w:pPr>
              <w:jc w:val="left"/>
              <w:rPr>
                <w:rFonts w:asciiTheme="minorBidi" w:hAnsiTheme="minorBidi" w:cstheme="minorBidi"/>
                <w:b/>
                <w:bCs/>
                <w:lang w:val="en-US"/>
              </w:rPr>
            </w:pPr>
            <w:r>
              <w:rPr>
                <w:rFonts w:asciiTheme="minorBidi" w:hAnsiTheme="minorBidi" w:cstheme="minorBidi"/>
                <w:b/>
                <w:bCs/>
                <w:sz w:val="72"/>
                <w:szCs w:val="72"/>
                <w:lang w:val="en-US"/>
              </w:rPr>
              <w:t>EP</w:t>
            </w:r>
            <w:r>
              <w:rPr>
                <w:rFonts w:asciiTheme="minorBidi" w:hAnsiTheme="minorBidi" w:cstheme="minorBidi"/>
                <w:b/>
                <w:bCs/>
                <w:sz w:val="27"/>
                <w:szCs w:val="27"/>
                <w:lang w:val="en-US"/>
              </w:rPr>
              <w:t xml:space="preserve"> </w:t>
            </w:r>
          </w:p>
        </w:tc>
        <w:tc>
          <w:tcPr>
            <w:tcW w:w="5130" w:type="dxa"/>
            <w:gridSpan w:val="2"/>
            <w:tcBorders>
              <w:bottom w:val="single" w:sz="18" w:space="0" w:color="auto"/>
            </w:tcBorders>
          </w:tcPr>
          <w:p w14:paraId="338E4A3A" w14:textId="77777777" w:rsidR="007E5D09" w:rsidRDefault="00E1360E">
            <w:pPr>
              <w:pStyle w:val="Heading3"/>
              <w:numPr>
                <w:ilvl w:val="0"/>
                <w:numId w:val="0"/>
              </w:numPr>
              <w:bidi/>
              <w:ind w:left="270" w:right="1384"/>
              <w:rPr>
                <w:b/>
                <w:bCs/>
                <w:sz w:val="48"/>
                <w:szCs w:val="48"/>
              </w:rPr>
            </w:pPr>
            <w:r>
              <w:rPr>
                <w:b/>
                <w:bCs/>
                <w:sz w:val="48"/>
                <w:szCs w:val="48"/>
                <w:rtl/>
              </w:rPr>
              <w:t>الأمم المتحدة</w:t>
            </w:r>
          </w:p>
        </w:tc>
      </w:tr>
      <w:tr w:rsidR="007E5D09" w14:paraId="50125AD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76"/>
        </w:trPr>
        <w:tc>
          <w:tcPr>
            <w:tcW w:w="4059" w:type="dxa"/>
            <w:tcBorders>
              <w:top w:val="nil"/>
              <w:left w:val="nil"/>
              <w:bottom w:val="single" w:sz="36" w:space="0" w:color="auto"/>
              <w:right w:val="nil"/>
            </w:tcBorders>
          </w:tcPr>
          <w:p w14:paraId="608007D5" w14:textId="77777777" w:rsidR="007E5D09" w:rsidRDefault="00E1360E">
            <w:pPr>
              <w:spacing w:before="120"/>
              <w:jc w:val="left"/>
              <w:rPr>
                <w:lang w:val="en-US"/>
              </w:rPr>
            </w:pPr>
            <w:r>
              <w:rPr>
                <w:noProof/>
                <w:lang w:val="en-US" w:bidi="ar-SA"/>
              </w:rPr>
              <w:drawing>
                <wp:anchor distT="0" distB="0" distL="114300" distR="114300" simplePos="0" relativeHeight="251660288" behindDoc="0" locked="0" layoutInCell="0" allowOverlap="1" wp14:anchorId="726BC009" wp14:editId="2AB3101C">
                  <wp:simplePos x="0" y="0"/>
                  <wp:positionH relativeFrom="column">
                    <wp:posOffset>5010785</wp:posOffset>
                  </wp:positionH>
                  <wp:positionV relativeFrom="paragraph">
                    <wp:posOffset>643890</wp:posOffset>
                  </wp:positionV>
                  <wp:extent cx="658495" cy="555625"/>
                  <wp:effectExtent l="0" t="0" r="8255" b="0"/>
                  <wp:wrapNone/>
                  <wp:docPr id="4" name="Picture 4" descr="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E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8495" cy="5556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bidi="ar-SA"/>
              </w:rPr>
              <w:drawing>
                <wp:anchor distT="0" distB="0" distL="114300" distR="114300" simplePos="0" relativeHeight="251659264" behindDoc="1" locked="0" layoutInCell="0" allowOverlap="1" wp14:anchorId="327DB8F2" wp14:editId="1C2CED4A">
                  <wp:simplePos x="0" y="0"/>
                  <wp:positionH relativeFrom="column">
                    <wp:posOffset>5029200</wp:posOffset>
                  </wp:positionH>
                  <wp:positionV relativeFrom="paragraph">
                    <wp:posOffset>93345</wp:posOffset>
                  </wp:positionV>
                  <wp:extent cx="579755" cy="5156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9755" cy="515620"/>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Distr.</w:t>
            </w:r>
          </w:p>
          <w:p w14:paraId="2AB97216" w14:textId="77777777" w:rsidR="007E5D09" w:rsidRDefault="00E1360E">
            <w:pPr>
              <w:spacing w:before="120"/>
              <w:jc w:val="left"/>
              <w:rPr>
                <w:lang w:val="en-US"/>
              </w:rPr>
            </w:pPr>
            <w:r>
              <w:rPr>
                <w:lang w:val="en-US"/>
              </w:rPr>
              <w:t>GENERAL</w:t>
            </w:r>
          </w:p>
          <w:p w14:paraId="275A8B90" w14:textId="77777777" w:rsidR="007E5D09" w:rsidRDefault="007E5D09">
            <w:pPr>
              <w:spacing w:before="120"/>
              <w:jc w:val="left"/>
              <w:rPr>
                <w:lang w:val="en-US"/>
              </w:rPr>
            </w:pPr>
          </w:p>
          <w:p w14:paraId="660095E1" w14:textId="2A9DA7C7" w:rsidR="00BC361F" w:rsidRPr="003F73BA" w:rsidRDefault="006D5D5F" w:rsidP="00BC361F">
            <w:r>
              <w:fldChar w:fldCharType="begin"/>
            </w:r>
            <w:r>
              <w:instrText xml:space="preserve"> DOCPROPERTY "Document number"  \* MERGEFORMAT </w:instrText>
            </w:r>
            <w:r>
              <w:fldChar w:fldCharType="separate"/>
            </w:r>
            <w:r w:rsidR="00BC361F">
              <w:t>UNEP/OzL.Pro/ExCom/87/31</w:t>
            </w:r>
            <w:r>
              <w:fldChar w:fldCharType="end"/>
            </w:r>
          </w:p>
          <w:p w14:paraId="32EBDA19" w14:textId="4890CDA5" w:rsidR="00BC361F" w:rsidRPr="00BC361F" w:rsidRDefault="00BC361F" w:rsidP="00BC361F">
            <w:pPr>
              <w:rPr>
                <w:lang w:val="en-US"/>
              </w:rPr>
            </w:pPr>
            <w:r>
              <w:fldChar w:fldCharType="begin"/>
            </w:r>
            <w:r>
              <w:instrText xml:space="preserve"> DOCPROPERTY "Revision date" \@ "d MMMM YYYY"  \* MERGEFORMAT </w:instrText>
            </w:r>
            <w:r>
              <w:fldChar w:fldCharType="separate"/>
            </w:r>
            <w:r>
              <w:t>14 June 2021</w:t>
            </w:r>
            <w:r>
              <w:fldChar w:fldCharType="end"/>
            </w:r>
          </w:p>
          <w:p w14:paraId="27E19734" w14:textId="77777777" w:rsidR="00662A73" w:rsidRDefault="00662A73">
            <w:pPr>
              <w:spacing w:before="120"/>
              <w:jc w:val="left"/>
              <w:rPr>
                <w:rtl/>
                <w:lang w:val="en-US" w:bidi="ar-AE"/>
              </w:rPr>
            </w:pPr>
          </w:p>
          <w:p w14:paraId="14727A90" w14:textId="77777777" w:rsidR="007E5D09" w:rsidRDefault="00E1360E">
            <w:pPr>
              <w:spacing w:before="120"/>
              <w:jc w:val="left"/>
              <w:rPr>
                <w:lang w:val="en-US"/>
              </w:rPr>
            </w:pPr>
            <w:r>
              <w:rPr>
                <w:lang w:val="en-US"/>
              </w:rPr>
              <w:t>ARABIC</w:t>
            </w:r>
          </w:p>
          <w:p w14:paraId="06D4A388" w14:textId="77777777" w:rsidR="007E5D09" w:rsidRDefault="00E1360E">
            <w:pPr>
              <w:spacing w:before="120"/>
              <w:jc w:val="left"/>
              <w:rPr>
                <w:lang w:val="en-US"/>
              </w:rPr>
            </w:pPr>
            <w:r>
              <w:rPr>
                <w:lang w:val="en-US"/>
              </w:rPr>
              <w:t>ORIGINAL: ENGLISH</w:t>
            </w:r>
          </w:p>
        </w:tc>
        <w:tc>
          <w:tcPr>
            <w:tcW w:w="3402" w:type="dxa"/>
            <w:gridSpan w:val="2"/>
            <w:tcBorders>
              <w:top w:val="nil"/>
              <w:left w:val="nil"/>
              <w:bottom w:val="single" w:sz="36" w:space="0" w:color="auto"/>
              <w:right w:val="nil"/>
            </w:tcBorders>
          </w:tcPr>
          <w:p w14:paraId="26925B3F" w14:textId="77777777" w:rsidR="007E5D09" w:rsidRDefault="00E1360E">
            <w:pPr>
              <w:pStyle w:val="Heading4"/>
              <w:numPr>
                <w:ilvl w:val="0"/>
                <w:numId w:val="0"/>
              </w:numPr>
              <w:spacing w:before="0" w:after="0"/>
              <w:ind w:right="459"/>
              <w:jc w:val="right"/>
              <w:rPr>
                <w:rFonts w:cs="Arabic Transparent"/>
                <w:bCs/>
                <w:sz w:val="52"/>
                <w:szCs w:val="52"/>
                <w:rtl/>
              </w:rPr>
            </w:pPr>
            <w:r>
              <w:rPr>
                <w:rFonts w:cs="Arabic Transparent"/>
                <w:bCs/>
                <w:sz w:val="52"/>
                <w:szCs w:val="52"/>
                <w:rtl/>
              </w:rPr>
              <w:t>برنامج</w:t>
            </w:r>
          </w:p>
          <w:p w14:paraId="57C33443" w14:textId="77777777" w:rsidR="007E5D09" w:rsidRDefault="00E1360E">
            <w:pPr>
              <w:pStyle w:val="Heading4"/>
              <w:numPr>
                <w:ilvl w:val="0"/>
                <w:numId w:val="0"/>
              </w:numPr>
              <w:spacing w:before="0" w:after="0"/>
              <w:ind w:right="459"/>
              <w:jc w:val="right"/>
              <w:rPr>
                <w:rFonts w:cs="Arabic Transparent"/>
                <w:bCs/>
                <w:sz w:val="52"/>
                <w:szCs w:val="52"/>
                <w:rtl/>
              </w:rPr>
            </w:pPr>
            <w:r>
              <w:rPr>
                <w:rFonts w:cs="Arabic Transparent"/>
                <w:bCs/>
                <w:sz w:val="52"/>
                <w:szCs w:val="52"/>
                <w:rtl/>
              </w:rPr>
              <w:t>الأمم المتحدة</w:t>
            </w:r>
          </w:p>
          <w:p w14:paraId="76B8C6E7" w14:textId="77777777" w:rsidR="007E5D09" w:rsidRDefault="00E1360E">
            <w:pPr>
              <w:pStyle w:val="Heading4"/>
              <w:numPr>
                <w:ilvl w:val="0"/>
                <w:numId w:val="0"/>
              </w:numPr>
              <w:spacing w:before="0" w:after="0"/>
              <w:ind w:right="459"/>
              <w:jc w:val="right"/>
              <w:rPr>
                <w:rFonts w:cs="Arabic Transparent"/>
                <w:bCs/>
                <w:sz w:val="52"/>
                <w:szCs w:val="52"/>
                <w:rtl/>
              </w:rPr>
            </w:pPr>
            <w:r>
              <w:rPr>
                <w:rFonts w:cs="Arabic Transparent"/>
                <w:bCs/>
                <w:sz w:val="52"/>
                <w:szCs w:val="52"/>
                <w:rtl/>
              </w:rPr>
              <w:t>للبيئة</w:t>
            </w:r>
          </w:p>
          <w:p w14:paraId="29B38095" w14:textId="77777777" w:rsidR="007E5D09" w:rsidRDefault="00E1360E">
            <w:pPr>
              <w:pStyle w:val="Heading7"/>
              <w:spacing w:before="0" w:after="0"/>
              <w:ind w:right="4997"/>
              <w:rPr>
                <w:rFonts w:cs="Akhbar MT"/>
                <w:b/>
                <w:bCs/>
                <w:sz w:val="52"/>
                <w:szCs w:val="52"/>
                <w:lang w:val="en-US"/>
              </w:rPr>
            </w:pPr>
            <w:r>
              <w:rPr>
                <w:rFonts w:cs="Arabic Transparent"/>
                <w:b/>
                <w:bCs/>
                <w:sz w:val="52"/>
                <w:szCs w:val="52"/>
                <w:rtl/>
              </w:rPr>
              <w:t>ل</w:t>
            </w:r>
          </w:p>
        </w:tc>
        <w:tc>
          <w:tcPr>
            <w:tcW w:w="2079" w:type="dxa"/>
            <w:tcBorders>
              <w:top w:val="nil"/>
              <w:left w:val="nil"/>
              <w:bottom w:val="single" w:sz="36" w:space="0" w:color="auto"/>
              <w:right w:val="nil"/>
            </w:tcBorders>
          </w:tcPr>
          <w:p w14:paraId="6658A6EC" w14:textId="77777777" w:rsidR="007E5D09" w:rsidRDefault="007E5D09">
            <w:pPr>
              <w:rPr>
                <w:caps/>
                <w:lang w:val="en-US"/>
              </w:rPr>
            </w:pPr>
          </w:p>
          <w:p w14:paraId="7208A0EB" w14:textId="77777777" w:rsidR="007E5D09" w:rsidRDefault="007E5D09">
            <w:pPr>
              <w:rPr>
                <w:lang w:val="en-US"/>
              </w:rPr>
            </w:pPr>
          </w:p>
        </w:tc>
      </w:tr>
    </w:tbl>
    <w:p w14:paraId="6B34EE75" w14:textId="77777777" w:rsidR="007E5D09" w:rsidRDefault="007E5D09">
      <w:pPr>
        <w:pStyle w:val="Caption"/>
        <w:spacing w:line="200" w:lineRule="exact"/>
        <w:ind w:left="187" w:right="187" w:hanging="187"/>
        <w:jc w:val="both"/>
        <w:rPr>
          <w:rFonts w:cs="Akhbar MT"/>
          <w:b/>
          <w:bCs/>
          <w:sz w:val="28"/>
          <w:szCs w:val="28"/>
          <w:rtl/>
        </w:rPr>
      </w:pPr>
    </w:p>
    <w:p w14:paraId="68ACE959" w14:textId="77777777" w:rsidR="007E5D09" w:rsidRDefault="00E1360E">
      <w:pPr>
        <w:pStyle w:val="Caption"/>
        <w:ind w:left="0" w:right="180"/>
        <w:jc w:val="both"/>
        <w:rPr>
          <w:rFonts w:cs="Arabic Transparent"/>
          <w:b/>
          <w:bCs/>
          <w:sz w:val="28"/>
          <w:szCs w:val="28"/>
          <w:rtl/>
        </w:rPr>
      </w:pPr>
      <w:r>
        <w:rPr>
          <w:rFonts w:cs="Arabic Transparent"/>
          <w:b/>
          <w:bCs/>
          <w:sz w:val="28"/>
          <w:szCs w:val="28"/>
          <w:rtl/>
        </w:rPr>
        <w:t>اللجن</w:t>
      </w:r>
      <w:r>
        <w:rPr>
          <w:rFonts w:cs="Arabic Transparent" w:hint="cs"/>
          <w:b/>
          <w:bCs/>
          <w:sz w:val="28"/>
          <w:szCs w:val="28"/>
          <w:rtl/>
        </w:rPr>
        <w:t>ــ</w:t>
      </w:r>
      <w:r>
        <w:rPr>
          <w:rFonts w:cs="Arabic Transparent"/>
          <w:b/>
          <w:bCs/>
          <w:sz w:val="28"/>
          <w:szCs w:val="28"/>
          <w:rtl/>
        </w:rPr>
        <w:t>ة التنفي</w:t>
      </w:r>
      <w:r>
        <w:rPr>
          <w:rFonts w:cs="Arabic Transparent" w:hint="cs"/>
          <w:b/>
          <w:bCs/>
          <w:sz w:val="28"/>
          <w:szCs w:val="28"/>
          <w:rtl/>
        </w:rPr>
        <w:t>ـ</w:t>
      </w:r>
      <w:r>
        <w:rPr>
          <w:rFonts w:cs="Arabic Transparent"/>
          <w:b/>
          <w:bCs/>
          <w:sz w:val="28"/>
          <w:szCs w:val="28"/>
          <w:rtl/>
        </w:rPr>
        <w:t>ذي</w:t>
      </w:r>
      <w:r>
        <w:rPr>
          <w:rFonts w:cs="Arabic Transparent" w:hint="cs"/>
          <w:b/>
          <w:bCs/>
          <w:sz w:val="28"/>
          <w:szCs w:val="28"/>
          <w:rtl/>
        </w:rPr>
        <w:t>ــــ</w:t>
      </w:r>
      <w:r>
        <w:rPr>
          <w:rFonts w:cs="Arabic Transparent"/>
          <w:b/>
          <w:bCs/>
          <w:sz w:val="28"/>
          <w:szCs w:val="28"/>
          <w:rtl/>
        </w:rPr>
        <w:t>ة للصن</w:t>
      </w:r>
      <w:r>
        <w:rPr>
          <w:rFonts w:cs="Arabic Transparent" w:hint="cs"/>
          <w:b/>
          <w:bCs/>
          <w:sz w:val="28"/>
          <w:szCs w:val="28"/>
          <w:rtl/>
        </w:rPr>
        <w:t>ــ</w:t>
      </w:r>
      <w:r>
        <w:rPr>
          <w:rFonts w:cs="Arabic Transparent"/>
          <w:b/>
          <w:bCs/>
          <w:sz w:val="28"/>
          <w:szCs w:val="28"/>
          <w:rtl/>
        </w:rPr>
        <w:t>دوق الم</w:t>
      </w:r>
      <w:r>
        <w:rPr>
          <w:rFonts w:cs="Arabic Transparent" w:hint="cs"/>
          <w:b/>
          <w:bCs/>
          <w:sz w:val="28"/>
          <w:szCs w:val="28"/>
          <w:rtl/>
        </w:rPr>
        <w:t>ــ</w:t>
      </w:r>
      <w:r>
        <w:rPr>
          <w:rFonts w:cs="Arabic Transparent"/>
          <w:b/>
          <w:bCs/>
          <w:sz w:val="28"/>
          <w:szCs w:val="28"/>
          <w:rtl/>
        </w:rPr>
        <w:t>تع</w:t>
      </w:r>
      <w:r>
        <w:rPr>
          <w:rFonts w:cs="Arabic Transparent" w:hint="cs"/>
          <w:b/>
          <w:bCs/>
          <w:sz w:val="28"/>
          <w:szCs w:val="28"/>
          <w:rtl/>
        </w:rPr>
        <w:t>ــ</w:t>
      </w:r>
      <w:r>
        <w:rPr>
          <w:rFonts w:cs="Arabic Transparent"/>
          <w:b/>
          <w:bCs/>
          <w:sz w:val="28"/>
          <w:szCs w:val="28"/>
          <w:rtl/>
        </w:rPr>
        <w:t>دد الأطـ</w:t>
      </w:r>
      <w:r>
        <w:rPr>
          <w:rFonts w:cs="Arabic Transparent" w:hint="cs"/>
          <w:b/>
          <w:bCs/>
          <w:sz w:val="28"/>
          <w:szCs w:val="28"/>
          <w:rtl/>
        </w:rPr>
        <w:t>ــ</w:t>
      </w:r>
      <w:r>
        <w:rPr>
          <w:rFonts w:cs="Arabic Transparent"/>
          <w:b/>
          <w:bCs/>
          <w:sz w:val="28"/>
          <w:szCs w:val="28"/>
          <w:rtl/>
        </w:rPr>
        <w:t>راف</w:t>
      </w:r>
    </w:p>
    <w:p w14:paraId="4C80FC6F" w14:textId="77777777" w:rsidR="007E5D09" w:rsidRDefault="00E1360E">
      <w:pPr>
        <w:bidi/>
        <w:ind w:left="180" w:hanging="180"/>
        <w:jc w:val="lowKashida"/>
        <w:rPr>
          <w:rFonts w:cs="Arabic Transparent"/>
          <w:b/>
          <w:bCs/>
          <w:sz w:val="28"/>
          <w:szCs w:val="28"/>
          <w:rtl/>
          <w:lang w:val="en-US" w:eastAsia="en-CA"/>
        </w:rPr>
      </w:pPr>
      <w:r>
        <w:rPr>
          <w:rFonts w:cs="Arabic Transparent"/>
          <w:b/>
          <w:bCs/>
          <w:sz w:val="28"/>
          <w:szCs w:val="28"/>
          <w:rtl/>
          <w:lang w:val="en-US" w:eastAsia="en-CA"/>
        </w:rPr>
        <w:t>لتنفي</w:t>
      </w:r>
      <w:r>
        <w:rPr>
          <w:rFonts w:cs="Arabic Transparent" w:hint="cs"/>
          <w:b/>
          <w:bCs/>
          <w:sz w:val="28"/>
          <w:szCs w:val="28"/>
          <w:rtl/>
          <w:lang w:val="en-US" w:eastAsia="en-CA"/>
        </w:rPr>
        <w:t>ـــ</w:t>
      </w:r>
      <w:r>
        <w:rPr>
          <w:rFonts w:cs="Arabic Transparent"/>
          <w:b/>
          <w:bCs/>
          <w:sz w:val="28"/>
          <w:szCs w:val="28"/>
          <w:rtl/>
          <w:lang w:val="en-US" w:eastAsia="en-CA"/>
        </w:rPr>
        <w:t>ذ بروتوك</w:t>
      </w:r>
      <w:r>
        <w:rPr>
          <w:rFonts w:cs="Arabic Transparent" w:hint="cs"/>
          <w:b/>
          <w:bCs/>
          <w:sz w:val="28"/>
          <w:szCs w:val="28"/>
          <w:rtl/>
          <w:lang w:val="en-US" w:eastAsia="en-CA"/>
        </w:rPr>
        <w:t>ـ</w:t>
      </w:r>
      <w:r>
        <w:rPr>
          <w:rFonts w:cs="Arabic Transparent"/>
          <w:b/>
          <w:bCs/>
          <w:sz w:val="28"/>
          <w:szCs w:val="28"/>
          <w:rtl/>
          <w:lang w:val="en-US" w:eastAsia="en-CA"/>
        </w:rPr>
        <w:t>ول مونتري</w:t>
      </w:r>
      <w:r>
        <w:rPr>
          <w:rFonts w:cs="Arabic Transparent" w:hint="cs"/>
          <w:b/>
          <w:bCs/>
          <w:sz w:val="28"/>
          <w:szCs w:val="28"/>
          <w:rtl/>
          <w:lang w:val="en-US" w:eastAsia="en-CA"/>
        </w:rPr>
        <w:t>ــ</w:t>
      </w:r>
      <w:r>
        <w:rPr>
          <w:rFonts w:cs="Arabic Transparent"/>
          <w:b/>
          <w:bCs/>
          <w:sz w:val="28"/>
          <w:szCs w:val="28"/>
          <w:rtl/>
          <w:lang w:val="en-US" w:eastAsia="en-CA"/>
        </w:rPr>
        <w:t xml:space="preserve">ال </w:t>
      </w:r>
    </w:p>
    <w:p w14:paraId="0B6106E5" w14:textId="77777777" w:rsidR="007E5D09" w:rsidRDefault="00E1360E" w:rsidP="006F2A2C">
      <w:pPr>
        <w:bidi/>
        <w:ind w:left="4"/>
        <w:jc w:val="lowKashida"/>
        <w:rPr>
          <w:sz w:val="28"/>
          <w:szCs w:val="28"/>
          <w:rtl/>
          <w:lang w:val="en-US" w:eastAsia="en-CA"/>
        </w:rPr>
      </w:pPr>
      <w:r>
        <w:rPr>
          <w:sz w:val="28"/>
          <w:szCs w:val="28"/>
          <w:rtl/>
          <w:lang w:val="en-US" w:eastAsia="en-CA"/>
        </w:rPr>
        <w:t xml:space="preserve">الاجتمــــــاع </w:t>
      </w:r>
      <w:r w:rsidR="00C0337B">
        <w:rPr>
          <w:rFonts w:hint="cs"/>
          <w:sz w:val="28"/>
          <w:szCs w:val="28"/>
          <w:rtl/>
          <w:lang w:val="en-US" w:eastAsia="en-CA"/>
        </w:rPr>
        <w:t>الس</w:t>
      </w:r>
      <w:r w:rsidR="006F2A2C">
        <w:rPr>
          <w:rFonts w:hint="cs"/>
          <w:sz w:val="28"/>
          <w:szCs w:val="28"/>
          <w:rtl/>
          <w:lang w:val="en-US" w:eastAsia="en-CA"/>
        </w:rPr>
        <w:t xml:space="preserve">ابع </w:t>
      </w:r>
      <w:r w:rsidR="00786775">
        <w:rPr>
          <w:rFonts w:hint="cs"/>
          <w:sz w:val="28"/>
          <w:szCs w:val="28"/>
          <w:rtl/>
          <w:lang w:val="en-US" w:eastAsia="en-CA"/>
        </w:rPr>
        <w:t>و</w:t>
      </w:r>
      <w:r>
        <w:rPr>
          <w:rFonts w:hint="cs"/>
          <w:sz w:val="28"/>
          <w:szCs w:val="28"/>
          <w:rtl/>
          <w:lang w:val="en-US" w:eastAsia="en-CA"/>
        </w:rPr>
        <w:t>الثمانون</w:t>
      </w:r>
    </w:p>
    <w:p w14:paraId="24522721" w14:textId="4BBEC1D5" w:rsidR="007E5D09" w:rsidRDefault="00E1360E" w:rsidP="008E3DF3">
      <w:pPr>
        <w:pStyle w:val="0Heading0"/>
        <w:bidi/>
        <w:ind w:left="4"/>
        <w:rPr>
          <w:rFonts w:cs="Arabic Transparent"/>
          <w:sz w:val="28"/>
          <w:szCs w:val="28"/>
          <w:lang w:bidi="ar-DZ"/>
        </w:rPr>
      </w:pPr>
      <w:r>
        <w:rPr>
          <w:rFonts w:hint="cs"/>
          <w:sz w:val="28"/>
          <w:szCs w:val="28"/>
          <w:rtl/>
        </w:rPr>
        <w:t>مونتريال</w:t>
      </w:r>
      <w:r>
        <w:rPr>
          <w:sz w:val="28"/>
          <w:szCs w:val="28"/>
          <w:rtl/>
        </w:rPr>
        <w:t>،</w:t>
      </w:r>
      <w:r w:rsidR="00C0337B">
        <w:rPr>
          <w:rFonts w:hint="cs"/>
          <w:sz w:val="28"/>
          <w:szCs w:val="28"/>
          <w:rtl/>
        </w:rPr>
        <w:t xml:space="preserve">  من 28 </w:t>
      </w:r>
      <w:r w:rsidR="00EE3C03">
        <w:rPr>
          <w:rFonts w:hint="cs"/>
          <w:sz w:val="28"/>
          <w:szCs w:val="28"/>
          <w:rtl/>
          <w:lang w:bidi="ar-EG"/>
        </w:rPr>
        <w:t>يونيه</w:t>
      </w:r>
      <w:r w:rsidR="00C0337B" w:rsidRPr="00DB2568">
        <w:rPr>
          <w:rFonts w:asciiTheme="majorBidi" w:hAnsiTheme="majorBidi" w:cstheme="majorBidi" w:hint="cs"/>
          <w:sz w:val="26"/>
          <w:szCs w:val="26"/>
          <w:rtl/>
          <w:lang w:bidi="ar-SY"/>
        </w:rPr>
        <w:t>/</w:t>
      </w:r>
      <w:r w:rsidR="00C0337B">
        <w:rPr>
          <w:rFonts w:hint="cs"/>
          <w:sz w:val="26"/>
          <w:szCs w:val="26"/>
          <w:rtl/>
        </w:rPr>
        <w:t>ح</w:t>
      </w:r>
      <w:r w:rsidR="00C0337B">
        <w:rPr>
          <w:rFonts w:hint="cs"/>
          <w:sz w:val="26"/>
          <w:szCs w:val="26"/>
          <w:rtl/>
          <w:lang w:val="en-US" w:bidi="ar-SY"/>
        </w:rPr>
        <w:t xml:space="preserve">زيران </w:t>
      </w:r>
      <w:r>
        <w:rPr>
          <w:rFonts w:hint="cs"/>
          <w:sz w:val="28"/>
          <w:szCs w:val="28"/>
          <w:rtl/>
        </w:rPr>
        <w:t xml:space="preserve">إلى </w:t>
      </w:r>
      <w:r w:rsidR="006F2A2C">
        <w:rPr>
          <w:rFonts w:hint="cs"/>
          <w:sz w:val="28"/>
          <w:szCs w:val="28"/>
          <w:rtl/>
        </w:rPr>
        <w:t>2</w:t>
      </w:r>
      <w:r w:rsidR="00013372">
        <w:rPr>
          <w:sz w:val="28"/>
          <w:szCs w:val="28"/>
        </w:rPr>
        <w:t xml:space="preserve"> </w:t>
      </w:r>
      <w:r w:rsidR="00A44778">
        <w:rPr>
          <w:rFonts w:hint="cs"/>
          <w:sz w:val="28"/>
          <w:szCs w:val="28"/>
          <w:rtl/>
        </w:rPr>
        <w:t xml:space="preserve"> </w:t>
      </w:r>
      <w:r w:rsidR="008E3DF3">
        <w:rPr>
          <w:rFonts w:hint="cs"/>
          <w:sz w:val="28"/>
          <w:szCs w:val="28"/>
          <w:rtl/>
        </w:rPr>
        <w:t>يو</w:t>
      </w:r>
      <w:r w:rsidR="00C0337B">
        <w:rPr>
          <w:rFonts w:asciiTheme="majorBidi" w:hAnsiTheme="majorBidi" w:cstheme="majorBidi" w:hint="cs"/>
          <w:sz w:val="26"/>
          <w:szCs w:val="26"/>
          <w:rtl/>
          <w:lang w:bidi="ar-SY"/>
        </w:rPr>
        <w:t>لي</w:t>
      </w:r>
      <w:r w:rsidR="008E3DF3">
        <w:rPr>
          <w:rFonts w:asciiTheme="majorBidi" w:hAnsiTheme="majorBidi" w:cstheme="majorBidi" w:hint="cs"/>
          <w:sz w:val="26"/>
          <w:szCs w:val="26"/>
          <w:rtl/>
          <w:lang w:bidi="ar-SY"/>
        </w:rPr>
        <w:t>و</w:t>
      </w:r>
      <w:r w:rsidR="006F2A2C" w:rsidRPr="00DB2568">
        <w:rPr>
          <w:rFonts w:asciiTheme="majorBidi" w:hAnsiTheme="majorBidi" w:cstheme="majorBidi" w:hint="cs"/>
          <w:sz w:val="26"/>
          <w:szCs w:val="26"/>
          <w:rtl/>
          <w:lang w:bidi="ar-SY"/>
        </w:rPr>
        <w:t>/</w:t>
      </w:r>
      <w:r w:rsidR="006F2A2C" w:rsidRPr="00DB2568">
        <w:rPr>
          <w:rFonts w:hint="cs"/>
          <w:sz w:val="26"/>
          <w:szCs w:val="26"/>
          <w:rtl/>
        </w:rPr>
        <w:t xml:space="preserve"> </w:t>
      </w:r>
      <w:r w:rsidR="00C0337B">
        <w:rPr>
          <w:rFonts w:hint="cs"/>
          <w:sz w:val="26"/>
          <w:szCs w:val="26"/>
          <w:rtl/>
        </w:rPr>
        <w:t>تموز</w:t>
      </w:r>
      <w:r w:rsidR="006F2A2C" w:rsidRPr="00DB2568">
        <w:rPr>
          <w:rFonts w:hint="cs"/>
          <w:sz w:val="28"/>
          <w:szCs w:val="28"/>
          <w:rtl/>
        </w:rPr>
        <w:t xml:space="preserve"> </w:t>
      </w:r>
      <w:r w:rsidR="00C0337B">
        <w:rPr>
          <w:rFonts w:asciiTheme="majorBidi" w:hAnsiTheme="majorBidi" w:cstheme="majorBidi" w:hint="cs"/>
          <w:sz w:val="26"/>
          <w:szCs w:val="26"/>
          <w:rtl/>
          <w:lang w:bidi="ar-SY"/>
        </w:rPr>
        <w:t xml:space="preserve">2021 </w:t>
      </w:r>
      <w:r w:rsidR="00C0337B">
        <w:rPr>
          <w:rStyle w:val="FootnoteReference"/>
          <w:rFonts w:asciiTheme="majorBidi" w:hAnsiTheme="majorBidi" w:cstheme="majorBidi"/>
          <w:sz w:val="26"/>
          <w:szCs w:val="26"/>
          <w:rtl/>
          <w:lang w:bidi="ar-SY"/>
        </w:rPr>
        <w:footnoteReference w:id="1"/>
      </w:r>
    </w:p>
    <w:p w14:paraId="7EB3EFB5" w14:textId="045DC31C" w:rsidR="007E5D09" w:rsidRDefault="007E5D09">
      <w:pPr>
        <w:pStyle w:val="Heading2"/>
        <w:ind w:left="4"/>
        <w:rPr>
          <w:lang w:val="en-CA"/>
        </w:rPr>
      </w:pPr>
    </w:p>
    <w:p w14:paraId="1C12C4AB" w14:textId="77777777" w:rsidR="00BD596A" w:rsidRPr="00BD596A" w:rsidRDefault="00BD596A" w:rsidP="00BD596A">
      <w:pPr>
        <w:rPr>
          <w:lang w:val="en-CA"/>
        </w:rPr>
      </w:pPr>
    </w:p>
    <w:p w14:paraId="5488FFE2" w14:textId="50907A0C" w:rsidR="00781AEC" w:rsidRPr="00BD596A" w:rsidRDefault="00781AEC" w:rsidP="00781AEC">
      <w:pPr>
        <w:pStyle w:val="StyleHeader4Para4Left0Firstline0"/>
        <w:numPr>
          <w:ilvl w:val="0"/>
          <w:numId w:val="0"/>
        </w:numPr>
        <w:bidi/>
        <w:jc w:val="center"/>
        <w:rPr>
          <w:b/>
          <w:bCs/>
          <w:sz w:val="32"/>
          <w:szCs w:val="32"/>
          <w:rtl/>
          <w:lang w:val="en-US" w:bidi="ar-EG"/>
        </w:rPr>
      </w:pPr>
      <w:r w:rsidRPr="00BD596A">
        <w:rPr>
          <w:rFonts w:hint="cs"/>
          <w:b/>
          <w:bCs/>
          <w:sz w:val="32"/>
          <w:szCs w:val="32"/>
          <w:rtl/>
          <w:lang w:bidi="ar-SA"/>
        </w:rPr>
        <w:t xml:space="preserve">مقترح مشروع: </w:t>
      </w:r>
      <w:r w:rsidR="009B1FC6" w:rsidRPr="00BD596A">
        <w:rPr>
          <w:rFonts w:hint="cs"/>
          <w:b/>
          <w:bCs/>
          <w:sz w:val="32"/>
          <w:szCs w:val="32"/>
          <w:rtl/>
          <w:lang w:bidi="ar-EG"/>
        </w:rPr>
        <w:t>ليسوتو</w:t>
      </w:r>
    </w:p>
    <w:p w14:paraId="26CD5E8A" w14:textId="77777777" w:rsidR="00781AEC" w:rsidRDefault="00781AEC" w:rsidP="00781AEC">
      <w:pPr>
        <w:pStyle w:val="StyleHeader4Para4Left0Firstline0"/>
        <w:numPr>
          <w:ilvl w:val="0"/>
          <w:numId w:val="0"/>
        </w:numPr>
        <w:bidi/>
        <w:rPr>
          <w:sz w:val="26"/>
          <w:szCs w:val="26"/>
          <w:rtl/>
          <w:lang w:bidi="ar-SA"/>
        </w:rPr>
      </w:pPr>
    </w:p>
    <w:p w14:paraId="2FB09B04" w14:textId="7F86CDFB" w:rsidR="00781AEC" w:rsidRPr="00010740" w:rsidRDefault="00BD596A" w:rsidP="00BD596A">
      <w:pPr>
        <w:pStyle w:val="StyleHeader4Para4Left0Firstline0"/>
        <w:numPr>
          <w:ilvl w:val="0"/>
          <w:numId w:val="0"/>
        </w:numPr>
        <w:tabs>
          <w:tab w:val="clear" w:pos="2880"/>
          <w:tab w:val="left" w:pos="630"/>
        </w:tabs>
        <w:bidi/>
        <w:rPr>
          <w:sz w:val="26"/>
          <w:szCs w:val="26"/>
          <w:rtl/>
          <w:lang w:bidi="ar-SA"/>
        </w:rPr>
      </w:pPr>
      <w:r>
        <w:rPr>
          <w:sz w:val="26"/>
          <w:szCs w:val="26"/>
          <w:rtl/>
          <w:lang w:bidi="ar-SY"/>
        </w:rPr>
        <w:tab/>
      </w:r>
      <w:r w:rsidR="00781AEC" w:rsidRPr="00010740">
        <w:rPr>
          <w:rFonts w:hint="cs"/>
          <w:sz w:val="26"/>
          <w:szCs w:val="26"/>
          <w:rtl/>
          <w:lang w:bidi="ar-SA"/>
        </w:rPr>
        <w:t>تتألف هذه الوثيقة من تعليقات وتوصي</w:t>
      </w:r>
      <w:r w:rsidR="00781AEC">
        <w:rPr>
          <w:rFonts w:hint="cs"/>
          <w:sz w:val="26"/>
          <w:szCs w:val="26"/>
          <w:rtl/>
          <w:lang w:bidi="ar-SA"/>
        </w:rPr>
        <w:t>ة</w:t>
      </w:r>
      <w:r w:rsidR="00781AEC" w:rsidRPr="00010740">
        <w:rPr>
          <w:rFonts w:hint="cs"/>
          <w:sz w:val="26"/>
          <w:szCs w:val="26"/>
          <w:rtl/>
          <w:lang w:bidi="ar-SA"/>
        </w:rPr>
        <w:t xml:space="preserve"> الأمانة بشأن مقترح المشروع التالي: </w:t>
      </w:r>
    </w:p>
    <w:p w14:paraId="2537BBDA" w14:textId="77777777" w:rsidR="00781AEC" w:rsidRPr="00010740" w:rsidRDefault="00781AEC" w:rsidP="00781AEC">
      <w:pPr>
        <w:pStyle w:val="StyleHeader4Para4Left0Firstline0"/>
        <w:numPr>
          <w:ilvl w:val="0"/>
          <w:numId w:val="0"/>
        </w:numPr>
        <w:bidi/>
        <w:rPr>
          <w:sz w:val="26"/>
          <w:szCs w:val="26"/>
          <w:rtl/>
          <w:lang w:bidi="ar-SA"/>
        </w:rPr>
      </w:pPr>
    </w:p>
    <w:p w14:paraId="662E540A" w14:textId="77777777" w:rsidR="00781AEC" w:rsidRPr="00010740" w:rsidRDefault="00781AEC" w:rsidP="00781AEC">
      <w:pPr>
        <w:pStyle w:val="StyleHeader4Para4Left0Firstline0"/>
        <w:numPr>
          <w:ilvl w:val="0"/>
          <w:numId w:val="0"/>
        </w:numPr>
        <w:bidi/>
        <w:rPr>
          <w:sz w:val="26"/>
          <w:szCs w:val="26"/>
          <w:u w:val="single"/>
          <w:rtl/>
          <w:lang w:bidi="ar-SA"/>
        </w:rPr>
      </w:pPr>
      <w:r>
        <w:rPr>
          <w:rFonts w:hint="cs"/>
          <w:sz w:val="26"/>
          <w:szCs w:val="26"/>
          <w:u w:val="single"/>
          <w:rtl/>
          <w:lang w:bidi="ar-EG"/>
        </w:rPr>
        <w:t>الإزالة</w:t>
      </w:r>
    </w:p>
    <w:tbl>
      <w:tblPr>
        <w:tblStyle w:val="TableGrid"/>
        <w:bidiVisual/>
        <w:tblW w:w="96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62"/>
        <w:gridCol w:w="2254"/>
      </w:tblGrid>
      <w:tr w:rsidR="00781AEC" w:rsidRPr="00010740" w14:paraId="2EDDC132" w14:textId="77777777" w:rsidTr="00245558">
        <w:tc>
          <w:tcPr>
            <w:tcW w:w="7362" w:type="dxa"/>
          </w:tcPr>
          <w:p w14:paraId="1A5AE62B" w14:textId="7B56232D" w:rsidR="00781AEC" w:rsidRPr="0041204A" w:rsidRDefault="00781AEC" w:rsidP="00781AEC">
            <w:pPr>
              <w:pStyle w:val="StyleHeader4Para4Left0Firstline0"/>
              <w:numPr>
                <w:ilvl w:val="0"/>
                <w:numId w:val="23"/>
              </w:numPr>
              <w:bidi/>
              <w:rPr>
                <w:sz w:val="24"/>
                <w:szCs w:val="24"/>
                <w:rtl/>
                <w:lang w:bidi="ar-SA"/>
              </w:rPr>
            </w:pPr>
            <w:r w:rsidRPr="00DB721A">
              <w:rPr>
                <w:rFonts w:hint="cs"/>
                <w:sz w:val="24"/>
                <w:szCs w:val="24"/>
                <w:rtl/>
                <w:lang w:bidi="ar-SA"/>
              </w:rPr>
              <w:t xml:space="preserve">خطة إدارة إزالة المواد الهيدروكلوروفلوروكربونية (المرحلة </w:t>
            </w:r>
            <w:r>
              <w:rPr>
                <w:rFonts w:hint="cs"/>
                <w:sz w:val="24"/>
                <w:szCs w:val="24"/>
                <w:rtl/>
                <w:lang w:bidi="ar-SA"/>
              </w:rPr>
              <w:t>الثانية</w:t>
            </w:r>
            <w:r w:rsidRPr="00DB721A">
              <w:rPr>
                <w:rFonts w:hint="cs"/>
                <w:sz w:val="24"/>
                <w:szCs w:val="24"/>
                <w:rtl/>
                <w:lang w:bidi="ar-SA"/>
              </w:rPr>
              <w:t xml:space="preserve">، </w:t>
            </w:r>
            <w:r>
              <w:rPr>
                <w:rFonts w:hint="cs"/>
                <w:sz w:val="24"/>
                <w:szCs w:val="24"/>
                <w:rtl/>
                <w:lang w:bidi="ar-SA"/>
              </w:rPr>
              <w:t>الشريحة الأولى</w:t>
            </w:r>
            <w:r w:rsidRPr="00DB721A">
              <w:rPr>
                <w:rFonts w:hint="cs"/>
                <w:sz w:val="24"/>
                <w:szCs w:val="24"/>
                <w:rtl/>
                <w:lang w:bidi="ar-SA"/>
              </w:rPr>
              <w:t>)</w:t>
            </w:r>
          </w:p>
        </w:tc>
        <w:tc>
          <w:tcPr>
            <w:tcW w:w="2254" w:type="dxa"/>
          </w:tcPr>
          <w:p w14:paraId="2C3CADA1" w14:textId="6C234DFB" w:rsidR="00781AEC" w:rsidRPr="007770C7" w:rsidRDefault="009B1FC6" w:rsidP="00245558">
            <w:pPr>
              <w:pStyle w:val="StyleHeader4Para4Left0Firstline0"/>
              <w:numPr>
                <w:ilvl w:val="0"/>
                <w:numId w:val="0"/>
              </w:numPr>
              <w:bidi/>
              <w:jc w:val="right"/>
              <w:rPr>
                <w:sz w:val="26"/>
                <w:szCs w:val="26"/>
                <w:lang w:val="en-US" w:bidi="ar-EG"/>
              </w:rPr>
            </w:pPr>
            <w:r>
              <w:rPr>
                <w:rFonts w:hint="cs"/>
                <w:sz w:val="26"/>
                <w:szCs w:val="26"/>
                <w:rtl/>
                <w:lang w:bidi="ar-SA"/>
              </w:rPr>
              <w:t>ألمانيا</w:t>
            </w:r>
          </w:p>
        </w:tc>
      </w:tr>
    </w:tbl>
    <w:p w14:paraId="7BB7C838" w14:textId="77777777" w:rsidR="00781AEC" w:rsidRPr="00781AEC" w:rsidRDefault="00781AEC" w:rsidP="00781AEC">
      <w:pPr>
        <w:rPr>
          <w:rtl/>
          <w:lang w:val="en-CA"/>
        </w:rPr>
      </w:pPr>
    </w:p>
    <w:p w14:paraId="57FFE0F9" w14:textId="77777777" w:rsidR="007E5D09" w:rsidRDefault="007E5D09">
      <w:pPr>
        <w:pStyle w:val="StyleHeader4Para4Left0Firstline0"/>
        <w:numPr>
          <w:ilvl w:val="0"/>
          <w:numId w:val="0"/>
        </w:numPr>
      </w:pPr>
    </w:p>
    <w:p w14:paraId="0E6691CB" w14:textId="77777777" w:rsidR="007E5D09" w:rsidRDefault="00E1360E">
      <w:pPr>
        <w:pStyle w:val="StyleHeader4Para4Left0Firstline0"/>
        <w:numPr>
          <w:ilvl w:val="0"/>
          <w:numId w:val="0"/>
        </w:numPr>
      </w:pPr>
      <w:r>
        <w:br w:type="page"/>
      </w:r>
    </w:p>
    <w:p w14:paraId="3CB8B445" w14:textId="77777777" w:rsidR="007D1FB7" w:rsidRDefault="007D1FB7" w:rsidP="007D1FB7">
      <w:pPr>
        <w:pStyle w:val="StyleHeader4Para4Left0Firstline0"/>
        <w:numPr>
          <w:ilvl w:val="0"/>
          <w:numId w:val="0"/>
        </w:numPr>
        <w:bidi/>
        <w:spacing w:after="0"/>
        <w:jc w:val="center"/>
        <w:rPr>
          <w:b/>
          <w:bCs/>
          <w:sz w:val="28"/>
          <w:szCs w:val="28"/>
          <w:rtl/>
          <w:lang w:bidi="ar-EG"/>
        </w:rPr>
      </w:pPr>
      <w:r w:rsidRPr="00010740">
        <w:rPr>
          <w:rFonts w:hint="cs"/>
          <w:b/>
          <w:bCs/>
          <w:sz w:val="28"/>
          <w:szCs w:val="28"/>
          <w:rtl/>
          <w:lang w:bidi="ar-SA"/>
        </w:rPr>
        <w:lastRenderedPageBreak/>
        <w:t xml:space="preserve">ورقة تقييم المشروع </w:t>
      </w:r>
      <w:r w:rsidRPr="00010740">
        <w:rPr>
          <w:b/>
          <w:bCs/>
          <w:sz w:val="28"/>
          <w:szCs w:val="28"/>
          <w:rtl/>
          <w:lang w:bidi="ar-SA"/>
        </w:rPr>
        <w:t>–</w:t>
      </w:r>
      <w:r w:rsidRPr="00010740">
        <w:rPr>
          <w:rFonts w:hint="cs"/>
          <w:b/>
          <w:bCs/>
          <w:sz w:val="28"/>
          <w:szCs w:val="28"/>
          <w:rtl/>
          <w:lang w:bidi="ar-SA"/>
        </w:rPr>
        <w:t xml:space="preserve"> </w:t>
      </w:r>
      <w:r>
        <w:rPr>
          <w:rFonts w:hint="cs"/>
          <w:b/>
          <w:bCs/>
          <w:sz w:val="28"/>
          <w:szCs w:val="28"/>
          <w:rtl/>
          <w:lang w:bidi="ar-EG"/>
        </w:rPr>
        <w:t>مشروعات متعددة السنوات</w:t>
      </w:r>
    </w:p>
    <w:p w14:paraId="14E89BF4" w14:textId="617128B6" w:rsidR="007D1FB7" w:rsidRPr="000C27D4" w:rsidRDefault="009B1FC6" w:rsidP="007D1FB7">
      <w:pPr>
        <w:bidi/>
        <w:jc w:val="center"/>
        <w:rPr>
          <w:b/>
          <w:bCs/>
          <w:sz w:val="28"/>
          <w:szCs w:val="28"/>
          <w:lang w:val="en-US" w:bidi="ar-EG"/>
        </w:rPr>
      </w:pPr>
      <w:r>
        <w:rPr>
          <w:rFonts w:hint="cs"/>
          <w:b/>
          <w:bCs/>
          <w:sz w:val="28"/>
          <w:szCs w:val="28"/>
          <w:rtl/>
          <w:lang w:bidi="ar-EG"/>
        </w:rPr>
        <w:t>ليسوتو</w:t>
      </w:r>
    </w:p>
    <w:p w14:paraId="3AB38DCC" w14:textId="77777777" w:rsidR="007D1FB7" w:rsidRPr="008769F2" w:rsidRDefault="007D1FB7" w:rsidP="007D1FB7">
      <w:pPr>
        <w:bidi/>
        <w:jc w:val="center"/>
        <w:rPr>
          <w:lang w:val="en-CA"/>
        </w:rPr>
      </w:pPr>
    </w:p>
    <w:tbl>
      <w:tblPr>
        <w:tblStyle w:val="TableGrid"/>
        <w:bidiVisual/>
        <w:tblW w:w="10416" w:type="dxa"/>
        <w:jc w:val="center"/>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5389"/>
        <w:gridCol w:w="5027"/>
      </w:tblGrid>
      <w:tr w:rsidR="007D1FB7" w:rsidRPr="00D11021" w14:paraId="1DACA16C" w14:textId="77777777" w:rsidTr="00ED7103">
        <w:trPr>
          <w:trHeight w:val="240"/>
          <w:jc w:val="center"/>
        </w:trPr>
        <w:tc>
          <w:tcPr>
            <w:tcW w:w="5389" w:type="dxa"/>
            <w:shd w:val="clear" w:color="auto" w:fill="auto"/>
          </w:tcPr>
          <w:p w14:paraId="1553A0C1" w14:textId="77777777" w:rsidR="007D1FB7" w:rsidRPr="00D11021" w:rsidRDefault="007D1FB7" w:rsidP="007D1FB7">
            <w:pPr>
              <w:bidi/>
              <w:spacing w:after="80"/>
              <w:jc w:val="left"/>
              <w:rPr>
                <w:bCs/>
                <w:sz w:val="20"/>
                <w:lang w:val="en-CA"/>
              </w:rPr>
            </w:pPr>
            <w:r w:rsidRPr="00D11021">
              <w:rPr>
                <w:rFonts w:hint="cs"/>
                <w:bCs/>
                <w:sz w:val="20"/>
                <w:rtl/>
                <w:lang w:val="en-CA"/>
              </w:rPr>
              <w:t>(1) عنوان المشروع</w:t>
            </w:r>
          </w:p>
        </w:tc>
        <w:tc>
          <w:tcPr>
            <w:tcW w:w="5027" w:type="dxa"/>
            <w:shd w:val="clear" w:color="auto" w:fill="auto"/>
          </w:tcPr>
          <w:p w14:paraId="444AD731" w14:textId="77777777" w:rsidR="007D1FB7" w:rsidRPr="00D11021" w:rsidRDefault="007D1FB7" w:rsidP="007D1FB7">
            <w:pPr>
              <w:bidi/>
              <w:spacing w:after="80"/>
              <w:jc w:val="center"/>
              <w:rPr>
                <w:bCs/>
                <w:sz w:val="20"/>
                <w:lang w:val="en-CA"/>
              </w:rPr>
            </w:pPr>
            <w:r w:rsidRPr="00D11021">
              <w:rPr>
                <w:rFonts w:hint="cs"/>
                <w:bCs/>
                <w:sz w:val="20"/>
                <w:rtl/>
                <w:lang w:val="en-CA"/>
              </w:rPr>
              <w:t>الوكالة</w:t>
            </w:r>
          </w:p>
        </w:tc>
      </w:tr>
      <w:tr w:rsidR="007D1FB7" w:rsidRPr="00D11021" w14:paraId="3682E7F4" w14:textId="77777777" w:rsidTr="00ED7103">
        <w:trPr>
          <w:trHeight w:val="240"/>
          <w:jc w:val="center"/>
        </w:trPr>
        <w:tc>
          <w:tcPr>
            <w:tcW w:w="5389" w:type="dxa"/>
            <w:shd w:val="clear" w:color="auto" w:fill="auto"/>
          </w:tcPr>
          <w:p w14:paraId="20B88B54" w14:textId="035A8777" w:rsidR="007D1FB7" w:rsidRPr="00D11021" w:rsidRDefault="007D1FB7" w:rsidP="00D42331">
            <w:pPr>
              <w:bidi/>
              <w:spacing w:after="80"/>
              <w:jc w:val="center"/>
              <w:rPr>
                <w:sz w:val="20"/>
                <w:lang w:val="en-CA"/>
              </w:rPr>
            </w:pPr>
            <w:r w:rsidRPr="00D11021">
              <w:rPr>
                <w:rFonts w:hint="cs"/>
                <w:sz w:val="20"/>
                <w:rtl/>
                <w:lang w:val="en-CA"/>
              </w:rPr>
              <w:t>خطة إزالة المواد الهيدروكلوروفلوروكربونية</w:t>
            </w:r>
            <w:r w:rsidR="00D42331" w:rsidRPr="00D11021">
              <w:rPr>
                <w:rFonts w:hint="cs"/>
                <w:sz w:val="20"/>
                <w:rtl/>
                <w:lang w:val="en-CA"/>
              </w:rPr>
              <w:t xml:space="preserve"> </w:t>
            </w:r>
            <w:r w:rsidRPr="00D11021">
              <w:rPr>
                <w:rFonts w:hint="cs"/>
                <w:sz w:val="20"/>
                <w:rtl/>
                <w:lang w:val="en-CA"/>
              </w:rPr>
              <w:t>(المرحلة الثانية)</w:t>
            </w:r>
          </w:p>
        </w:tc>
        <w:tc>
          <w:tcPr>
            <w:tcW w:w="5027" w:type="dxa"/>
            <w:shd w:val="clear" w:color="auto" w:fill="auto"/>
          </w:tcPr>
          <w:p w14:paraId="5BFB5B92" w14:textId="22ECE967" w:rsidR="007D1FB7" w:rsidRPr="00D11021" w:rsidRDefault="009B1FC6" w:rsidP="007D1FB7">
            <w:pPr>
              <w:bidi/>
              <w:spacing w:after="80"/>
              <w:jc w:val="center"/>
              <w:rPr>
                <w:sz w:val="20"/>
                <w:lang w:val="en-CA" w:bidi="ar-EG"/>
              </w:rPr>
            </w:pPr>
            <w:r w:rsidRPr="00D11021">
              <w:rPr>
                <w:rFonts w:hint="cs"/>
                <w:sz w:val="20"/>
                <w:rtl/>
                <w:lang w:val="en-CA" w:bidi="ar-EG"/>
              </w:rPr>
              <w:t>ألمانيا</w:t>
            </w:r>
          </w:p>
        </w:tc>
      </w:tr>
    </w:tbl>
    <w:p w14:paraId="57095E65" w14:textId="77777777" w:rsidR="007D1FB7" w:rsidRPr="00D11021" w:rsidRDefault="007D1FB7" w:rsidP="007D1FB7">
      <w:pPr>
        <w:spacing w:after="60"/>
        <w:jc w:val="center"/>
        <w:rPr>
          <w:sz w:val="20"/>
          <w:lang w:val="en-CA"/>
        </w:rPr>
      </w:pPr>
    </w:p>
    <w:tbl>
      <w:tblPr>
        <w:tblStyle w:val="TableGrid"/>
        <w:bidiVisual/>
        <w:tblW w:w="10440" w:type="dxa"/>
        <w:tblInd w:w="-597"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5032"/>
        <w:gridCol w:w="1800"/>
        <w:gridCol w:w="3608"/>
      </w:tblGrid>
      <w:tr w:rsidR="007D1FB7" w:rsidRPr="00D11021" w14:paraId="79FBB206" w14:textId="77777777" w:rsidTr="00ED7103">
        <w:trPr>
          <w:trHeight w:val="240"/>
        </w:trPr>
        <w:tc>
          <w:tcPr>
            <w:tcW w:w="5032" w:type="dxa"/>
            <w:shd w:val="clear" w:color="auto" w:fill="auto"/>
          </w:tcPr>
          <w:p w14:paraId="1D7731F8" w14:textId="77777777" w:rsidR="007D1FB7" w:rsidRPr="00D11021" w:rsidRDefault="007D1FB7" w:rsidP="00245558">
            <w:pPr>
              <w:bidi/>
              <w:spacing w:after="60"/>
              <w:jc w:val="left"/>
              <w:rPr>
                <w:bCs/>
                <w:sz w:val="20"/>
                <w:lang w:val="en-CA"/>
              </w:rPr>
            </w:pPr>
            <w:r w:rsidRPr="00D11021">
              <w:rPr>
                <w:rFonts w:hint="cs"/>
                <w:bCs/>
                <w:sz w:val="20"/>
                <w:rtl/>
                <w:lang w:val="en-CA"/>
              </w:rPr>
              <w:t>(2) أحدث بيانات المادة 7 (المرفق جيم المجموعة الأولى)</w:t>
            </w:r>
          </w:p>
        </w:tc>
        <w:tc>
          <w:tcPr>
            <w:tcW w:w="1800" w:type="dxa"/>
            <w:shd w:val="clear" w:color="auto" w:fill="auto"/>
          </w:tcPr>
          <w:p w14:paraId="00C4B271" w14:textId="32FEC53E" w:rsidR="007D1FB7" w:rsidRPr="00D11021" w:rsidRDefault="007D1FB7" w:rsidP="00245558">
            <w:pPr>
              <w:spacing w:after="60"/>
              <w:jc w:val="center"/>
              <w:rPr>
                <w:sz w:val="20"/>
                <w:lang w:val="en-CA" w:bidi="ar-EG"/>
              </w:rPr>
            </w:pPr>
            <w:r w:rsidRPr="00D11021">
              <w:rPr>
                <w:rFonts w:hint="cs"/>
                <w:sz w:val="20"/>
                <w:rtl/>
                <w:lang w:val="en-CA"/>
              </w:rPr>
              <w:t xml:space="preserve">السنة: </w:t>
            </w:r>
            <w:r w:rsidRPr="00D11021">
              <w:rPr>
                <w:rFonts w:hint="cs"/>
                <w:sz w:val="20"/>
                <w:rtl/>
                <w:lang w:val="en-CA" w:bidi="ar-EG"/>
              </w:rPr>
              <w:t>2020</w:t>
            </w:r>
          </w:p>
        </w:tc>
        <w:tc>
          <w:tcPr>
            <w:tcW w:w="3608" w:type="dxa"/>
            <w:shd w:val="clear" w:color="auto" w:fill="auto"/>
          </w:tcPr>
          <w:p w14:paraId="14FE4722" w14:textId="34456B45" w:rsidR="007D1FB7" w:rsidRPr="00D11021" w:rsidRDefault="007D1FB7" w:rsidP="00245558">
            <w:pPr>
              <w:bidi/>
              <w:spacing w:after="60"/>
              <w:jc w:val="left"/>
              <w:rPr>
                <w:sz w:val="20"/>
                <w:lang w:val="en-CA"/>
              </w:rPr>
            </w:pPr>
            <w:r w:rsidRPr="00D11021">
              <w:rPr>
                <w:sz w:val="20"/>
                <w:lang w:val="en-US" w:bidi="ar-EG"/>
              </w:rPr>
              <w:t xml:space="preserve"> </w:t>
            </w:r>
            <w:r w:rsidR="009B1FC6" w:rsidRPr="00D11021">
              <w:rPr>
                <w:sz w:val="20"/>
                <w:lang w:val="en-US" w:bidi="ar-EG"/>
              </w:rPr>
              <w:t>0.46</w:t>
            </w:r>
            <w:r w:rsidRPr="00D11021">
              <w:rPr>
                <w:rFonts w:hint="cs"/>
                <w:sz w:val="20"/>
                <w:rtl/>
                <w:lang w:val="en-CA"/>
              </w:rPr>
              <w:t>(طن من قدرات استنفاد الأوزون)</w:t>
            </w:r>
          </w:p>
        </w:tc>
      </w:tr>
    </w:tbl>
    <w:p w14:paraId="47E9913E" w14:textId="77777777" w:rsidR="007D1FB7" w:rsidRPr="00D11021" w:rsidRDefault="007D1FB7" w:rsidP="007D1FB7">
      <w:pPr>
        <w:spacing w:after="60"/>
        <w:jc w:val="center"/>
        <w:rPr>
          <w:sz w:val="18"/>
          <w:szCs w:val="18"/>
          <w:rtl/>
          <w:lang w:val="en-CA"/>
        </w:rPr>
      </w:pPr>
    </w:p>
    <w:tbl>
      <w:tblPr>
        <w:tblStyle w:val="TableGrid"/>
        <w:bidiVisual/>
        <w:tblW w:w="5594" w:type="pct"/>
        <w:tblInd w:w="-599"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2489"/>
        <w:gridCol w:w="1196"/>
        <w:gridCol w:w="817"/>
        <w:gridCol w:w="713"/>
        <w:gridCol w:w="754"/>
        <w:gridCol w:w="668"/>
        <w:gridCol w:w="783"/>
        <w:gridCol w:w="663"/>
        <w:gridCol w:w="1083"/>
        <w:gridCol w:w="1295"/>
      </w:tblGrid>
      <w:tr w:rsidR="007D1FB7" w:rsidRPr="00D11021" w14:paraId="5AA6D6AE" w14:textId="77777777" w:rsidTr="00ED7103">
        <w:trPr>
          <w:trHeight w:val="240"/>
        </w:trPr>
        <w:tc>
          <w:tcPr>
            <w:tcW w:w="3790" w:type="pct"/>
            <w:gridSpan w:val="8"/>
            <w:shd w:val="clear" w:color="auto" w:fill="auto"/>
          </w:tcPr>
          <w:p w14:paraId="6675DFE6" w14:textId="77777777" w:rsidR="007D1FB7" w:rsidRPr="00D11021" w:rsidRDefault="007D1FB7" w:rsidP="00245558">
            <w:pPr>
              <w:bidi/>
              <w:spacing w:after="60"/>
              <w:jc w:val="left"/>
              <w:rPr>
                <w:bCs/>
                <w:sz w:val="20"/>
                <w:lang w:val="en-US"/>
              </w:rPr>
            </w:pPr>
            <w:r w:rsidRPr="00D11021">
              <w:rPr>
                <w:rFonts w:hint="cs"/>
                <w:bCs/>
                <w:sz w:val="20"/>
                <w:rtl/>
                <w:lang w:val="en-US"/>
              </w:rPr>
              <w:t>(3) أحدث البيانات القطاعية للبرنامج القطري (طن من قدرات استنفاد الأوزون)</w:t>
            </w:r>
          </w:p>
        </w:tc>
        <w:tc>
          <w:tcPr>
            <w:tcW w:w="1210" w:type="pct"/>
            <w:gridSpan w:val="2"/>
            <w:shd w:val="clear" w:color="auto" w:fill="auto"/>
          </w:tcPr>
          <w:p w14:paraId="531B555E" w14:textId="0A7535E3" w:rsidR="007D1FB7" w:rsidRPr="00D11021" w:rsidRDefault="007D1FB7" w:rsidP="00245558">
            <w:pPr>
              <w:spacing w:after="60"/>
              <w:jc w:val="right"/>
              <w:rPr>
                <w:bCs/>
                <w:sz w:val="20"/>
                <w:rtl/>
                <w:lang w:val="en-US" w:bidi="ar-EG"/>
              </w:rPr>
            </w:pPr>
            <w:r w:rsidRPr="00D11021">
              <w:rPr>
                <w:rFonts w:hint="cs"/>
                <w:bCs/>
                <w:sz w:val="20"/>
                <w:rtl/>
                <w:lang w:val="en-US"/>
              </w:rPr>
              <w:t xml:space="preserve">السنة: </w:t>
            </w:r>
            <w:r w:rsidR="00EE3C03" w:rsidRPr="00D11021">
              <w:rPr>
                <w:rFonts w:hint="cs"/>
                <w:bCs/>
                <w:sz w:val="20"/>
                <w:rtl/>
                <w:lang w:val="en-US" w:bidi="ar-EG"/>
              </w:rPr>
              <w:t>2020</w:t>
            </w:r>
          </w:p>
        </w:tc>
      </w:tr>
      <w:tr w:rsidR="007D1FB7" w:rsidRPr="00D11021" w14:paraId="77E59612" w14:textId="77777777" w:rsidTr="00ED7103">
        <w:trPr>
          <w:trHeight w:val="240"/>
        </w:trPr>
        <w:tc>
          <w:tcPr>
            <w:tcW w:w="1247" w:type="pct"/>
            <w:shd w:val="clear" w:color="auto" w:fill="auto"/>
          </w:tcPr>
          <w:p w14:paraId="4D86C1C1" w14:textId="77777777" w:rsidR="007D1FB7" w:rsidRPr="00D11021" w:rsidRDefault="007D1FB7" w:rsidP="00245558">
            <w:pPr>
              <w:bidi/>
              <w:spacing w:after="60"/>
              <w:jc w:val="center"/>
              <w:rPr>
                <w:sz w:val="20"/>
                <w:szCs w:val="22"/>
              </w:rPr>
            </w:pPr>
            <w:r w:rsidRPr="00D11021">
              <w:rPr>
                <w:rFonts w:hint="cs"/>
                <w:sz w:val="20"/>
                <w:szCs w:val="22"/>
                <w:rtl/>
              </w:rPr>
              <w:t>كيميائي</w:t>
            </w:r>
          </w:p>
        </w:tc>
        <w:tc>
          <w:tcPr>
            <w:tcW w:w="529" w:type="pct"/>
            <w:shd w:val="clear" w:color="auto" w:fill="auto"/>
          </w:tcPr>
          <w:p w14:paraId="45C3DC35" w14:textId="77777777" w:rsidR="007D1FB7" w:rsidRPr="00D11021" w:rsidRDefault="007D1FB7" w:rsidP="00245558">
            <w:pPr>
              <w:bidi/>
              <w:spacing w:after="60"/>
              <w:jc w:val="center"/>
              <w:rPr>
                <w:sz w:val="20"/>
                <w:szCs w:val="22"/>
              </w:rPr>
            </w:pPr>
            <w:r w:rsidRPr="00D11021">
              <w:rPr>
                <w:rFonts w:hint="cs"/>
                <w:sz w:val="20"/>
                <w:szCs w:val="22"/>
                <w:rtl/>
              </w:rPr>
              <w:t>الإيروصولات</w:t>
            </w:r>
          </w:p>
        </w:tc>
        <w:tc>
          <w:tcPr>
            <w:tcW w:w="364" w:type="pct"/>
            <w:shd w:val="clear" w:color="auto" w:fill="auto"/>
          </w:tcPr>
          <w:p w14:paraId="05E3C7F5" w14:textId="77777777" w:rsidR="007D1FB7" w:rsidRPr="00D11021" w:rsidRDefault="007D1FB7" w:rsidP="00245558">
            <w:pPr>
              <w:bidi/>
              <w:spacing w:after="60"/>
              <w:jc w:val="center"/>
              <w:rPr>
                <w:sz w:val="20"/>
                <w:szCs w:val="22"/>
              </w:rPr>
            </w:pPr>
            <w:r w:rsidRPr="00D11021">
              <w:rPr>
                <w:rFonts w:hint="cs"/>
                <w:sz w:val="20"/>
                <w:szCs w:val="22"/>
                <w:rtl/>
              </w:rPr>
              <w:t>الرغاوي</w:t>
            </w:r>
          </w:p>
        </w:tc>
        <w:tc>
          <w:tcPr>
            <w:tcW w:w="331" w:type="pct"/>
            <w:shd w:val="clear" w:color="auto" w:fill="auto"/>
          </w:tcPr>
          <w:p w14:paraId="0E7AA84C" w14:textId="77777777" w:rsidR="007D1FB7" w:rsidRPr="00D11021" w:rsidRDefault="007D1FB7" w:rsidP="00245558">
            <w:pPr>
              <w:bidi/>
              <w:spacing w:after="60"/>
              <w:jc w:val="center"/>
              <w:rPr>
                <w:sz w:val="20"/>
                <w:szCs w:val="22"/>
              </w:rPr>
            </w:pPr>
            <w:r w:rsidRPr="00D11021">
              <w:rPr>
                <w:rFonts w:hint="cs"/>
                <w:sz w:val="20"/>
                <w:szCs w:val="22"/>
                <w:rtl/>
              </w:rPr>
              <w:t>مكافحة الحريق</w:t>
            </w:r>
          </w:p>
        </w:tc>
        <w:tc>
          <w:tcPr>
            <w:tcW w:w="666" w:type="pct"/>
            <w:gridSpan w:val="2"/>
            <w:shd w:val="clear" w:color="auto" w:fill="auto"/>
          </w:tcPr>
          <w:p w14:paraId="1297181F" w14:textId="77777777" w:rsidR="007D1FB7" w:rsidRPr="00D11021" w:rsidRDefault="007D1FB7" w:rsidP="00245558">
            <w:pPr>
              <w:bidi/>
              <w:spacing w:after="60"/>
              <w:jc w:val="center"/>
              <w:rPr>
                <w:sz w:val="20"/>
                <w:szCs w:val="22"/>
              </w:rPr>
            </w:pPr>
            <w:r w:rsidRPr="00D11021">
              <w:rPr>
                <w:rFonts w:hint="cs"/>
                <w:sz w:val="20"/>
                <w:szCs w:val="22"/>
                <w:rtl/>
              </w:rPr>
              <w:t>التبريد</w:t>
            </w:r>
          </w:p>
        </w:tc>
        <w:tc>
          <w:tcPr>
            <w:tcW w:w="350" w:type="pct"/>
            <w:shd w:val="clear" w:color="auto" w:fill="auto"/>
          </w:tcPr>
          <w:p w14:paraId="49850CB1" w14:textId="77777777" w:rsidR="007D1FB7" w:rsidRPr="00D11021" w:rsidRDefault="007D1FB7" w:rsidP="00245558">
            <w:pPr>
              <w:bidi/>
              <w:spacing w:after="60"/>
              <w:jc w:val="center"/>
              <w:rPr>
                <w:sz w:val="20"/>
                <w:szCs w:val="22"/>
              </w:rPr>
            </w:pPr>
            <w:r w:rsidRPr="00D11021">
              <w:rPr>
                <w:rFonts w:hint="cs"/>
                <w:sz w:val="20"/>
                <w:szCs w:val="22"/>
                <w:rtl/>
              </w:rPr>
              <w:t>المذيبات</w:t>
            </w:r>
          </w:p>
        </w:tc>
        <w:tc>
          <w:tcPr>
            <w:tcW w:w="303" w:type="pct"/>
            <w:shd w:val="clear" w:color="auto" w:fill="auto"/>
          </w:tcPr>
          <w:p w14:paraId="1044BB52" w14:textId="77777777" w:rsidR="007D1FB7" w:rsidRPr="00D11021" w:rsidRDefault="007D1FB7" w:rsidP="00245558">
            <w:pPr>
              <w:bidi/>
              <w:spacing w:after="60"/>
              <w:jc w:val="center"/>
              <w:rPr>
                <w:sz w:val="20"/>
                <w:szCs w:val="22"/>
              </w:rPr>
            </w:pPr>
            <w:r w:rsidRPr="00D11021">
              <w:rPr>
                <w:rFonts w:hint="cs"/>
                <w:sz w:val="20"/>
                <w:szCs w:val="22"/>
                <w:rtl/>
              </w:rPr>
              <w:t>عامل تصنيع</w:t>
            </w:r>
          </w:p>
        </w:tc>
        <w:tc>
          <w:tcPr>
            <w:tcW w:w="480" w:type="pct"/>
            <w:shd w:val="clear" w:color="auto" w:fill="auto"/>
          </w:tcPr>
          <w:p w14:paraId="37D2E42C" w14:textId="77777777" w:rsidR="007D1FB7" w:rsidRPr="00D11021" w:rsidRDefault="007D1FB7" w:rsidP="00245558">
            <w:pPr>
              <w:bidi/>
              <w:spacing w:after="60"/>
              <w:jc w:val="center"/>
              <w:rPr>
                <w:sz w:val="20"/>
                <w:szCs w:val="22"/>
              </w:rPr>
            </w:pPr>
            <w:r w:rsidRPr="00D11021">
              <w:rPr>
                <w:rFonts w:hint="cs"/>
                <w:sz w:val="20"/>
                <w:szCs w:val="22"/>
                <w:rtl/>
              </w:rPr>
              <w:t>الاستخدامات المعملية</w:t>
            </w:r>
          </w:p>
        </w:tc>
        <w:tc>
          <w:tcPr>
            <w:tcW w:w="729" w:type="pct"/>
            <w:shd w:val="clear" w:color="auto" w:fill="auto"/>
          </w:tcPr>
          <w:p w14:paraId="30884C58" w14:textId="77777777" w:rsidR="007D1FB7" w:rsidRPr="00D11021" w:rsidRDefault="007D1FB7" w:rsidP="00245558">
            <w:pPr>
              <w:bidi/>
              <w:spacing w:after="60"/>
              <w:jc w:val="center"/>
              <w:rPr>
                <w:sz w:val="20"/>
                <w:szCs w:val="22"/>
              </w:rPr>
            </w:pPr>
            <w:r w:rsidRPr="00D11021">
              <w:rPr>
                <w:rFonts w:hint="cs"/>
                <w:sz w:val="20"/>
                <w:szCs w:val="22"/>
                <w:rtl/>
              </w:rPr>
              <w:t>إجمالي استهلاك القطاع</w:t>
            </w:r>
          </w:p>
        </w:tc>
      </w:tr>
      <w:tr w:rsidR="007D1FB7" w:rsidRPr="00D11021" w14:paraId="6089974A" w14:textId="77777777" w:rsidTr="00ED7103">
        <w:trPr>
          <w:trHeight w:val="240"/>
        </w:trPr>
        <w:tc>
          <w:tcPr>
            <w:tcW w:w="2472" w:type="pct"/>
            <w:gridSpan w:val="4"/>
            <w:shd w:val="clear" w:color="auto" w:fill="auto"/>
          </w:tcPr>
          <w:p w14:paraId="3DBB2308" w14:textId="77777777" w:rsidR="007D1FB7" w:rsidRPr="00D11021" w:rsidRDefault="007D1FB7" w:rsidP="00245558">
            <w:pPr>
              <w:bidi/>
              <w:spacing w:after="60"/>
              <w:rPr>
                <w:sz w:val="20"/>
                <w:szCs w:val="22"/>
              </w:rPr>
            </w:pPr>
            <w:r w:rsidRPr="00D11021">
              <w:rPr>
                <w:sz w:val="20"/>
                <w:szCs w:val="22"/>
              </w:rPr>
              <w:t xml:space="preserve"> </w:t>
            </w:r>
          </w:p>
        </w:tc>
        <w:tc>
          <w:tcPr>
            <w:tcW w:w="366" w:type="pct"/>
            <w:shd w:val="clear" w:color="auto" w:fill="auto"/>
          </w:tcPr>
          <w:p w14:paraId="4F3BB25C" w14:textId="77777777" w:rsidR="007D1FB7" w:rsidRPr="00D11021" w:rsidRDefault="007D1FB7" w:rsidP="00245558">
            <w:pPr>
              <w:bidi/>
              <w:spacing w:after="60"/>
              <w:rPr>
                <w:sz w:val="20"/>
                <w:szCs w:val="22"/>
              </w:rPr>
            </w:pPr>
            <w:r w:rsidRPr="00D11021">
              <w:rPr>
                <w:rFonts w:hint="cs"/>
                <w:sz w:val="20"/>
                <w:szCs w:val="22"/>
                <w:rtl/>
              </w:rPr>
              <w:t>التصنيع</w:t>
            </w:r>
          </w:p>
        </w:tc>
        <w:tc>
          <w:tcPr>
            <w:tcW w:w="301" w:type="pct"/>
            <w:shd w:val="clear" w:color="auto" w:fill="auto"/>
          </w:tcPr>
          <w:p w14:paraId="40366610" w14:textId="77777777" w:rsidR="007D1FB7" w:rsidRPr="00D11021" w:rsidRDefault="007D1FB7" w:rsidP="00245558">
            <w:pPr>
              <w:bidi/>
              <w:spacing w:after="60"/>
              <w:rPr>
                <w:sz w:val="20"/>
                <w:szCs w:val="22"/>
              </w:rPr>
            </w:pPr>
            <w:r w:rsidRPr="00D11021">
              <w:rPr>
                <w:rFonts w:hint="cs"/>
                <w:sz w:val="20"/>
                <w:szCs w:val="22"/>
                <w:rtl/>
              </w:rPr>
              <w:t>الخدمة</w:t>
            </w:r>
          </w:p>
        </w:tc>
        <w:tc>
          <w:tcPr>
            <w:tcW w:w="1862" w:type="pct"/>
            <w:gridSpan w:val="4"/>
            <w:shd w:val="clear" w:color="auto" w:fill="auto"/>
          </w:tcPr>
          <w:p w14:paraId="01F64A35" w14:textId="77777777" w:rsidR="007D1FB7" w:rsidRPr="00D11021" w:rsidRDefault="007D1FB7" w:rsidP="00245558">
            <w:pPr>
              <w:bidi/>
              <w:spacing w:after="60"/>
              <w:rPr>
                <w:sz w:val="20"/>
                <w:szCs w:val="22"/>
              </w:rPr>
            </w:pPr>
          </w:p>
        </w:tc>
      </w:tr>
      <w:tr w:rsidR="007D1FB7" w:rsidRPr="00D11021" w14:paraId="7C9EAC54" w14:textId="77777777" w:rsidTr="00ED7103">
        <w:trPr>
          <w:trHeight w:val="240"/>
        </w:trPr>
        <w:tc>
          <w:tcPr>
            <w:tcW w:w="1247" w:type="pct"/>
            <w:shd w:val="clear" w:color="auto" w:fill="auto"/>
          </w:tcPr>
          <w:p w14:paraId="197DC908" w14:textId="77777777" w:rsidR="007D1FB7" w:rsidRPr="00D11021" w:rsidRDefault="007D1FB7" w:rsidP="007D1FB7">
            <w:pPr>
              <w:bidi/>
              <w:spacing w:after="60"/>
              <w:jc w:val="left"/>
              <w:rPr>
                <w:sz w:val="20"/>
                <w:rtl/>
                <w:lang w:val="en-US"/>
              </w:rPr>
            </w:pPr>
            <w:r w:rsidRPr="00D11021">
              <w:rPr>
                <w:rFonts w:hint="cs"/>
                <w:sz w:val="20"/>
                <w:rtl/>
                <w:lang w:val="en-US"/>
              </w:rPr>
              <w:t>الهيدروكلوروفلوروكربون-22</w:t>
            </w:r>
          </w:p>
        </w:tc>
        <w:tc>
          <w:tcPr>
            <w:tcW w:w="529" w:type="pct"/>
            <w:shd w:val="clear" w:color="auto" w:fill="auto"/>
          </w:tcPr>
          <w:p w14:paraId="0995E58B" w14:textId="77777777" w:rsidR="007D1FB7" w:rsidRPr="00D11021" w:rsidRDefault="007D1FB7" w:rsidP="007D1FB7">
            <w:pPr>
              <w:spacing w:after="60"/>
              <w:jc w:val="right"/>
              <w:rPr>
                <w:sz w:val="18"/>
                <w:szCs w:val="18"/>
                <w:lang w:val="en-CA"/>
              </w:rPr>
            </w:pPr>
          </w:p>
        </w:tc>
        <w:tc>
          <w:tcPr>
            <w:tcW w:w="364" w:type="pct"/>
            <w:shd w:val="clear" w:color="auto" w:fill="auto"/>
          </w:tcPr>
          <w:p w14:paraId="5693AA5C" w14:textId="77777777" w:rsidR="007D1FB7" w:rsidRPr="00D11021" w:rsidRDefault="007D1FB7" w:rsidP="007D1FB7">
            <w:pPr>
              <w:spacing w:after="60"/>
              <w:jc w:val="right"/>
              <w:rPr>
                <w:sz w:val="18"/>
                <w:szCs w:val="18"/>
                <w:lang w:val="en-CA"/>
              </w:rPr>
            </w:pPr>
          </w:p>
        </w:tc>
        <w:tc>
          <w:tcPr>
            <w:tcW w:w="331" w:type="pct"/>
            <w:shd w:val="clear" w:color="auto" w:fill="auto"/>
          </w:tcPr>
          <w:p w14:paraId="79FB7358" w14:textId="77777777" w:rsidR="007D1FB7" w:rsidRPr="00D11021" w:rsidRDefault="007D1FB7" w:rsidP="007D1FB7">
            <w:pPr>
              <w:spacing w:after="60"/>
              <w:jc w:val="right"/>
              <w:rPr>
                <w:sz w:val="18"/>
                <w:szCs w:val="18"/>
                <w:lang w:val="en-CA"/>
              </w:rPr>
            </w:pPr>
          </w:p>
        </w:tc>
        <w:tc>
          <w:tcPr>
            <w:tcW w:w="366" w:type="pct"/>
            <w:shd w:val="clear" w:color="auto" w:fill="auto"/>
          </w:tcPr>
          <w:p w14:paraId="3E84F4B3" w14:textId="663102F1" w:rsidR="007D1FB7" w:rsidRPr="00D11021" w:rsidRDefault="007D1FB7" w:rsidP="007D1FB7">
            <w:pPr>
              <w:spacing w:after="60"/>
              <w:jc w:val="right"/>
              <w:rPr>
                <w:sz w:val="18"/>
                <w:szCs w:val="18"/>
                <w:lang w:val="en-CA"/>
              </w:rPr>
            </w:pPr>
          </w:p>
        </w:tc>
        <w:tc>
          <w:tcPr>
            <w:tcW w:w="301" w:type="pct"/>
            <w:shd w:val="clear" w:color="auto" w:fill="auto"/>
          </w:tcPr>
          <w:p w14:paraId="0DAC4914" w14:textId="4CC41428" w:rsidR="007D1FB7" w:rsidRPr="00D11021" w:rsidRDefault="009B1FC6" w:rsidP="007D1FB7">
            <w:pPr>
              <w:spacing w:after="60"/>
              <w:jc w:val="right"/>
              <w:rPr>
                <w:sz w:val="18"/>
                <w:szCs w:val="18"/>
                <w:lang w:val="en-CA"/>
              </w:rPr>
            </w:pPr>
            <w:r w:rsidRPr="00D11021">
              <w:rPr>
                <w:sz w:val="22"/>
                <w:szCs w:val="22"/>
                <w:lang w:val="en-CA"/>
              </w:rPr>
              <w:t>0.46</w:t>
            </w:r>
          </w:p>
        </w:tc>
        <w:tc>
          <w:tcPr>
            <w:tcW w:w="350" w:type="pct"/>
            <w:shd w:val="clear" w:color="auto" w:fill="auto"/>
          </w:tcPr>
          <w:p w14:paraId="257C33C6" w14:textId="77777777" w:rsidR="007D1FB7" w:rsidRPr="00D11021" w:rsidRDefault="007D1FB7" w:rsidP="007D1FB7">
            <w:pPr>
              <w:spacing w:after="60"/>
              <w:jc w:val="right"/>
              <w:rPr>
                <w:sz w:val="18"/>
                <w:szCs w:val="18"/>
                <w:lang w:val="en-CA"/>
              </w:rPr>
            </w:pPr>
          </w:p>
        </w:tc>
        <w:tc>
          <w:tcPr>
            <w:tcW w:w="303" w:type="pct"/>
            <w:shd w:val="clear" w:color="auto" w:fill="auto"/>
          </w:tcPr>
          <w:p w14:paraId="28DAEC8D" w14:textId="77777777" w:rsidR="007D1FB7" w:rsidRPr="00D11021" w:rsidRDefault="007D1FB7" w:rsidP="007D1FB7">
            <w:pPr>
              <w:spacing w:after="60"/>
              <w:jc w:val="right"/>
              <w:rPr>
                <w:sz w:val="18"/>
                <w:szCs w:val="18"/>
                <w:lang w:val="en-CA"/>
              </w:rPr>
            </w:pPr>
          </w:p>
        </w:tc>
        <w:tc>
          <w:tcPr>
            <w:tcW w:w="480" w:type="pct"/>
            <w:shd w:val="clear" w:color="auto" w:fill="auto"/>
          </w:tcPr>
          <w:p w14:paraId="71B1AAD8" w14:textId="77777777" w:rsidR="007D1FB7" w:rsidRPr="00D11021" w:rsidRDefault="007D1FB7" w:rsidP="007D1FB7">
            <w:pPr>
              <w:spacing w:after="60"/>
              <w:jc w:val="right"/>
              <w:rPr>
                <w:sz w:val="18"/>
                <w:szCs w:val="18"/>
                <w:lang w:val="en-CA"/>
              </w:rPr>
            </w:pPr>
          </w:p>
        </w:tc>
        <w:tc>
          <w:tcPr>
            <w:tcW w:w="729" w:type="pct"/>
            <w:shd w:val="clear" w:color="auto" w:fill="auto"/>
          </w:tcPr>
          <w:p w14:paraId="47F42790" w14:textId="0A916A58" w:rsidR="007D1FB7" w:rsidRPr="00D11021" w:rsidRDefault="009B1FC6" w:rsidP="007D1FB7">
            <w:pPr>
              <w:spacing w:after="60"/>
              <w:jc w:val="right"/>
              <w:rPr>
                <w:sz w:val="18"/>
                <w:szCs w:val="18"/>
                <w:lang w:val="en-CA"/>
              </w:rPr>
            </w:pPr>
            <w:r w:rsidRPr="00D11021">
              <w:rPr>
                <w:color w:val="000000" w:themeColor="text1"/>
                <w:sz w:val="22"/>
                <w:szCs w:val="22"/>
                <w:lang w:val="en-CA"/>
              </w:rPr>
              <w:t>0.46</w:t>
            </w:r>
          </w:p>
        </w:tc>
      </w:tr>
    </w:tbl>
    <w:p w14:paraId="5426616A" w14:textId="77777777" w:rsidR="007D1FB7" w:rsidRPr="00D11021" w:rsidRDefault="007D1FB7" w:rsidP="007D1FB7">
      <w:pPr>
        <w:spacing w:after="60"/>
        <w:jc w:val="center"/>
        <w:rPr>
          <w:sz w:val="20"/>
          <w:lang w:val="en-US"/>
        </w:rPr>
      </w:pPr>
    </w:p>
    <w:tbl>
      <w:tblPr>
        <w:tblStyle w:val="TableGrid"/>
        <w:bidiVisual/>
        <w:tblW w:w="5576" w:type="pct"/>
        <w:tblInd w:w="-577"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3089"/>
        <w:gridCol w:w="755"/>
        <w:gridCol w:w="5332"/>
        <w:gridCol w:w="1251"/>
      </w:tblGrid>
      <w:tr w:rsidR="007D1FB7" w:rsidRPr="00D11021" w14:paraId="012B863F" w14:textId="77777777" w:rsidTr="00ED7103">
        <w:trPr>
          <w:trHeight w:val="240"/>
        </w:trPr>
        <w:tc>
          <w:tcPr>
            <w:tcW w:w="5000" w:type="pct"/>
            <w:gridSpan w:val="4"/>
            <w:shd w:val="clear" w:color="auto" w:fill="auto"/>
          </w:tcPr>
          <w:p w14:paraId="5F740688" w14:textId="77777777" w:rsidR="007D1FB7" w:rsidRPr="00D11021" w:rsidRDefault="007D1FB7" w:rsidP="00245558">
            <w:pPr>
              <w:bidi/>
              <w:spacing w:after="60"/>
              <w:jc w:val="left"/>
              <w:rPr>
                <w:bCs/>
                <w:sz w:val="20"/>
                <w:lang w:val="en-US"/>
              </w:rPr>
            </w:pPr>
            <w:r w:rsidRPr="00D11021">
              <w:rPr>
                <w:rFonts w:hint="cs"/>
                <w:bCs/>
                <w:sz w:val="20"/>
                <w:rtl/>
                <w:lang w:val="en-US"/>
              </w:rPr>
              <w:t>(4) بيانات الاستهلاك (طن من قدرات استنفاد الأوزون)</w:t>
            </w:r>
          </w:p>
        </w:tc>
      </w:tr>
      <w:tr w:rsidR="007D1FB7" w:rsidRPr="00D11021" w14:paraId="249B8049" w14:textId="77777777" w:rsidTr="00ED7103">
        <w:trPr>
          <w:trHeight w:val="240"/>
        </w:trPr>
        <w:tc>
          <w:tcPr>
            <w:tcW w:w="1481" w:type="pct"/>
            <w:shd w:val="clear" w:color="auto" w:fill="auto"/>
          </w:tcPr>
          <w:p w14:paraId="7DC9D582" w14:textId="77777777" w:rsidR="007D1FB7" w:rsidRPr="00D11021" w:rsidRDefault="007D1FB7" w:rsidP="007D1FB7">
            <w:pPr>
              <w:spacing w:after="60"/>
              <w:jc w:val="center"/>
              <w:rPr>
                <w:sz w:val="20"/>
                <w:lang w:val="en-US"/>
              </w:rPr>
            </w:pPr>
            <w:r w:rsidRPr="00D11021">
              <w:rPr>
                <w:rFonts w:hint="cs"/>
                <w:sz w:val="20"/>
                <w:rtl/>
                <w:lang w:val="en-US"/>
              </w:rPr>
              <w:t>خط الأساس للفترة 2009-2010</w:t>
            </w:r>
          </w:p>
        </w:tc>
        <w:tc>
          <w:tcPr>
            <w:tcW w:w="362" w:type="pct"/>
            <w:shd w:val="clear" w:color="auto" w:fill="auto"/>
          </w:tcPr>
          <w:p w14:paraId="4310C607" w14:textId="3F78593E" w:rsidR="007D1FB7" w:rsidRPr="00D11021" w:rsidRDefault="009B1FC6" w:rsidP="007D1FB7">
            <w:pPr>
              <w:spacing w:after="60"/>
              <w:jc w:val="right"/>
              <w:rPr>
                <w:sz w:val="20"/>
                <w:szCs w:val="22"/>
                <w:lang w:val="en-CA" w:bidi="ar-SA"/>
              </w:rPr>
            </w:pPr>
            <w:r w:rsidRPr="00D11021">
              <w:rPr>
                <w:color w:val="000000" w:themeColor="text1"/>
                <w:sz w:val="22"/>
                <w:szCs w:val="22"/>
                <w:lang w:val="en-CA"/>
              </w:rPr>
              <w:t>3.50</w:t>
            </w:r>
          </w:p>
        </w:tc>
        <w:tc>
          <w:tcPr>
            <w:tcW w:w="2557" w:type="pct"/>
            <w:shd w:val="clear" w:color="auto" w:fill="auto"/>
          </w:tcPr>
          <w:p w14:paraId="7589CBD6" w14:textId="77777777" w:rsidR="007D1FB7" w:rsidRPr="00D11021" w:rsidRDefault="007D1FB7" w:rsidP="007D1FB7">
            <w:pPr>
              <w:spacing w:after="60"/>
              <w:jc w:val="center"/>
              <w:rPr>
                <w:sz w:val="20"/>
                <w:lang w:val="en-US"/>
              </w:rPr>
            </w:pPr>
            <w:r w:rsidRPr="00D11021">
              <w:rPr>
                <w:rFonts w:hint="cs"/>
                <w:sz w:val="20"/>
                <w:rtl/>
                <w:lang w:val="en-US"/>
              </w:rPr>
              <w:t>نقطة البداية للتخفيضات المجمعة المستدامة</w:t>
            </w:r>
          </w:p>
        </w:tc>
        <w:tc>
          <w:tcPr>
            <w:tcW w:w="600" w:type="pct"/>
            <w:shd w:val="clear" w:color="auto" w:fill="auto"/>
          </w:tcPr>
          <w:p w14:paraId="425DD404" w14:textId="58933414" w:rsidR="007D1FB7" w:rsidRPr="00D11021" w:rsidRDefault="009B1FC6" w:rsidP="007D1FB7">
            <w:pPr>
              <w:spacing w:after="60"/>
              <w:jc w:val="right"/>
              <w:rPr>
                <w:sz w:val="20"/>
                <w:lang w:val="en-US"/>
              </w:rPr>
            </w:pPr>
            <w:r w:rsidRPr="00D11021">
              <w:rPr>
                <w:sz w:val="22"/>
                <w:szCs w:val="22"/>
                <w:lang w:val="en-CA"/>
              </w:rPr>
              <w:t>1.54</w:t>
            </w:r>
          </w:p>
        </w:tc>
      </w:tr>
      <w:tr w:rsidR="007D1FB7" w:rsidRPr="00D11021" w14:paraId="03EE38A5" w14:textId="77777777" w:rsidTr="00ED7103">
        <w:trPr>
          <w:trHeight w:val="240"/>
        </w:trPr>
        <w:tc>
          <w:tcPr>
            <w:tcW w:w="5000" w:type="pct"/>
            <w:gridSpan w:val="4"/>
            <w:shd w:val="clear" w:color="auto" w:fill="auto"/>
          </w:tcPr>
          <w:p w14:paraId="7C953A65" w14:textId="77777777" w:rsidR="007D1FB7" w:rsidRPr="00D11021" w:rsidRDefault="007D1FB7" w:rsidP="00245558">
            <w:pPr>
              <w:spacing w:after="60"/>
              <w:jc w:val="center"/>
              <w:rPr>
                <w:bCs/>
                <w:sz w:val="20"/>
                <w:lang w:val="en-US"/>
              </w:rPr>
            </w:pPr>
            <w:r w:rsidRPr="00D11021">
              <w:rPr>
                <w:rFonts w:hint="cs"/>
                <w:bCs/>
                <w:sz w:val="20"/>
                <w:rtl/>
                <w:lang w:val="en-US"/>
              </w:rPr>
              <w:t>الاستهلاك المؤهل للتمويل (طن من قدرات استنفاد الأوزون)</w:t>
            </w:r>
          </w:p>
        </w:tc>
      </w:tr>
      <w:tr w:rsidR="007D1FB7" w:rsidRPr="00D11021" w14:paraId="32FB01DA" w14:textId="77777777" w:rsidTr="00ED7103">
        <w:trPr>
          <w:trHeight w:val="240"/>
        </w:trPr>
        <w:tc>
          <w:tcPr>
            <w:tcW w:w="1481" w:type="pct"/>
            <w:shd w:val="clear" w:color="auto" w:fill="auto"/>
          </w:tcPr>
          <w:p w14:paraId="64FFC078" w14:textId="77777777" w:rsidR="007D1FB7" w:rsidRPr="00D11021" w:rsidRDefault="007D1FB7" w:rsidP="007D1FB7">
            <w:pPr>
              <w:spacing w:after="60"/>
              <w:jc w:val="center"/>
              <w:rPr>
                <w:sz w:val="20"/>
                <w:lang w:val="en-US"/>
              </w:rPr>
            </w:pPr>
            <w:r w:rsidRPr="00D11021">
              <w:rPr>
                <w:rFonts w:hint="cs"/>
                <w:sz w:val="20"/>
                <w:rtl/>
                <w:lang w:val="en-US"/>
              </w:rPr>
              <w:t>موافق عليه بالفعل:</w:t>
            </w:r>
          </w:p>
        </w:tc>
        <w:tc>
          <w:tcPr>
            <w:tcW w:w="362" w:type="pct"/>
            <w:shd w:val="clear" w:color="auto" w:fill="auto"/>
          </w:tcPr>
          <w:p w14:paraId="4287B414" w14:textId="788B7E4A" w:rsidR="007D1FB7" w:rsidRPr="00D11021" w:rsidRDefault="009B1FC6" w:rsidP="007D1FB7">
            <w:pPr>
              <w:spacing w:after="60"/>
              <w:jc w:val="right"/>
              <w:rPr>
                <w:sz w:val="20"/>
                <w:szCs w:val="22"/>
                <w:lang w:val="en-CA"/>
              </w:rPr>
            </w:pPr>
            <w:r w:rsidRPr="00D11021">
              <w:rPr>
                <w:color w:val="000000" w:themeColor="text1"/>
                <w:sz w:val="22"/>
                <w:szCs w:val="22"/>
                <w:lang w:val="en-CA"/>
              </w:rPr>
              <w:t>0.54</w:t>
            </w:r>
          </w:p>
        </w:tc>
        <w:tc>
          <w:tcPr>
            <w:tcW w:w="2557" w:type="pct"/>
            <w:shd w:val="clear" w:color="auto" w:fill="auto"/>
          </w:tcPr>
          <w:p w14:paraId="6B144019" w14:textId="77777777" w:rsidR="007D1FB7" w:rsidRPr="00D11021" w:rsidRDefault="007D1FB7" w:rsidP="007D1FB7">
            <w:pPr>
              <w:spacing w:after="60"/>
              <w:jc w:val="center"/>
              <w:rPr>
                <w:sz w:val="20"/>
                <w:lang w:val="en-US"/>
              </w:rPr>
            </w:pPr>
            <w:r w:rsidRPr="00D11021">
              <w:rPr>
                <w:rFonts w:hint="cs"/>
                <w:sz w:val="20"/>
                <w:rtl/>
                <w:lang w:val="en-US"/>
              </w:rPr>
              <w:t>المتبقي</w:t>
            </w:r>
          </w:p>
        </w:tc>
        <w:tc>
          <w:tcPr>
            <w:tcW w:w="600" w:type="pct"/>
            <w:shd w:val="clear" w:color="auto" w:fill="auto"/>
          </w:tcPr>
          <w:p w14:paraId="02EC0150" w14:textId="14F33524" w:rsidR="007D1FB7" w:rsidRPr="00D11021" w:rsidRDefault="009B1FC6" w:rsidP="007D1FB7">
            <w:pPr>
              <w:spacing w:after="60"/>
              <w:jc w:val="right"/>
              <w:rPr>
                <w:sz w:val="20"/>
                <w:szCs w:val="22"/>
                <w:lang w:val="pl-PL"/>
              </w:rPr>
            </w:pPr>
            <w:r w:rsidRPr="00D11021">
              <w:rPr>
                <w:color w:val="000000" w:themeColor="text1"/>
                <w:sz w:val="22"/>
                <w:szCs w:val="22"/>
                <w:lang w:val="en-CA"/>
              </w:rPr>
              <w:t>1.00</w:t>
            </w:r>
          </w:p>
        </w:tc>
      </w:tr>
    </w:tbl>
    <w:p w14:paraId="6282CCFB" w14:textId="6DDA065D" w:rsidR="007D1FB7" w:rsidRPr="00D11021" w:rsidRDefault="007D1FB7" w:rsidP="007D1FB7">
      <w:pPr>
        <w:spacing w:after="60"/>
        <w:jc w:val="center"/>
        <w:rPr>
          <w:sz w:val="20"/>
          <w:lang w:val="en-US"/>
        </w:rPr>
      </w:pPr>
    </w:p>
    <w:tbl>
      <w:tblPr>
        <w:tblStyle w:val="TableGrid"/>
        <w:bidiVisual/>
        <w:tblW w:w="5547" w:type="pct"/>
        <w:tblInd w:w="-525" w:type="dxa"/>
        <w:tblLook w:val="04A0" w:firstRow="1" w:lastRow="0" w:firstColumn="1" w:lastColumn="0" w:noHBand="0" w:noVBand="1"/>
      </w:tblPr>
      <w:tblGrid>
        <w:gridCol w:w="1613"/>
        <w:gridCol w:w="4147"/>
        <w:gridCol w:w="1102"/>
        <w:gridCol w:w="1102"/>
        <w:gridCol w:w="1102"/>
        <w:gridCol w:w="1307"/>
      </w:tblGrid>
      <w:tr w:rsidR="00D42331" w:rsidRPr="00D11021" w14:paraId="670B7C48" w14:textId="77777777" w:rsidTr="00ED7103">
        <w:trPr>
          <w:trHeight w:val="323"/>
        </w:trPr>
        <w:tc>
          <w:tcPr>
            <w:tcW w:w="2776" w:type="pct"/>
            <w:gridSpan w:val="2"/>
            <w:shd w:val="clear" w:color="auto" w:fill="auto"/>
          </w:tcPr>
          <w:p w14:paraId="29D38BEA" w14:textId="447B44A7" w:rsidR="00B10937" w:rsidRPr="00D11021" w:rsidRDefault="00B10937" w:rsidP="00B10937">
            <w:pPr>
              <w:bidi/>
              <w:spacing w:after="60"/>
              <w:jc w:val="left"/>
              <w:rPr>
                <w:b/>
                <w:sz w:val="22"/>
                <w:szCs w:val="22"/>
                <w:lang w:val="en-CA"/>
              </w:rPr>
            </w:pPr>
            <w:r w:rsidRPr="00D11021">
              <w:rPr>
                <w:rFonts w:hint="cs"/>
                <w:bCs/>
                <w:color w:val="000000" w:themeColor="text1"/>
                <w:sz w:val="20"/>
                <w:rtl/>
              </w:rPr>
              <w:t>(5) خطة الأعمال</w:t>
            </w:r>
          </w:p>
        </w:tc>
        <w:tc>
          <w:tcPr>
            <w:tcW w:w="531" w:type="pct"/>
          </w:tcPr>
          <w:p w14:paraId="33AB4EB9" w14:textId="77777777" w:rsidR="00B10937" w:rsidRPr="00D11021" w:rsidRDefault="00B10937" w:rsidP="00B10937">
            <w:pPr>
              <w:spacing w:after="60"/>
              <w:jc w:val="center"/>
              <w:rPr>
                <w:b/>
                <w:sz w:val="22"/>
                <w:szCs w:val="22"/>
                <w:lang w:val="en-CA"/>
              </w:rPr>
            </w:pPr>
            <w:r w:rsidRPr="00D11021">
              <w:rPr>
                <w:b/>
                <w:sz w:val="22"/>
                <w:szCs w:val="22"/>
                <w:lang w:val="en-CA"/>
              </w:rPr>
              <w:t>2021</w:t>
            </w:r>
          </w:p>
        </w:tc>
        <w:tc>
          <w:tcPr>
            <w:tcW w:w="531" w:type="pct"/>
          </w:tcPr>
          <w:p w14:paraId="4DF7EA52" w14:textId="77777777" w:rsidR="00B10937" w:rsidRPr="00D11021" w:rsidRDefault="00B10937" w:rsidP="00B10937">
            <w:pPr>
              <w:spacing w:after="60"/>
              <w:jc w:val="center"/>
              <w:rPr>
                <w:b/>
                <w:sz w:val="22"/>
                <w:szCs w:val="22"/>
                <w:lang w:val="en-CA"/>
              </w:rPr>
            </w:pPr>
            <w:r w:rsidRPr="00D11021">
              <w:rPr>
                <w:b/>
                <w:sz w:val="22"/>
                <w:szCs w:val="22"/>
                <w:lang w:val="en-CA"/>
              </w:rPr>
              <w:t>2022</w:t>
            </w:r>
          </w:p>
        </w:tc>
        <w:tc>
          <w:tcPr>
            <w:tcW w:w="531" w:type="pct"/>
          </w:tcPr>
          <w:p w14:paraId="3AE520D5" w14:textId="77777777" w:rsidR="00B10937" w:rsidRPr="00D11021" w:rsidRDefault="00B10937" w:rsidP="00B10937">
            <w:pPr>
              <w:spacing w:after="60"/>
              <w:jc w:val="center"/>
              <w:rPr>
                <w:b/>
                <w:sz w:val="22"/>
                <w:szCs w:val="22"/>
                <w:lang w:val="en-CA"/>
              </w:rPr>
            </w:pPr>
            <w:r w:rsidRPr="00D11021">
              <w:rPr>
                <w:b/>
                <w:sz w:val="22"/>
                <w:szCs w:val="22"/>
                <w:lang w:val="en-CA"/>
              </w:rPr>
              <w:t>2023</w:t>
            </w:r>
          </w:p>
        </w:tc>
        <w:tc>
          <w:tcPr>
            <w:tcW w:w="630" w:type="pct"/>
            <w:shd w:val="clear" w:color="auto" w:fill="auto"/>
          </w:tcPr>
          <w:p w14:paraId="03296B71" w14:textId="0F7B0546" w:rsidR="00B10937" w:rsidRPr="00D11021" w:rsidRDefault="00B10937" w:rsidP="00B10937">
            <w:pPr>
              <w:spacing w:after="60"/>
              <w:jc w:val="center"/>
              <w:rPr>
                <w:bCs/>
                <w:sz w:val="22"/>
                <w:szCs w:val="22"/>
                <w:lang w:val="en-CA"/>
              </w:rPr>
            </w:pPr>
            <w:r w:rsidRPr="00D11021">
              <w:rPr>
                <w:rFonts w:hint="cs"/>
                <w:bCs/>
                <w:sz w:val="22"/>
                <w:szCs w:val="22"/>
                <w:rtl/>
                <w:lang w:val="en-CA"/>
              </w:rPr>
              <w:t>المجموع</w:t>
            </w:r>
          </w:p>
        </w:tc>
      </w:tr>
      <w:tr w:rsidR="009B1FC6" w:rsidRPr="00D11021" w14:paraId="09B64A04" w14:textId="77777777" w:rsidTr="00ED7103">
        <w:trPr>
          <w:trHeight w:val="258"/>
        </w:trPr>
        <w:tc>
          <w:tcPr>
            <w:tcW w:w="777" w:type="pct"/>
            <w:vMerge w:val="restart"/>
            <w:shd w:val="clear" w:color="auto" w:fill="auto"/>
            <w:vAlign w:val="center"/>
          </w:tcPr>
          <w:p w14:paraId="3EABB2C5" w14:textId="2A2ECA97" w:rsidR="009B1FC6" w:rsidRPr="00D11021" w:rsidRDefault="009B1FC6" w:rsidP="00ED7103">
            <w:pPr>
              <w:jc w:val="center"/>
              <w:rPr>
                <w:sz w:val="22"/>
                <w:szCs w:val="22"/>
                <w:rtl/>
                <w:lang w:val="en-CA" w:bidi="ar-EG"/>
              </w:rPr>
            </w:pPr>
            <w:r w:rsidRPr="00D11021">
              <w:rPr>
                <w:rFonts w:hint="cs"/>
                <w:sz w:val="22"/>
                <w:szCs w:val="22"/>
                <w:rtl/>
                <w:lang w:bidi="ar-EG"/>
              </w:rPr>
              <w:t>ألمانيا</w:t>
            </w:r>
          </w:p>
        </w:tc>
        <w:tc>
          <w:tcPr>
            <w:tcW w:w="1999" w:type="pct"/>
            <w:shd w:val="clear" w:color="auto" w:fill="auto"/>
          </w:tcPr>
          <w:p w14:paraId="5BF60D86" w14:textId="3C184DE6" w:rsidR="009B1FC6" w:rsidRPr="00D11021" w:rsidRDefault="009B1FC6" w:rsidP="009B1FC6">
            <w:pPr>
              <w:bidi/>
              <w:jc w:val="left"/>
              <w:rPr>
                <w:sz w:val="22"/>
                <w:szCs w:val="22"/>
                <w:lang w:val="en-CA"/>
              </w:rPr>
            </w:pPr>
            <w:r w:rsidRPr="00D11021">
              <w:rPr>
                <w:rFonts w:hint="cs"/>
                <w:color w:val="000000" w:themeColor="text1"/>
                <w:sz w:val="20"/>
                <w:rtl/>
              </w:rPr>
              <w:t>إزالة المواد المستنفدة للأوزون (طن من قدرات استنفاد الأوزون)</w:t>
            </w:r>
          </w:p>
        </w:tc>
        <w:tc>
          <w:tcPr>
            <w:tcW w:w="531" w:type="pct"/>
            <w:shd w:val="clear" w:color="auto" w:fill="auto"/>
          </w:tcPr>
          <w:p w14:paraId="0971C558" w14:textId="5F3022F3" w:rsidR="009B1FC6" w:rsidRPr="00D11021" w:rsidRDefault="009B1FC6" w:rsidP="009B1FC6">
            <w:pPr>
              <w:jc w:val="right"/>
              <w:rPr>
                <w:sz w:val="22"/>
                <w:szCs w:val="22"/>
                <w:lang w:val="en-CA"/>
              </w:rPr>
            </w:pPr>
            <w:r w:rsidRPr="00D11021">
              <w:rPr>
                <w:sz w:val="22"/>
                <w:szCs w:val="22"/>
                <w:lang w:val="en-CA"/>
              </w:rPr>
              <w:t>0</w:t>
            </w:r>
          </w:p>
        </w:tc>
        <w:tc>
          <w:tcPr>
            <w:tcW w:w="531" w:type="pct"/>
          </w:tcPr>
          <w:p w14:paraId="6CAC7784" w14:textId="7201BEE7" w:rsidR="009B1FC6" w:rsidRPr="00D11021" w:rsidRDefault="009B1FC6" w:rsidP="009B1FC6">
            <w:pPr>
              <w:jc w:val="right"/>
              <w:rPr>
                <w:sz w:val="22"/>
                <w:szCs w:val="22"/>
                <w:lang w:val="en-CA"/>
              </w:rPr>
            </w:pPr>
            <w:r w:rsidRPr="00D11021">
              <w:rPr>
                <w:sz w:val="22"/>
                <w:szCs w:val="22"/>
                <w:lang w:val="en-CA"/>
              </w:rPr>
              <w:t>0</w:t>
            </w:r>
          </w:p>
        </w:tc>
        <w:tc>
          <w:tcPr>
            <w:tcW w:w="531" w:type="pct"/>
            <w:shd w:val="clear" w:color="auto" w:fill="auto"/>
          </w:tcPr>
          <w:p w14:paraId="2F71E5C9" w14:textId="179C174C" w:rsidR="009B1FC6" w:rsidRPr="00D11021" w:rsidRDefault="009B1FC6" w:rsidP="009B1FC6">
            <w:pPr>
              <w:jc w:val="right"/>
              <w:rPr>
                <w:sz w:val="22"/>
                <w:szCs w:val="22"/>
                <w:lang w:val="en-CA"/>
              </w:rPr>
            </w:pPr>
            <w:r w:rsidRPr="00D11021">
              <w:rPr>
                <w:sz w:val="22"/>
                <w:szCs w:val="22"/>
                <w:lang w:val="en-CA"/>
              </w:rPr>
              <w:t>0</w:t>
            </w:r>
          </w:p>
        </w:tc>
        <w:tc>
          <w:tcPr>
            <w:tcW w:w="630" w:type="pct"/>
            <w:shd w:val="clear" w:color="auto" w:fill="auto"/>
          </w:tcPr>
          <w:p w14:paraId="3F8919F9" w14:textId="74CF32A7" w:rsidR="009B1FC6" w:rsidRPr="00D11021" w:rsidRDefault="009B1FC6" w:rsidP="009B1FC6">
            <w:pPr>
              <w:jc w:val="right"/>
              <w:rPr>
                <w:sz w:val="22"/>
                <w:szCs w:val="22"/>
                <w:lang w:val="en-CA"/>
              </w:rPr>
            </w:pPr>
            <w:r w:rsidRPr="00D11021">
              <w:rPr>
                <w:sz w:val="22"/>
                <w:szCs w:val="22"/>
                <w:lang w:val="en-CA"/>
              </w:rPr>
              <w:t>0</w:t>
            </w:r>
          </w:p>
        </w:tc>
      </w:tr>
      <w:tr w:rsidR="009B1FC6" w:rsidRPr="00D11021" w14:paraId="7FBA3E92" w14:textId="77777777" w:rsidTr="00ED7103">
        <w:trPr>
          <w:trHeight w:val="258"/>
        </w:trPr>
        <w:tc>
          <w:tcPr>
            <w:tcW w:w="777" w:type="pct"/>
            <w:vMerge/>
            <w:shd w:val="clear" w:color="auto" w:fill="auto"/>
          </w:tcPr>
          <w:p w14:paraId="314225CA" w14:textId="77777777" w:rsidR="009B1FC6" w:rsidRPr="00D11021" w:rsidRDefault="009B1FC6" w:rsidP="009B1FC6">
            <w:pPr>
              <w:jc w:val="center"/>
              <w:rPr>
                <w:sz w:val="22"/>
                <w:szCs w:val="22"/>
                <w:lang w:val="en-CA"/>
              </w:rPr>
            </w:pPr>
          </w:p>
        </w:tc>
        <w:tc>
          <w:tcPr>
            <w:tcW w:w="1999" w:type="pct"/>
            <w:shd w:val="clear" w:color="auto" w:fill="auto"/>
          </w:tcPr>
          <w:p w14:paraId="51B081E9" w14:textId="12CFE6EC" w:rsidR="009B1FC6" w:rsidRPr="00D11021" w:rsidRDefault="009B1FC6" w:rsidP="009B1FC6">
            <w:pPr>
              <w:bidi/>
              <w:jc w:val="left"/>
              <w:rPr>
                <w:sz w:val="22"/>
                <w:szCs w:val="22"/>
                <w:lang w:val="en-CA"/>
              </w:rPr>
            </w:pPr>
            <w:r w:rsidRPr="00D11021">
              <w:rPr>
                <w:rFonts w:hint="cs"/>
                <w:color w:val="000000" w:themeColor="text1"/>
                <w:sz w:val="20"/>
                <w:rtl/>
              </w:rPr>
              <w:t>التمويل (دولار أمريكي)</w:t>
            </w:r>
          </w:p>
        </w:tc>
        <w:tc>
          <w:tcPr>
            <w:tcW w:w="531" w:type="pct"/>
            <w:shd w:val="clear" w:color="auto" w:fill="auto"/>
          </w:tcPr>
          <w:p w14:paraId="7B74A514" w14:textId="1A2A04CC" w:rsidR="009B1FC6" w:rsidRPr="00D11021" w:rsidRDefault="009B1FC6" w:rsidP="009B1FC6">
            <w:pPr>
              <w:jc w:val="right"/>
              <w:rPr>
                <w:sz w:val="22"/>
                <w:szCs w:val="22"/>
                <w:lang w:val="en-CA"/>
              </w:rPr>
            </w:pPr>
            <w:r w:rsidRPr="00D11021">
              <w:rPr>
                <w:sz w:val="22"/>
                <w:szCs w:val="22"/>
                <w:lang w:val="en-CA"/>
              </w:rPr>
              <w:t>193,230</w:t>
            </w:r>
          </w:p>
        </w:tc>
        <w:tc>
          <w:tcPr>
            <w:tcW w:w="531" w:type="pct"/>
          </w:tcPr>
          <w:p w14:paraId="44EDDD83" w14:textId="748B8452" w:rsidR="009B1FC6" w:rsidRPr="00D11021" w:rsidRDefault="009B1FC6" w:rsidP="009B1FC6">
            <w:pPr>
              <w:jc w:val="right"/>
              <w:rPr>
                <w:sz w:val="22"/>
                <w:szCs w:val="22"/>
                <w:lang w:val="en-CA"/>
              </w:rPr>
            </w:pPr>
            <w:r w:rsidRPr="00D11021">
              <w:rPr>
                <w:sz w:val="22"/>
                <w:szCs w:val="22"/>
                <w:lang w:val="en-CA"/>
              </w:rPr>
              <w:t>0</w:t>
            </w:r>
          </w:p>
        </w:tc>
        <w:tc>
          <w:tcPr>
            <w:tcW w:w="531" w:type="pct"/>
            <w:shd w:val="clear" w:color="auto" w:fill="auto"/>
          </w:tcPr>
          <w:p w14:paraId="7457BE22" w14:textId="3267E8BF" w:rsidR="009B1FC6" w:rsidRPr="00D11021" w:rsidRDefault="009B1FC6" w:rsidP="009B1FC6">
            <w:pPr>
              <w:jc w:val="right"/>
              <w:rPr>
                <w:sz w:val="22"/>
                <w:szCs w:val="22"/>
                <w:lang w:val="en-CA"/>
              </w:rPr>
            </w:pPr>
            <w:r w:rsidRPr="00D11021">
              <w:rPr>
                <w:sz w:val="22"/>
                <w:szCs w:val="22"/>
                <w:lang w:val="en-CA"/>
              </w:rPr>
              <w:t>0</w:t>
            </w:r>
          </w:p>
        </w:tc>
        <w:tc>
          <w:tcPr>
            <w:tcW w:w="630" w:type="pct"/>
            <w:shd w:val="clear" w:color="auto" w:fill="auto"/>
          </w:tcPr>
          <w:p w14:paraId="65260C7F" w14:textId="03E83503" w:rsidR="009B1FC6" w:rsidRPr="00D11021" w:rsidRDefault="009B1FC6" w:rsidP="009B1FC6">
            <w:pPr>
              <w:jc w:val="right"/>
              <w:rPr>
                <w:sz w:val="22"/>
                <w:szCs w:val="22"/>
                <w:lang w:val="en-CA"/>
              </w:rPr>
            </w:pPr>
            <w:r w:rsidRPr="00D11021">
              <w:rPr>
                <w:sz w:val="22"/>
                <w:szCs w:val="22"/>
                <w:lang w:val="en-CA"/>
              </w:rPr>
              <w:t>193,230</w:t>
            </w:r>
          </w:p>
        </w:tc>
      </w:tr>
    </w:tbl>
    <w:p w14:paraId="6033154B" w14:textId="563BFB17" w:rsidR="00B10937" w:rsidRPr="00D11021" w:rsidRDefault="00B10937" w:rsidP="00D42331">
      <w:pPr>
        <w:jc w:val="center"/>
        <w:rPr>
          <w:sz w:val="20"/>
          <w:rtl/>
          <w:lang w:val="en-US"/>
        </w:rPr>
      </w:pPr>
    </w:p>
    <w:tbl>
      <w:tblPr>
        <w:tblStyle w:val="TableGrid"/>
        <w:bidiVisual/>
        <w:tblW w:w="5532" w:type="pct"/>
        <w:tblInd w:w="-528" w:type="dxa"/>
        <w:tblLayout w:type="fixed"/>
        <w:tblCellMar>
          <w:left w:w="43" w:type="dxa"/>
          <w:right w:w="43" w:type="dxa"/>
        </w:tblCellMar>
        <w:tblLook w:val="04A0" w:firstRow="1" w:lastRow="0" w:firstColumn="1" w:lastColumn="0" w:noHBand="0" w:noVBand="1"/>
      </w:tblPr>
      <w:tblGrid>
        <w:gridCol w:w="1983"/>
        <w:gridCol w:w="629"/>
        <w:gridCol w:w="1349"/>
        <w:gridCol w:w="797"/>
        <w:gridCol w:w="799"/>
        <w:gridCol w:w="797"/>
        <w:gridCol w:w="799"/>
        <w:gridCol w:w="797"/>
        <w:gridCol w:w="799"/>
        <w:gridCol w:w="797"/>
        <w:gridCol w:w="799"/>
      </w:tblGrid>
      <w:tr w:rsidR="00ED7103" w:rsidRPr="00D11021" w14:paraId="6D396F75" w14:textId="77777777" w:rsidTr="003645C3">
        <w:trPr>
          <w:trHeight w:val="157"/>
        </w:trPr>
        <w:tc>
          <w:tcPr>
            <w:tcW w:w="1914" w:type="pct"/>
            <w:gridSpan w:val="3"/>
            <w:shd w:val="clear" w:color="auto" w:fill="auto"/>
          </w:tcPr>
          <w:p w14:paraId="1DDA1CE6" w14:textId="3CD7F1BF" w:rsidR="00ED7103" w:rsidRPr="00D11021" w:rsidRDefault="00ED7103" w:rsidP="00ED7103">
            <w:pPr>
              <w:bidi/>
              <w:jc w:val="left"/>
              <w:rPr>
                <w:b/>
                <w:sz w:val="20"/>
                <w:lang w:val="en-CA"/>
              </w:rPr>
            </w:pPr>
            <w:r w:rsidRPr="00D11021">
              <w:rPr>
                <w:rFonts w:hint="cs"/>
                <w:bCs/>
                <w:sz w:val="18"/>
                <w:szCs w:val="18"/>
                <w:rtl/>
                <w:lang w:val="en-CA"/>
              </w:rPr>
              <w:t>(6) بيانات المشروع</w:t>
            </w:r>
          </w:p>
        </w:tc>
        <w:tc>
          <w:tcPr>
            <w:tcW w:w="385" w:type="pct"/>
            <w:shd w:val="clear" w:color="auto" w:fill="auto"/>
          </w:tcPr>
          <w:p w14:paraId="5393657E" w14:textId="34A007D3" w:rsidR="00ED7103" w:rsidRPr="00D11021" w:rsidRDefault="00ED7103" w:rsidP="00ED7103">
            <w:pPr>
              <w:jc w:val="center"/>
              <w:rPr>
                <w:b/>
                <w:sz w:val="20"/>
                <w:lang w:val="en-CA"/>
              </w:rPr>
            </w:pPr>
            <w:r w:rsidRPr="00D11021">
              <w:rPr>
                <w:b/>
                <w:sz w:val="22"/>
                <w:szCs w:val="22"/>
                <w:lang w:val="en-CA"/>
              </w:rPr>
              <w:t>2021</w:t>
            </w:r>
          </w:p>
        </w:tc>
        <w:tc>
          <w:tcPr>
            <w:tcW w:w="386" w:type="pct"/>
            <w:shd w:val="clear" w:color="auto" w:fill="auto"/>
          </w:tcPr>
          <w:p w14:paraId="58A9669E" w14:textId="7A58FB52" w:rsidR="00ED7103" w:rsidRPr="00D11021" w:rsidRDefault="00ED7103" w:rsidP="00ED7103">
            <w:pPr>
              <w:jc w:val="center"/>
              <w:rPr>
                <w:b/>
                <w:sz w:val="20"/>
                <w:lang w:val="en-CA"/>
              </w:rPr>
            </w:pPr>
            <w:r w:rsidRPr="00D11021">
              <w:rPr>
                <w:b/>
                <w:sz w:val="22"/>
                <w:szCs w:val="22"/>
                <w:lang w:val="en-CA"/>
              </w:rPr>
              <w:t>2022-2023</w:t>
            </w:r>
          </w:p>
        </w:tc>
        <w:tc>
          <w:tcPr>
            <w:tcW w:w="385" w:type="pct"/>
          </w:tcPr>
          <w:p w14:paraId="75D29F0D" w14:textId="42AE788B" w:rsidR="00ED7103" w:rsidRPr="00D11021" w:rsidRDefault="00ED7103" w:rsidP="00ED7103">
            <w:pPr>
              <w:jc w:val="center"/>
              <w:rPr>
                <w:b/>
                <w:sz w:val="20"/>
                <w:lang w:val="en-CA"/>
              </w:rPr>
            </w:pPr>
            <w:r w:rsidRPr="00D11021">
              <w:rPr>
                <w:b/>
                <w:sz w:val="22"/>
                <w:szCs w:val="22"/>
                <w:lang w:val="en-CA"/>
              </w:rPr>
              <w:t>2024</w:t>
            </w:r>
          </w:p>
        </w:tc>
        <w:tc>
          <w:tcPr>
            <w:tcW w:w="386" w:type="pct"/>
          </w:tcPr>
          <w:p w14:paraId="2C2CA5E4" w14:textId="3A533ACC" w:rsidR="00ED7103" w:rsidRPr="00D11021" w:rsidRDefault="00ED7103" w:rsidP="00ED7103">
            <w:pPr>
              <w:jc w:val="center"/>
              <w:rPr>
                <w:b/>
                <w:sz w:val="20"/>
                <w:lang w:val="en-CA"/>
              </w:rPr>
            </w:pPr>
            <w:r w:rsidRPr="00D11021">
              <w:rPr>
                <w:b/>
                <w:sz w:val="22"/>
                <w:szCs w:val="22"/>
                <w:lang w:val="en-CA"/>
              </w:rPr>
              <w:t>2025-2026</w:t>
            </w:r>
          </w:p>
        </w:tc>
        <w:tc>
          <w:tcPr>
            <w:tcW w:w="385" w:type="pct"/>
            <w:shd w:val="clear" w:color="auto" w:fill="auto"/>
          </w:tcPr>
          <w:p w14:paraId="47E4F285" w14:textId="260376D5" w:rsidR="00ED7103" w:rsidRPr="00D11021" w:rsidRDefault="00ED7103" w:rsidP="00ED7103">
            <w:pPr>
              <w:jc w:val="center"/>
              <w:rPr>
                <w:b/>
                <w:sz w:val="20"/>
                <w:lang w:val="en-CA"/>
              </w:rPr>
            </w:pPr>
            <w:r w:rsidRPr="00D11021">
              <w:rPr>
                <w:b/>
                <w:sz w:val="22"/>
                <w:szCs w:val="22"/>
                <w:lang w:val="en-CA"/>
              </w:rPr>
              <w:t>2027</w:t>
            </w:r>
          </w:p>
        </w:tc>
        <w:tc>
          <w:tcPr>
            <w:tcW w:w="386" w:type="pct"/>
            <w:shd w:val="clear" w:color="auto" w:fill="auto"/>
          </w:tcPr>
          <w:p w14:paraId="3538B83A" w14:textId="6DF2913C" w:rsidR="00ED7103" w:rsidRPr="00D11021" w:rsidRDefault="00ED7103" w:rsidP="00ED7103">
            <w:pPr>
              <w:jc w:val="center"/>
              <w:rPr>
                <w:b/>
                <w:sz w:val="20"/>
                <w:lang w:val="en-CA"/>
              </w:rPr>
            </w:pPr>
            <w:r w:rsidRPr="00D11021">
              <w:rPr>
                <w:b/>
                <w:sz w:val="22"/>
                <w:szCs w:val="22"/>
                <w:lang w:val="en-CA"/>
              </w:rPr>
              <w:t>2028-2029</w:t>
            </w:r>
          </w:p>
        </w:tc>
        <w:tc>
          <w:tcPr>
            <w:tcW w:w="385" w:type="pct"/>
            <w:shd w:val="clear" w:color="auto" w:fill="auto"/>
          </w:tcPr>
          <w:p w14:paraId="5C004FBA" w14:textId="0DBA8C0F" w:rsidR="00ED7103" w:rsidRPr="00D11021" w:rsidRDefault="00ED7103" w:rsidP="00ED7103">
            <w:pPr>
              <w:jc w:val="center"/>
              <w:rPr>
                <w:b/>
                <w:sz w:val="20"/>
                <w:lang w:val="en-CA"/>
              </w:rPr>
            </w:pPr>
            <w:r w:rsidRPr="00D11021">
              <w:rPr>
                <w:b/>
                <w:sz w:val="22"/>
                <w:szCs w:val="22"/>
                <w:lang w:val="en-CA"/>
              </w:rPr>
              <w:t>2030</w:t>
            </w:r>
          </w:p>
        </w:tc>
        <w:tc>
          <w:tcPr>
            <w:tcW w:w="386" w:type="pct"/>
            <w:shd w:val="clear" w:color="auto" w:fill="auto"/>
          </w:tcPr>
          <w:p w14:paraId="152FFE3F" w14:textId="58874CE6" w:rsidR="00ED7103" w:rsidRPr="00D11021" w:rsidRDefault="00ED7103" w:rsidP="00ED7103">
            <w:pPr>
              <w:jc w:val="center"/>
              <w:rPr>
                <w:bCs/>
                <w:sz w:val="20"/>
                <w:lang w:val="en-CA"/>
              </w:rPr>
            </w:pPr>
            <w:r w:rsidRPr="00D11021">
              <w:rPr>
                <w:rFonts w:hint="cs"/>
                <w:bCs/>
                <w:sz w:val="20"/>
                <w:rtl/>
                <w:lang w:val="en-CA"/>
              </w:rPr>
              <w:t>المجموع</w:t>
            </w:r>
          </w:p>
        </w:tc>
      </w:tr>
      <w:tr w:rsidR="00ED7103" w:rsidRPr="00D11021" w14:paraId="4461DC34" w14:textId="77777777" w:rsidTr="003645C3">
        <w:trPr>
          <w:trHeight w:val="48"/>
        </w:trPr>
        <w:tc>
          <w:tcPr>
            <w:tcW w:w="1914" w:type="pct"/>
            <w:gridSpan w:val="3"/>
            <w:shd w:val="clear" w:color="auto" w:fill="auto"/>
          </w:tcPr>
          <w:p w14:paraId="4F75BAAA" w14:textId="220BB6F4" w:rsidR="00ED7103" w:rsidRPr="00D11021" w:rsidRDefault="00ED7103" w:rsidP="00ED7103">
            <w:pPr>
              <w:tabs>
                <w:tab w:val="left" w:pos="8280"/>
              </w:tabs>
              <w:bidi/>
              <w:spacing w:after="60"/>
              <w:jc w:val="left"/>
              <w:rPr>
                <w:sz w:val="20"/>
                <w:lang w:val="en-CA"/>
              </w:rPr>
            </w:pPr>
            <w:r w:rsidRPr="00D11021">
              <w:rPr>
                <w:rFonts w:hint="cs"/>
                <w:color w:val="000000" w:themeColor="text1"/>
                <w:sz w:val="18"/>
                <w:szCs w:val="18"/>
                <w:rtl/>
              </w:rPr>
              <w:t>حدود الاستهلاك في بروتوكول مونتريال</w:t>
            </w:r>
          </w:p>
        </w:tc>
        <w:tc>
          <w:tcPr>
            <w:tcW w:w="385" w:type="pct"/>
            <w:shd w:val="clear" w:color="auto" w:fill="auto"/>
          </w:tcPr>
          <w:p w14:paraId="7286D99B" w14:textId="7766CF18" w:rsidR="00ED7103" w:rsidRPr="00D11021" w:rsidRDefault="00ED7103" w:rsidP="00ED7103">
            <w:pPr>
              <w:tabs>
                <w:tab w:val="left" w:pos="8280"/>
              </w:tabs>
              <w:spacing w:after="60"/>
              <w:jc w:val="right"/>
              <w:rPr>
                <w:sz w:val="20"/>
                <w:lang w:val="en-CA"/>
              </w:rPr>
            </w:pPr>
            <w:r w:rsidRPr="00D11021">
              <w:rPr>
                <w:color w:val="000000"/>
                <w:sz w:val="22"/>
                <w:szCs w:val="22"/>
                <w:lang w:val="en-CA" w:eastAsia="en-CA"/>
              </w:rPr>
              <w:t>2.28</w:t>
            </w:r>
          </w:p>
        </w:tc>
        <w:tc>
          <w:tcPr>
            <w:tcW w:w="386" w:type="pct"/>
            <w:shd w:val="clear" w:color="auto" w:fill="auto"/>
          </w:tcPr>
          <w:p w14:paraId="3A5704F2" w14:textId="7A5F1C00" w:rsidR="00ED7103" w:rsidRPr="00D11021" w:rsidRDefault="00ED7103" w:rsidP="00ED7103">
            <w:pPr>
              <w:tabs>
                <w:tab w:val="left" w:pos="8280"/>
              </w:tabs>
              <w:spacing w:after="60"/>
              <w:jc w:val="right"/>
              <w:rPr>
                <w:sz w:val="20"/>
                <w:lang w:val="en-CA"/>
              </w:rPr>
            </w:pPr>
            <w:r w:rsidRPr="00D11021">
              <w:rPr>
                <w:color w:val="000000"/>
                <w:sz w:val="22"/>
                <w:szCs w:val="22"/>
                <w:lang w:val="en-CA"/>
              </w:rPr>
              <w:t>2.28</w:t>
            </w:r>
          </w:p>
        </w:tc>
        <w:tc>
          <w:tcPr>
            <w:tcW w:w="385" w:type="pct"/>
            <w:shd w:val="clear" w:color="auto" w:fill="auto"/>
          </w:tcPr>
          <w:p w14:paraId="376598A6" w14:textId="0D0CB9E1" w:rsidR="00ED7103" w:rsidRPr="00D11021" w:rsidRDefault="00ED7103" w:rsidP="00ED7103">
            <w:pPr>
              <w:tabs>
                <w:tab w:val="left" w:pos="8280"/>
              </w:tabs>
              <w:spacing w:after="60"/>
              <w:jc w:val="right"/>
              <w:rPr>
                <w:sz w:val="20"/>
                <w:lang w:val="en-CA"/>
              </w:rPr>
            </w:pPr>
            <w:r w:rsidRPr="00D11021">
              <w:rPr>
                <w:color w:val="000000"/>
                <w:sz w:val="22"/>
                <w:szCs w:val="22"/>
                <w:lang w:val="en-CA" w:eastAsia="en-CA"/>
              </w:rPr>
              <w:t>2.28</w:t>
            </w:r>
          </w:p>
        </w:tc>
        <w:tc>
          <w:tcPr>
            <w:tcW w:w="386" w:type="pct"/>
            <w:shd w:val="clear" w:color="auto" w:fill="auto"/>
          </w:tcPr>
          <w:p w14:paraId="4F9DDEE3" w14:textId="0B3ABA93" w:rsidR="00ED7103" w:rsidRPr="00D11021" w:rsidRDefault="00ED7103" w:rsidP="00ED7103">
            <w:pPr>
              <w:tabs>
                <w:tab w:val="left" w:pos="8280"/>
              </w:tabs>
              <w:spacing w:after="60"/>
              <w:jc w:val="right"/>
              <w:rPr>
                <w:sz w:val="20"/>
                <w:lang w:val="en-CA"/>
              </w:rPr>
            </w:pPr>
            <w:r w:rsidRPr="00D11021">
              <w:rPr>
                <w:color w:val="000000"/>
                <w:sz w:val="22"/>
                <w:szCs w:val="22"/>
                <w:lang w:val="en-CA" w:eastAsia="en-CA"/>
              </w:rPr>
              <w:t>1.14</w:t>
            </w:r>
          </w:p>
        </w:tc>
        <w:tc>
          <w:tcPr>
            <w:tcW w:w="385" w:type="pct"/>
            <w:shd w:val="clear" w:color="auto" w:fill="auto"/>
          </w:tcPr>
          <w:p w14:paraId="767C8859" w14:textId="139665BA" w:rsidR="00ED7103" w:rsidRPr="00D11021" w:rsidRDefault="00ED7103" w:rsidP="00ED7103">
            <w:pPr>
              <w:tabs>
                <w:tab w:val="left" w:pos="8280"/>
              </w:tabs>
              <w:spacing w:after="60"/>
              <w:jc w:val="right"/>
              <w:rPr>
                <w:sz w:val="20"/>
                <w:lang w:val="en-CA"/>
              </w:rPr>
            </w:pPr>
            <w:r w:rsidRPr="00D11021">
              <w:rPr>
                <w:color w:val="000000"/>
                <w:sz w:val="22"/>
                <w:szCs w:val="22"/>
                <w:lang w:val="en-CA" w:eastAsia="en-CA"/>
              </w:rPr>
              <w:t>1.14</w:t>
            </w:r>
          </w:p>
        </w:tc>
        <w:tc>
          <w:tcPr>
            <w:tcW w:w="386" w:type="pct"/>
            <w:shd w:val="clear" w:color="auto" w:fill="auto"/>
          </w:tcPr>
          <w:p w14:paraId="2287AF07" w14:textId="471E45AC" w:rsidR="00ED7103" w:rsidRPr="00D11021" w:rsidRDefault="00ED7103" w:rsidP="00ED7103">
            <w:pPr>
              <w:tabs>
                <w:tab w:val="left" w:pos="8280"/>
              </w:tabs>
              <w:spacing w:after="60"/>
              <w:jc w:val="right"/>
              <w:rPr>
                <w:sz w:val="20"/>
                <w:lang w:val="en-CA"/>
              </w:rPr>
            </w:pPr>
            <w:r w:rsidRPr="00D11021">
              <w:rPr>
                <w:color w:val="000000"/>
                <w:sz w:val="22"/>
                <w:szCs w:val="22"/>
                <w:lang w:val="en-CA"/>
              </w:rPr>
              <w:t>1.14</w:t>
            </w:r>
          </w:p>
        </w:tc>
        <w:tc>
          <w:tcPr>
            <w:tcW w:w="385" w:type="pct"/>
            <w:shd w:val="clear" w:color="auto" w:fill="auto"/>
          </w:tcPr>
          <w:p w14:paraId="4A525A36" w14:textId="5F686562" w:rsidR="00ED7103" w:rsidRPr="00D11021" w:rsidRDefault="00ED7103" w:rsidP="00ED7103">
            <w:pPr>
              <w:tabs>
                <w:tab w:val="left" w:pos="8280"/>
              </w:tabs>
              <w:spacing w:after="60"/>
              <w:jc w:val="right"/>
              <w:rPr>
                <w:sz w:val="20"/>
                <w:lang w:val="en-CA"/>
              </w:rPr>
            </w:pPr>
            <w:r w:rsidRPr="00D11021">
              <w:rPr>
                <w:color w:val="000000"/>
                <w:sz w:val="22"/>
                <w:szCs w:val="22"/>
                <w:lang w:val="en-CA" w:eastAsia="en-CA"/>
              </w:rPr>
              <w:t>0.00</w:t>
            </w:r>
          </w:p>
        </w:tc>
        <w:tc>
          <w:tcPr>
            <w:tcW w:w="386" w:type="pct"/>
            <w:shd w:val="clear" w:color="auto" w:fill="auto"/>
          </w:tcPr>
          <w:p w14:paraId="0061D62B" w14:textId="10655B9B" w:rsidR="00ED7103" w:rsidRPr="00D11021" w:rsidRDefault="00ED7103" w:rsidP="00ED7103">
            <w:pPr>
              <w:tabs>
                <w:tab w:val="left" w:pos="8280"/>
              </w:tabs>
              <w:spacing w:after="60"/>
              <w:jc w:val="right"/>
              <w:rPr>
                <w:sz w:val="20"/>
                <w:lang w:val="en-CA"/>
              </w:rPr>
            </w:pPr>
            <w:r w:rsidRPr="00D11021">
              <w:rPr>
                <w:rFonts w:hint="cs"/>
                <w:color w:val="000000"/>
                <w:sz w:val="22"/>
                <w:szCs w:val="22"/>
                <w:rtl/>
                <w:lang w:val="en-CA" w:eastAsia="en-CA"/>
              </w:rPr>
              <w:t>لا ينطبق</w:t>
            </w:r>
          </w:p>
        </w:tc>
      </w:tr>
      <w:tr w:rsidR="00ED7103" w:rsidRPr="00D11021" w14:paraId="33096090" w14:textId="77777777" w:rsidTr="003645C3">
        <w:trPr>
          <w:trHeight w:val="48"/>
        </w:trPr>
        <w:tc>
          <w:tcPr>
            <w:tcW w:w="1914" w:type="pct"/>
            <w:gridSpan w:val="3"/>
            <w:shd w:val="clear" w:color="auto" w:fill="auto"/>
          </w:tcPr>
          <w:p w14:paraId="794993A6" w14:textId="237F0A42" w:rsidR="00ED7103" w:rsidRPr="00D11021" w:rsidRDefault="00ED7103" w:rsidP="00ED7103">
            <w:pPr>
              <w:tabs>
                <w:tab w:val="left" w:pos="8280"/>
              </w:tabs>
              <w:bidi/>
              <w:spacing w:after="60"/>
              <w:jc w:val="left"/>
              <w:rPr>
                <w:sz w:val="20"/>
                <w:lang w:val="en-CA"/>
              </w:rPr>
            </w:pPr>
            <w:r w:rsidRPr="00D11021">
              <w:rPr>
                <w:rFonts w:hint="cs"/>
                <w:color w:val="000000" w:themeColor="text1"/>
                <w:sz w:val="18"/>
                <w:szCs w:val="18"/>
                <w:rtl/>
              </w:rPr>
              <w:t>الحد الأقصى للاستهلاك المسموح به (طن من قدرات استنفاد الأوزون)</w:t>
            </w:r>
          </w:p>
        </w:tc>
        <w:tc>
          <w:tcPr>
            <w:tcW w:w="385" w:type="pct"/>
            <w:shd w:val="clear" w:color="auto" w:fill="auto"/>
          </w:tcPr>
          <w:p w14:paraId="16B250F3" w14:textId="74BF7737" w:rsidR="00ED7103" w:rsidRPr="00D11021" w:rsidRDefault="00ED7103" w:rsidP="00ED7103">
            <w:pPr>
              <w:tabs>
                <w:tab w:val="left" w:pos="8280"/>
              </w:tabs>
              <w:spacing w:after="60"/>
              <w:jc w:val="right"/>
              <w:rPr>
                <w:sz w:val="20"/>
                <w:lang w:val="en-CA"/>
              </w:rPr>
            </w:pPr>
            <w:r w:rsidRPr="00D11021">
              <w:rPr>
                <w:color w:val="000000"/>
                <w:sz w:val="22"/>
                <w:szCs w:val="22"/>
                <w:lang w:val="en-CA" w:eastAsia="en-CA"/>
              </w:rPr>
              <w:t>1.00</w:t>
            </w:r>
          </w:p>
        </w:tc>
        <w:tc>
          <w:tcPr>
            <w:tcW w:w="386" w:type="pct"/>
            <w:shd w:val="clear" w:color="auto" w:fill="auto"/>
          </w:tcPr>
          <w:p w14:paraId="51D847AD" w14:textId="6534E895" w:rsidR="00ED7103" w:rsidRPr="00D11021" w:rsidRDefault="00ED7103" w:rsidP="00ED7103">
            <w:pPr>
              <w:tabs>
                <w:tab w:val="left" w:pos="8280"/>
              </w:tabs>
              <w:spacing w:after="60"/>
              <w:jc w:val="right"/>
              <w:rPr>
                <w:sz w:val="20"/>
                <w:lang w:val="en-CA"/>
              </w:rPr>
            </w:pPr>
            <w:r w:rsidRPr="00D11021">
              <w:rPr>
                <w:color w:val="000000"/>
                <w:sz w:val="22"/>
                <w:szCs w:val="22"/>
                <w:lang w:val="en-CA"/>
              </w:rPr>
              <w:t>1.00</w:t>
            </w:r>
          </w:p>
        </w:tc>
        <w:tc>
          <w:tcPr>
            <w:tcW w:w="385" w:type="pct"/>
            <w:shd w:val="clear" w:color="auto" w:fill="auto"/>
          </w:tcPr>
          <w:p w14:paraId="7142AA09" w14:textId="4DEC7798" w:rsidR="00ED7103" w:rsidRPr="00D11021" w:rsidRDefault="00ED7103" w:rsidP="00ED7103">
            <w:pPr>
              <w:tabs>
                <w:tab w:val="left" w:pos="8280"/>
              </w:tabs>
              <w:spacing w:after="60"/>
              <w:jc w:val="right"/>
              <w:rPr>
                <w:sz w:val="20"/>
                <w:lang w:val="en-CA"/>
              </w:rPr>
            </w:pPr>
            <w:r w:rsidRPr="00D11021">
              <w:rPr>
                <w:color w:val="000000"/>
                <w:sz w:val="22"/>
                <w:szCs w:val="22"/>
                <w:lang w:val="en-CA" w:eastAsia="en-CA"/>
              </w:rPr>
              <w:t>1.00</w:t>
            </w:r>
          </w:p>
        </w:tc>
        <w:tc>
          <w:tcPr>
            <w:tcW w:w="386" w:type="pct"/>
            <w:shd w:val="clear" w:color="auto" w:fill="auto"/>
          </w:tcPr>
          <w:p w14:paraId="25821495" w14:textId="4AA4D18E" w:rsidR="00ED7103" w:rsidRPr="00D11021" w:rsidRDefault="00ED7103" w:rsidP="00ED7103">
            <w:pPr>
              <w:tabs>
                <w:tab w:val="left" w:pos="8280"/>
              </w:tabs>
              <w:spacing w:after="60"/>
              <w:jc w:val="right"/>
              <w:rPr>
                <w:sz w:val="20"/>
                <w:lang w:val="en-CA"/>
              </w:rPr>
            </w:pPr>
            <w:r w:rsidRPr="00D11021">
              <w:rPr>
                <w:color w:val="000000"/>
                <w:sz w:val="22"/>
                <w:szCs w:val="22"/>
                <w:lang w:val="en-CA" w:eastAsia="en-CA"/>
              </w:rPr>
              <w:t>0.50</w:t>
            </w:r>
          </w:p>
        </w:tc>
        <w:tc>
          <w:tcPr>
            <w:tcW w:w="385" w:type="pct"/>
            <w:shd w:val="clear" w:color="auto" w:fill="auto"/>
          </w:tcPr>
          <w:p w14:paraId="0A5C4E9B" w14:textId="3FE4BFDB" w:rsidR="00ED7103" w:rsidRPr="00D11021" w:rsidRDefault="00ED7103" w:rsidP="00ED7103">
            <w:pPr>
              <w:tabs>
                <w:tab w:val="left" w:pos="8280"/>
              </w:tabs>
              <w:spacing w:after="60"/>
              <w:jc w:val="right"/>
              <w:rPr>
                <w:sz w:val="20"/>
                <w:lang w:val="en-CA"/>
              </w:rPr>
            </w:pPr>
            <w:r w:rsidRPr="00D11021">
              <w:rPr>
                <w:color w:val="000000"/>
                <w:sz w:val="22"/>
                <w:szCs w:val="22"/>
                <w:lang w:val="en-CA" w:eastAsia="en-CA"/>
              </w:rPr>
              <w:t>0.50</w:t>
            </w:r>
          </w:p>
        </w:tc>
        <w:tc>
          <w:tcPr>
            <w:tcW w:w="386" w:type="pct"/>
            <w:shd w:val="clear" w:color="auto" w:fill="auto"/>
          </w:tcPr>
          <w:p w14:paraId="124045CF" w14:textId="4F7B67AC" w:rsidR="00ED7103" w:rsidRPr="00D11021" w:rsidRDefault="00ED7103" w:rsidP="00ED7103">
            <w:pPr>
              <w:tabs>
                <w:tab w:val="left" w:pos="8280"/>
              </w:tabs>
              <w:spacing w:after="60"/>
              <w:jc w:val="right"/>
              <w:rPr>
                <w:sz w:val="20"/>
                <w:lang w:val="en-CA"/>
              </w:rPr>
            </w:pPr>
            <w:r w:rsidRPr="00D11021">
              <w:rPr>
                <w:color w:val="000000"/>
                <w:sz w:val="22"/>
                <w:szCs w:val="22"/>
                <w:lang w:val="en-CA"/>
              </w:rPr>
              <w:t>0.50</w:t>
            </w:r>
          </w:p>
        </w:tc>
        <w:tc>
          <w:tcPr>
            <w:tcW w:w="385" w:type="pct"/>
            <w:shd w:val="clear" w:color="auto" w:fill="auto"/>
          </w:tcPr>
          <w:p w14:paraId="46C2E433" w14:textId="128221CA" w:rsidR="00ED7103" w:rsidRPr="00D11021" w:rsidRDefault="00ED7103" w:rsidP="00ED7103">
            <w:pPr>
              <w:tabs>
                <w:tab w:val="left" w:pos="8280"/>
              </w:tabs>
              <w:spacing w:after="60"/>
              <w:jc w:val="right"/>
              <w:rPr>
                <w:sz w:val="20"/>
                <w:lang w:val="en-CA"/>
              </w:rPr>
            </w:pPr>
            <w:r w:rsidRPr="00D11021">
              <w:rPr>
                <w:color w:val="000000"/>
                <w:sz w:val="22"/>
                <w:szCs w:val="22"/>
                <w:lang w:val="en-CA" w:eastAsia="en-CA"/>
              </w:rPr>
              <w:t>0.00</w:t>
            </w:r>
          </w:p>
        </w:tc>
        <w:tc>
          <w:tcPr>
            <w:tcW w:w="386" w:type="pct"/>
            <w:shd w:val="clear" w:color="auto" w:fill="auto"/>
          </w:tcPr>
          <w:p w14:paraId="4AA83BC2" w14:textId="31BA456B" w:rsidR="00ED7103" w:rsidRPr="00D11021" w:rsidRDefault="00ED7103" w:rsidP="00ED7103">
            <w:pPr>
              <w:tabs>
                <w:tab w:val="left" w:pos="8280"/>
              </w:tabs>
              <w:spacing w:after="60"/>
              <w:jc w:val="right"/>
              <w:rPr>
                <w:sz w:val="20"/>
                <w:lang w:val="en-US"/>
              </w:rPr>
            </w:pPr>
            <w:r w:rsidRPr="00D11021">
              <w:rPr>
                <w:rFonts w:hint="cs"/>
                <w:color w:val="000000"/>
                <w:sz w:val="22"/>
                <w:szCs w:val="22"/>
                <w:rtl/>
                <w:lang w:val="en-CA" w:eastAsia="en-CA"/>
              </w:rPr>
              <w:t>لا ينطبق</w:t>
            </w:r>
          </w:p>
        </w:tc>
      </w:tr>
      <w:tr w:rsidR="003645C3" w:rsidRPr="00D11021" w14:paraId="3236238C" w14:textId="77777777" w:rsidTr="003645C3">
        <w:trPr>
          <w:trHeight w:val="154"/>
        </w:trPr>
        <w:tc>
          <w:tcPr>
            <w:tcW w:w="958" w:type="pct"/>
            <w:vMerge w:val="restart"/>
            <w:shd w:val="clear" w:color="auto" w:fill="auto"/>
          </w:tcPr>
          <w:p w14:paraId="09CA3B0C" w14:textId="0A946CC2" w:rsidR="003645C3" w:rsidRPr="00D11021" w:rsidRDefault="003645C3" w:rsidP="003645C3">
            <w:pPr>
              <w:tabs>
                <w:tab w:val="left" w:pos="8280"/>
              </w:tabs>
              <w:bidi/>
              <w:spacing w:after="60"/>
              <w:jc w:val="left"/>
              <w:rPr>
                <w:sz w:val="20"/>
                <w:lang w:val="en-CA"/>
              </w:rPr>
            </w:pPr>
            <w:r w:rsidRPr="00D11021">
              <w:rPr>
                <w:rFonts w:hint="cs"/>
                <w:sz w:val="18"/>
                <w:szCs w:val="18"/>
                <w:rtl/>
                <w:lang w:val="en-US"/>
              </w:rPr>
              <w:t>تكاليف المشروعات المطلوبة من حيث المبدأ (بالدولار الأمريكي)</w:t>
            </w:r>
          </w:p>
        </w:tc>
        <w:tc>
          <w:tcPr>
            <w:tcW w:w="304" w:type="pct"/>
            <w:vMerge w:val="restart"/>
            <w:shd w:val="clear" w:color="auto" w:fill="auto"/>
          </w:tcPr>
          <w:p w14:paraId="2E4800D2" w14:textId="3D452D5A" w:rsidR="003645C3" w:rsidRPr="00D11021" w:rsidRDefault="003645C3" w:rsidP="003645C3">
            <w:pPr>
              <w:tabs>
                <w:tab w:val="left" w:pos="8280"/>
              </w:tabs>
              <w:bidi/>
              <w:spacing w:after="60"/>
              <w:jc w:val="center"/>
              <w:rPr>
                <w:sz w:val="18"/>
                <w:szCs w:val="18"/>
                <w:lang w:val="en-CA"/>
              </w:rPr>
            </w:pPr>
            <w:r w:rsidRPr="00D11021">
              <w:rPr>
                <w:rFonts w:hint="cs"/>
                <w:sz w:val="18"/>
                <w:szCs w:val="18"/>
                <w:rtl/>
                <w:lang w:val="en-CA"/>
              </w:rPr>
              <w:t>ألمانيا</w:t>
            </w:r>
          </w:p>
        </w:tc>
        <w:tc>
          <w:tcPr>
            <w:tcW w:w="652" w:type="pct"/>
            <w:shd w:val="clear" w:color="auto" w:fill="auto"/>
          </w:tcPr>
          <w:p w14:paraId="1B543A61" w14:textId="3F560E9E" w:rsidR="003645C3" w:rsidRPr="00D11021" w:rsidRDefault="003645C3" w:rsidP="003645C3">
            <w:pPr>
              <w:tabs>
                <w:tab w:val="left" w:pos="8280"/>
              </w:tabs>
              <w:bidi/>
              <w:spacing w:after="60"/>
              <w:jc w:val="left"/>
              <w:rPr>
                <w:sz w:val="18"/>
                <w:szCs w:val="18"/>
                <w:lang w:val="en-CA"/>
              </w:rPr>
            </w:pPr>
            <w:r w:rsidRPr="00D11021">
              <w:rPr>
                <w:rFonts w:hint="cs"/>
                <w:sz w:val="18"/>
                <w:szCs w:val="18"/>
                <w:rtl/>
                <w:lang w:val="en-CA"/>
              </w:rPr>
              <w:t>تكاليف المشروع</w:t>
            </w:r>
          </w:p>
        </w:tc>
        <w:tc>
          <w:tcPr>
            <w:tcW w:w="385" w:type="pct"/>
            <w:shd w:val="clear" w:color="auto" w:fill="auto"/>
          </w:tcPr>
          <w:p w14:paraId="095056A9" w14:textId="2ADD963A" w:rsidR="003645C3" w:rsidRPr="00D11021" w:rsidRDefault="003645C3" w:rsidP="003645C3">
            <w:pPr>
              <w:tabs>
                <w:tab w:val="left" w:pos="8280"/>
              </w:tabs>
              <w:spacing w:after="60"/>
              <w:jc w:val="right"/>
              <w:rPr>
                <w:sz w:val="20"/>
                <w:lang w:val="en-CA"/>
              </w:rPr>
            </w:pPr>
            <w:r w:rsidRPr="00D11021">
              <w:rPr>
                <w:color w:val="000000"/>
                <w:sz w:val="22"/>
                <w:szCs w:val="22"/>
                <w:lang w:val="en-CA" w:eastAsia="en-CA"/>
              </w:rPr>
              <w:t>168,900</w:t>
            </w:r>
          </w:p>
        </w:tc>
        <w:tc>
          <w:tcPr>
            <w:tcW w:w="386" w:type="pct"/>
            <w:shd w:val="clear" w:color="auto" w:fill="auto"/>
          </w:tcPr>
          <w:p w14:paraId="6A194671" w14:textId="11D8F3A2" w:rsidR="003645C3" w:rsidRPr="00D11021" w:rsidRDefault="003645C3" w:rsidP="003645C3">
            <w:pPr>
              <w:tabs>
                <w:tab w:val="left" w:pos="8280"/>
              </w:tabs>
              <w:spacing w:after="60"/>
              <w:jc w:val="right"/>
              <w:rPr>
                <w:sz w:val="20"/>
                <w:lang w:val="en-CA"/>
              </w:rPr>
            </w:pPr>
            <w:r w:rsidRPr="00D11021">
              <w:rPr>
                <w:color w:val="000000"/>
                <w:sz w:val="22"/>
                <w:szCs w:val="22"/>
                <w:lang w:val="en-CA"/>
              </w:rPr>
              <w:t>0</w:t>
            </w:r>
          </w:p>
        </w:tc>
        <w:tc>
          <w:tcPr>
            <w:tcW w:w="385" w:type="pct"/>
            <w:shd w:val="clear" w:color="auto" w:fill="auto"/>
          </w:tcPr>
          <w:p w14:paraId="66B04DF7" w14:textId="4B07490B" w:rsidR="003645C3" w:rsidRPr="00D11021" w:rsidRDefault="003645C3" w:rsidP="003645C3">
            <w:pPr>
              <w:tabs>
                <w:tab w:val="left" w:pos="8280"/>
              </w:tabs>
              <w:spacing w:after="60"/>
              <w:jc w:val="right"/>
              <w:rPr>
                <w:sz w:val="20"/>
                <w:lang w:val="en-CA"/>
              </w:rPr>
            </w:pPr>
            <w:r w:rsidRPr="00D11021">
              <w:rPr>
                <w:color w:val="000000"/>
                <w:sz w:val="22"/>
                <w:szCs w:val="22"/>
                <w:lang w:val="en-CA" w:eastAsia="en-CA"/>
              </w:rPr>
              <w:t>162,400</w:t>
            </w:r>
          </w:p>
        </w:tc>
        <w:tc>
          <w:tcPr>
            <w:tcW w:w="386" w:type="pct"/>
            <w:shd w:val="clear" w:color="auto" w:fill="auto"/>
          </w:tcPr>
          <w:p w14:paraId="14ABF2AC" w14:textId="718A17DD" w:rsidR="003645C3" w:rsidRPr="00D11021" w:rsidRDefault="003645C3" w:rsidP="003645C3">
            <w:pPr>
              <w:tabs>
                <w:tab w:val="left" w:pos="8280"/>
              </w:tabs>
              <w:spacing w:after="60"/>
              <w:jc w:val="right"/>
              <w:rPr>
                <w:sz w:val="20"/>
                <w:lang w:val="en-CA"/>
              </w:rPr>
            </w:pPr>
            <w:r w:rsidRPr="00D11021">
              <w:rPr>
                <w:color w:val="000000"/>
                <w:sz w:val="22"/>
                <w:szCs w:val="22"/>
                <w:lang w:val="en-CA" w:eastAsia="en-CA"/>
              </w:rPr>
              <w:t>0</w:t>
            </w:r>
          </w:p>
        </w:tc>
        <w:tc>
          <w:tcPr>
            <w:tcW w:w="385" w:type="pct"/>
            <w:shd w:val="clear" w:color="auto" w:fill="auto"/>
          </w:tcPr>
          <w:p w14:paraId="23896037" w14:textId="59C27690" w:rsidR="003645C3" w:rsidRPr="00D11021" w:rsidRDefault="003645C3" w:rsidP="003645C3">
            <w:pPr>
              <w:tabs>
                <w:tab w:val="left" w:pos="8280"/>
              </w:tabs>
              <w:spacing w:after="60"/>
              <w:jc w:val="right"/>
              <w:rPr>
                <w:sz w:val="20"/>
                <w:lang w:val="en-CA"/>
              </w:rPr>
            </w:pPr>
            <w:r w:rsidRPr="00D11021">
              <w:rPr>
                <w:color w:val="000000"/>
                <w:sz w:val="22"/>
                <w:szCs w:val="22"/>
                <w:lang w:val="en-CA" w:eastAsia="en-CA"/>
              </w:rPr>
              <w:t xml:space="preserve"> 91,200</w:t>
            </w:r>
          </w:p>
        </w:tc>
        <w:tc>
          <w:tcPr>
            <w:tcW w:w="386" w:type="pct"/>
            <w:shd w:val="clear" w:color="auto" w:fill="auto"/>
          </w:tcPr>
          <w:p w14:paraId="683CEC81" w14:textId="144B6721" w:rsidR="003645C3" w:rsidRPr="00D11021" w:rsidRDefault="003645C3" w:rsidP="003645C3">
            <w:pPr>
              <w:tabs>
                <w:tab w:val="left" w:pos="8280"/>
              </w:tabs>
              <w:spacing w:after="60"/>
              <w:jc w:val="right"/>
              <w:rPr>
                <w:sz w:val="20"/>
                <w:lang w:val="en-CA"/>
              </w:rPr>
            </w:pPr>
            <w:r w:rsidRPr="00D11021">
              <w:rPr>
                <w:color w:val="000000"/>
                <w:sz w:val="22"/>
                <w:szCs w:val="22"/>
                <w:lang w:val="en-CA"/>
              </w:rPr>
              <w:t>0</w:t>
            </w:r>
          </w:p>
        </w:tc>
        <w:tc>
          <w:tcPr>
            <w:tcW w:w="385" w:type="pct"/>
            <w:shd w:val="clear" w:color="auto" w:fill="auto"/>
          </w:tcPr>
          <w:p w14:paraId="0449F87E" w14:textId="2BC01749" w:rsidR="003645C3" w:rsidRPr="00D11021" w:rsidRDefault="003645C3" w:rsidP="003645C3">
            <w:pPr>
              <w:tabs>
                <w:tab w:val="left" w:pos="8280"/>
              </w:tabs>
              <w:spacing w:after="60"/>
              <w:jc w:val="right"/>
              <w:rPr>
                <w:sz w:val="20"/>
                <w:lang w:val="en-CA"/>
              </w:rPr>
            </w:pPr>
            <w:r w:rsidRPr="00D11021">
              <w:rPr>
                <w:color w:val="000000"/>
                <w:sz w:val="22"/>
                <w:szCs w:val="22"/>
                <w:lang w:val="en-CA" w:eastAsia="en-CA"/>
              </w:rPr>
              <w:t>47,500</w:t>
            </w:r>
          </w:p>
        </w:tc>
        <w:tc>
          <w:tcPr>
            <w:tcW w:w="386" w:type="pct"/>
            <w:shd w:val="clear" w:color="auto" w:fill="auto"/>
          </w:tcPr>
          <w:p w14:paraId="6C31166C" w14:textId="034A0B23" w:rsidR="003645C3" w:rsidRPr="00D11021" w:rsidRDefault="003645C3" w:rsidP="003645C3">
            <w:pPr>
              <w:tabs>
                <w:tab w:val="left" w:pos="8280"/>
              </w:tabs>
              <w:spacing w:after="60"/>
              <w:jc w:val="right"/>
              <w:rPr>
                <w:sz w:val="20"/>
                <w:lang w:val="en-CA"/>
              </w:rPr>
            </w:pPr>
            <w:r w:rsidRPr="00D11021">
              <w:rPr>
                <w:color w:val="000000"/>
                <w:sz w:val="22"/>
                <w:szCs w:val="22"/>
                <w:lang w:val="en-CA"/>
              </w:rPr>
              <w:t>470,000</w:t>
            </w:r>
          </w:p>
        </w:tc>
      </w:tr>
      <w:tr w:rsidR="003645C3" w:rsidRPr="00D11021" w14:paraId="528E2F17" w14:textId="77777777" w:rsidTr="003645C3">
        <w:trPr>
          <w:trHeight w:val="200"/>
        </w:trPr>
        <w:tc>
          <w:tcPr>
            <w:tcW w:w="958" w:type="pct"/>
            <w:vMerge/>
            <w:shd w:val="clear" w:color="auto" w:fill="auto"/>
          </w:tcPr>
          <w:p w14:paraId="61FE8481" w14:textId="5DA32252" w:rsidR="003645C3" w:rsidRPr="00D11021" w:rsidRDefault="003645C3" w:rsidP="003645C3">
            <w:pPr>
              <w:tabs>
                <w:tab w:val="left" w:pos="8280"/>
              </w:tabs>
              <w:bidi/>
              <w:spacing w:after="60"/>
              <w:jc w:val="left"/>
              <w:rPr>
                <w:sz w:val="20"/>
                <w:lang w:val="en-CA"/>
              </w:rPr>
            </w:pPr>
          </w:p>
        </w:tc>
        <w:tc>
          <w:tcPr>
            <w:tcW w:w="304" w:type="pct"/>
            <w:vMerge/>
            <w:shd w:val="clear" w:color="auto" w:fill="auto"/>
          </w:tcPr>
          <w:p w14:paraId="7C2E301C" w14:textId="77777777" w:rsidR="003645C3" w:rsidRPr="00D11021" w:rsidRDefault="003645C3" w:rsidP="003645C3">
            <w:pPr>
              <w:tabs>
                <w:tab w:val="left" w:pos="8280"/>
              </w:tabs>
              <w:bidi/>
              <w:spacing w:after="60"/>
              <w:jc w:val="center"/>
              <w:rPr>
                <w:sz w:val="18"/>
                <w:szCs w:val="18"/>
                <w:lang w:val="en-CA"/>
              </w:rPr>
            </w:pPr>
          </w:p>
        </w:tc>
        <w:tc>
          <w:tcPr>
            <w:tcW w:w="652" w:type="pct"/>
            <w:shd w:val="clear" w:color="auto" w:fill="auto"/>
          </w:tcPr>
          <w:p w14:paraId="12F8ADEB" w14:textId="2A5FE3C8" w:rsidR="003645C3" w:rsidRPr="00D11021" w:rsidRDefault="003645C3" w:rsidP="003645C3">
            <w:pPr>
              <w:tabs>
                <w:tab w:val="left" w:pos="8280"/>
              </w:tabs>
              <w:bidi/>
              <w:spacing w:after="60"/>
              <w:jc w:val="left"/>
              <w:rPr>
                <w:sz w:val="18"/>
                <w:szCs w:val="18"/>
                <w:lang w:val="en-CA"/>
              </w:rPr>
            </w:pPr>
            <w:r w:rsidRPr="00D11021">
              <w:rPr>
                <w:rFonts w:hint="cs"/>
                <w:sz w:val="18"/>
                <w:szCs w:val="18"/>
                <w:rtl/>
                <w:lang w:val="en-CA"/>
              </w:rPr>
              <w:t>تكاليف الدعم</w:t>
            </w:r>
          </w:p>
        </w:tc>
        <w:tc>
          <w:tcPr>
            <w:tcW w:w="385" w:type="pct"/>
            <w:shd w:val="clear" w:color="auto" w:fill="auto"/>
          </w:tcPr>
          <w:p w14:paraId="6934BAB4" w14:textId="4A99F95C" w:rsidR="003645C3" w:rsidRPr="00D11021" w:rsidRDefault="003645C3" w:rsidP="003645C3">
            <w:pPr>
              <w:tabs>
                <w:tab w:val="left" w:pos="8280"/>
              </w:tabs>
              <w:spacing w:after="60"/>
              <w:jc w:val="right"/>
              <w:rPr>
                <w:sz w:val="20"/>
                <w:lang w:val="en-CA"/>
              </w:rPr>
            </w:pPr>
            <w:r w:rsidRPr="00D11021">
              <w:rPr>
                <w:sz w:val="22"/>
                <w:szCs w:val="22"/>
                <w:lang w:val="en-CA"/>
              </w:rPr>
              <w:t>21,957</w:t>
            </w:r>
          </w:p>
        </w:tc>
        <w:tc>
          <w:tcPr>
            <w:tcW w:w="386" w:type="pct"/>
            <w:shd w:val="clear" w:color="auto" w:fill="auto"/>
          </w:tcPr>
          <w:p w14:paraId="26EB7D49" w14:textId="10000862" w:rsidR="003645C3" w:rsidRPr="00D11021" w:rsidRDefault="003645C3" w:rsidP="003645C3">
            <w:pPr>
              <w:tabs>
                <w:tab w:val="left" w:pos="8280"/>
              </w:tabs>
              <w:spacing w:after="60"/>
              <w:jc w:val="right"/>
              <w:rPr>
                <w:sz w:val="20"/>
                <w:lang w:val="en-CA"/>
              </w:rPr>
            </w:pPr>
            <w:r w:rsidRPr="00D11021">
              <w:rPr>
                <w:sz w:val="22"/>
                <w:szCs w:val="22"/>
                <w:lang w:val="en-CA"/>
              </w:rPr>
              <w:t>0</w:t>
            </w:r>
          </w:p>
        </w:tc>
        <w:tc>
          <w:tcPr>
            <w:tcW w:w="385" w:type="pct"/>
            <w:shd w:val="clear" w:color="auto" w:fill="auto"/>
          </w:tcPr>
          <w:p w14:paraId="33321098" w14:textId="6C4E466E" w:rsidR="003645C3" w:rsidRPr="00D11021" w:rsidRDefault="003645C3" w:rsidP="003645C3">
            <w:pPr>
              <w:tabs>
                <w:tab w:val="left" w:pos="8280"/>
              </w:tabs>
              <w:spacing w:after="60"/>
              <w:jc w:val="right"/>
              <w:rPr>
                <w:sz w:val="20"/>
                <w:lang w:val="en-CA"/>
              </w:rPr>
            </w:pPr>
            <w:r w:rsidRPr="00D11021">
              <w:rPr>
                <w:sz w:val="22"/>
                <w:szCs w:val="22"/>
                <w:lang w:val="en-CA"/>
              </w:rPr>
              <w:t>21,112</w:t>
            </w:r>
          </w:p>
        </w:tc>
        <w:tc>
          <w:tcPr>
            <w:tcW w:w="386" w:type="pct"/>
            <w:shd w:val="clear" w:color="auto" w:fill="auto"/>
          </w:tcPr>
          <w:p w14:paraId="22B35E1A" w14:textId="11F0D7F5" w:rsidR="003645C3" w:rsidRPr="00D11021" w:rsidRDefault="003645C3" w:rsidP="003645C3">
            <w:pPr>
              <w:tabs>
                <w:tab w:val="left" w:pos="8280"/>
              </w:tabs>
              <w:spacing w:after="60"/>
              <w:jc w:val="right"/>
              <w:rPr>
                <w:sz w:val="20"/>
                <w:lang w:val="en-CA"/>
              </w:rPr>
            </w:pPr>
            <w:r w:rsidRPr="00D11021">
              <w:rPr>
                <w:sz w:val="22"/>
                <w:szCs w:val="22"/>
                <w:lang w:val="en-CA"/>
              </w:rPr>
              <w:t>0</w:t>
            </w:r>
          </w:p>
        </w:tc>
        <w:tc>
          <w:tcPr>
            <w:tcW w:w="385" w:type="pct"/>
            <w:shd w:val="clear" w:color="auto" w:fill="auto"/>
          </w:tcPr>
          <w:p w14:paraId="562DDED7" w14:textId="5F999E5B" w:rsidR="003645C3" w:rsidRPr="00D11021" w:rsidRDefault="003645C3" w:rsidP="003645C3">
            <w:pPr>
              <w:tabs>
                <w:tab w:val="left" w:pos="8280"/>
              </w:tabs>
              <w:spacing w:after="60"/>
              <w:jc w:val="right"/>
              <w:rPr>
                <w:sz w:val="20"/>
                <w:lang w:val="en-CA"/>
              </w:rPr>
            </w:pPr>
            <w:r w:rsidRPr="00D11021">
              <w:rPr>
                <w:sz w:val="22"/>
                <w:szCs w:val="22"/>
                <w:lang w:val="en-CA"/>
              </w:rPr>
              <w:t>11,856</w:t>
            </w:r>
          </w:p>
        </w:tc>
        <w:tc>
          <w:tcPr>
            <w:tcW w:w="386" w:type="pct"/>
            <w:shd w:val="clear" w:color="auto" w:fill="auto"/>
          </w:tcPr>
          <w:p w14:paraId="38CABE50" w14:textId="235CE66C" w:rsidR="003645C3" w:rsidRPr="00D11021" w:rsidRDefault="003645C3" w:rsidP="003645C3">
            <w:pPr>
              <w:tabs>
                <w:tab w:val="left" w:pos="8280"/>
              </w:tabs>
              <w:spacing w:after="60"/>
              <w:jc w:val="right"/>
              <w:rPr>
                <w:sz w:val="20"/>
                <w:lang w:val="en-CA"/>
              </w:rPr>
            </w:pPr>
            <w:r w:rsidRPr="00D11021">
              <w:rPr>
                <w:sz w:val="22"/>
                <w:szCs w:val="22"/>
                <w:lang w:val="en-CA"/>
              </w:rPr>
              <w:t>0</w:t>
            </w:r>
          </w:p>
        </w:tc>
        <w:tc>
          <w:tcPr>
            <w:tcW w:w="385" w:type="pct"/>
            <w:shd w:val="clear" w:color="auto" w:fill="auto"/>
          </w:tcPr>
          <w:p w14:paraId="54F3E598" w14:textId="3E007D26" w:rsidR="003645C3" w:rsidRPr="00D11021" w:rsidRDefault="003645C3" w:rsidP="003645C3">
            <w:pPr>
              <w:tabs>
                <w:tab w:val="left" w:pos="8280"/>
              </w:tabs>
              <w:spacing w:after="60"/>
              <w:jc w:val="right"/>
              <w:rPr>
                <w:sz w:val="20"/>
                <w:lang w:val="en-CA"/>
              </w:rPr>
            </w:pPr>
            <w:r w:rsidRPr="00D11021">
              <w:rPr>
                <w:sz w:val="22"/>
                <w:szCs w:val="22"/>
                <w:lang w:val="en-CA"/>
              </w:rPr>
              <w:t>6,175</w:t>
            </w:r>
          </w:p>
        </w:tc>
        <w:tc>
          <w:tcPr>
            <w:tcW w:w="386" w:type="pct"/>
            <w:shd w:val="clear" w:color="auto" w:fill="auto"/>
          </w:tcPr>
          <w:p w14:paraId="687E5BA1" w14:textId="33CDF252" w:rsidR="003645C3" w:rsidRPr="00D11021" w:rsidRDefault="003645C3" w:rsidP="003645C3">
            <w:pPr>
              <w:tabs>
                <w:tab w:val="left" w:pos="8280"/>
              </w:tabs>
              <w:spacing w:after="60"/>
              <w:jc w:val="right"/>
              <w:rPr>
                <w:sz w:val="20"/>
                <w:lang w:val="en-CA"/>
              </w:rPr>
            </w:pPr>
            <w:r w:rsidRPr="00D11021">
              <w:rPr>
                <w:color w:val="000000"/>
                <w:sz w:val="22"/>
                <w:szCs w:val="22"/>
                <w:lang w:val="en-CA"/>
              </w:rPr>
              <w:t xml:space="preserve"> 61,100</w:t>
            </w:r>
          </w:p>
        </w:tc>
      </w:tr>
      <w:tr w:rsidR="003645C3" w:rsidRPr="00D11021" w14:paraId="0C069E45" w14:textId="77777777" w:rsidTr="003645C3">
        <w:trPr>
          <w:trHeight w:val="114"/>
        </w:trPr>
        <w:tc>
          <w:tcPr>
            <w:tcW w:w="1914" w:type="pct"/>
            <w:gridSpan w:val="3"/>
            <w:shd w:val="clear" w:color="auto" w:fill="auto"/>
          </w:tcPr>
          <w:p w14:paraId="57DFC691" w14:textId="412C268F" w:rsidR="003645C3" w:rsidRPr="00D11021" w:rsidRDefault="003645C3" w:rsidP="003645C3">
            <w:pPr>
              <w:tabs>
                <w:tab w:val="left" w:pos="8280"/>
              </w:tabs>
              <w:bidi/>
              <w:spacing w:after="60"/>
              <w:jc w:val="left"/>
              <w:rPr>
                <w:sz w:val="18"/>
                <w:szCs w:val="18"/>
                <w:lang w:val="en-CA"/>
              </w:rPr>
            </w:pPr>
            <w:r w:rsidRPr="00D11021">
              <w:rPr>
                <w:rFonts w:hint="cs"/>
                <w:sz w:val="18"/>
                <w:szCs w:val="18"/>
                <w:rtl/>
                <w:lang w:val="en-CA"/>
              </w:rPr>
              <w:t>إجمالي تكاليف المشروع المطلوبة من حيث المبدأ (دولار أمريكي)</w:t>
            </w:r>
          </w:p>
        </w:tc>
        <w:tc>
          <w:tcPr>
            <w:tcW w:w="385" w:type="pct"/>
            <w:shd w:val="clear" w:color="auto" w:fill="auto"/>
          </w:tcPr>
          <w:p w14:paraId="3ED18237" w14:textId="3E67F004" w:rsidR="003645C3" w:rsidRPr="00D11021" w:rsidRDefault="003645C3" w:rsidP="003645C3">
            <w:pPr>
              <w:tabs>
                <w:tab w:val="left" w:pos="8280"/>
              </w:tabs>
              <w:spacing w:after="60"/>
              <w:jc w:val="right"/>
              <w:rPr>
                <w:sz w:val="20"/>
                <w:lang w:val="en-CA"/>
              </w:rPr>
            </w:pPr>
            <w:r w:rsidRPr="00D11021">
              <w:rPr>
                <w:color w:val="000000"/>
                <w:sz w:val="22"/>
                <w:szCs w:val="22"/>
                <w:lang w:val="en-CA" w:eastAsia="en-CA"/>
              </w:rPr>
              <w:t>168,900</w:t>
            </w:r>
          </w:p>
        </w:tc>
        <w:tc>
          <w:tcPr>
            <w:tcW w:w="386" w:type="pct"/>
          </w:tcPr>
          <w:p w14:paraId="067D5425" w14:textId="3ACF7ACC" w:rsidR="003645C3" w:rsidRPr="00D11021" w:rsidRDefault="003645C3" w:rsidP="003645C3">
            <w:pPr>
              <w:tabs>
                <w:tab w:val="left" w:pos="8280"/>
              </w:tabs>
              <w:spacing w:after="60"/>
              <w:jc w:val="right"/>
              <w:rPr>
                <w:sz w:val="20"/>
                <w:lang w:val="en-CA"/>
              </w:rPr>
            </w:pPr>
            <w:r w:rsidRPr="00D11021">
              <w:rPr>
                <w:color w:val="000000"/>
                <w:sz w:val="22"/>
                <w:szCs w:val="22"/>
                <w:lang w:val="en-CA"/>
              </w:rPr>
              <w:t>0</w:t>
            </w:r>
          </w:p>
        </w:tc>
        <w:tc>
          <w:tcPr>
            <w:tcW w:w="385" w:type="pct"/>
          </w:tcPr>
          <w:p w14:paraId="1111D2F4" w14:textId="4A61F581" w:rsidR="003645C3" w:rsidRPr="00D11021" w:rsidRDefault="003645C3" w:rsidP="003645C3">
            <w:pPr>
              <w:tabs>
                <w:tab w:val="left" w:pos="8280"/>
              </w:tabs>
              <w:spacing w:after="60"/>
              <w:jc w:val="right"/>
              <w:rPr>
                <w:sz w:val="20"/>
                <w:lang w:val="en-CA"/>
              </w:rPr>
            </w:pPr>
            <w:r w:rsidRPr="00D11021">
              <w:rPr>
                <w:color w:val="000000"/>
                <w:sz w:val="22"/>
                <w:szCs w:val="22"/>
                <w:lang w:val="en-CA" w:eastAsia="en-CA"/>
              </w:rPr>
              <w:t>162,400</w:t>
            </w:r>
          </w:p>
        </w:tc>
        <w:tc>
          <w:tcPr>
            <w:tcW w:w="386" w:type="pct"/>
          </w:tcPr>
          <w:p w14:paraId="73D6A75D" w14:textId="3EF5AF64" w:rsidR="003645C3" w:rsidRPr="00D11021" w:rsidRDefault="003645C3" w:rsidP="003645C3">
            <w:pPr>
              <w:tabs>
                <w:tab w:val="left" w:pos="8280"/>
              </w:tabs>
              <w:spacing w:after="60"/>
              <w:jc w:val="right"/>
              <w:rPr>
                <w:sz w:val="20"/>
                <w:lang w:val="en-CA"/>
              </w:rPr>
            </w:pPr>
            <w:r w:rsidRPr="00D11021">
              <w:rPr>
                <w:color w:val="000000"/>
                <w:sz w:val="22"/>
                <w:szCs w:val="22"/>
                <w:lang w:val="en-CA" w:eastAsia="en-CA"/>
              </w:rPr>
              <w:t>0</w:t>
            </w:r>
          </w:p>
        </w:tc>
        <w:tc>
          <w:tcPr>
            <w:tcW w:w="385" w:type="pct"/>
          </w:tcPr>
          <w:p w14:paraId="0CDF9AFE" w14:textId="7A40CEF1" w:rsidR="003645C3" w:rsidRPr="00D11021" w:rsidRDefault="003645C3" w:rsidP="003645C3">
            <w:pPr>
              <w:tabs>
                <w:tab w:val="left" w:pos="8280"/>
              </w:tabs>
              <w:spacing w:after="60"/>
              <w:jc w:val="right"/>
              <w:rPr>
                <w:sz w:val="20"/>
                <w:lang w:val="en-CA"/>
              </w:rPr>
            </w:pPr>
            <w:r w:rsidRPr="00D11021">
              <w:rPr>
                <w:color w:val="000000"/>
                <w:sz w:val="22"/>
                <w:szCs w:val="22"/>
                <w:lang w:val="en-CA" w:eastAsia="en-CA"/>
              </w:rPr>
              <w:t xml:space="preserve"> 91,200</w:t>
            </w:r>
          </w:p>
        </w:tc>
        <w:tc>
          <w:tcPr>
            <w:tcW w:w="386" w:type="pct"/>
          </w:tcPr>
          <w:p w14:paraId="7949ADA7" w14:textId="4CEB08FF" w:rsidR="003645C3" w:rsidRPr="00D11021" w:rsidRDefault="003645C3" w:rsidP="003645C3">
            <w:pPr>
              <w:tabs>
                <w:tab w:val="left" w:pos="8280"/>
              </w:tabs>
              <w:spacing w:after="60"/>
              <w:jc w:val="right"/>
              <w:rPr>
                <w:sz w:val="20"/>
                <w:lang w:val="en-CA"/>
              </w:rPr>
            </w:pPr>
            <w:r w:rsidRPr="00D11021">
              <w:rPr>
                <w:color w:val="000000"/>
                <w:sz w:val="22"/>
                <w:szCs w:val="22"/>
                <w:lang w:val="en-CA"/>
              </w:rPr>
              <w:t>0</w:t>
            </w:r>
          </w:p>
        </w:tc>
        <w:tc>
          <w:tcPr>
            <w:tcW w:w="385" w:type="pct"/>
          </w:tcPr>
          <w:p w14:paraId="1A97E664" w14:textId="75FB29C5" w:rsidR="003645C3" w:rsidRPr="00D11021" w:rsidRDefault="003645C3" w:rsidP="003645C3">
            <w:pPr>
              <w:tabs>
                <w:tab w:val="left" w:pos="8280"/>
              </w:tabs>
              <w:spacing w:after="60"/>
              <w:jc w:val="right"/>
              <w:rPr>
                <w:sz w:val="20"/>
                <w:lang w:val="en-CA"/>
              </w:rPr>
            </w:pPr>
            <w:r w:rsidRPr="00D11021">
              <w:rPr>
                <w:color w:val="000000"/>
                <w:sz w:val="22"/>
                <w:szCs w:val="22"/>
                <w:lang w:val="en-CA" w:eastAsia="en-CA"/>
              </w:rPr>
              <w:t>47,500</w:t>
            </w:r>
          </w:p>
        </w:tc>
        <w:tc>
          <w:tcPr>
            <w:tcW w:w="386" w:type="pct"/>
          </w:tcPr>
          <w:p w14:paraId="7653E860" w14:textId="6D6BB4FD" w:rsidR="003645C3" w:rsidRPr="00D11021" w:rsidRDefault="003645C3" w:rsidP="003645C3">
            <w:pPr>
              <w:tabs>
                <w:tab w:val="left" w:pos="8280"/>
              </w:tabs>
              <w:spacing w:after="60"/>
              <w:jc w:val="right"/>
              <w:rPr>
                <w:sz w:val="20"/>
                <w:lang w:val="en-CA"/>
              </w:rPr>
            </w:pPr>
            <w:r w:rsidRPr="00D11021">
              <w:rPr>
                <w:color w:val="000000"/>
                <w:sz w:val="22"/>
                <w:szCs w:val="22"/>
                <w:lang w:val="en-CA"/>
              </w:rPr>
              <w:t>470,000</w:t>
            </w:r>
          </w:p>
        </w:tc>
      </w:tr>
      <w:tr w:rsidR="003645C3" w:rsidRPr="00D11021" w14:paraId="5A1D9921" w14:textId="77777777" w:rsidTr="003645C3">
        <w:trPr>
          <w:trHeight w:val="145"/>
        </w:trPr>
        <w:tc>
          <w:tcPr>
            <w:tcW w:w="1914" w:type="pct"/>
            <w:gridSpan w:val="3"/>
            <w:shd w:val="clear" w:color="auto" w:fill="auto"/>
          </w:tcPr>
          <w:p w14:paraId="74F2660D" w14:textId="73DA7CEF" w:rsidR="003645C3" w:rsidRPr="00D11021" w:rsidRDefault="003645C3" w:rsidP="003645C3">
            <w:pPr>
              <w:tabs>
                <w:tab w:val="left" w:pos="8280"/>
              </w:tabs>
              <w:bidi/>
              <w:spacing w:after="60"/>
              <w:jc w:val="left"/>
              <w:rPr>
                <w:sz w:val="18"/>
                <w:szCs w:val="18"/>
                <w:lang w:val="en-CA"/>
              </w:rPr>
            </w:pPr>
            <w:r w:rsidRPr="00D11021">
              <w:rPr>
                <w:rFonts w:hint="cs"/>
                <w:sz w:val="18"/>
                <w:szCs w:val="18"/>
                <w:rtl/>
                <w:lang w:val="en-CA"/>
              </w:rPr>
              <w:t>إجمالي تكاليف الدعم المطلوبة من حيث المبدأ (دولار أمريكي)</w:t>
            </w:r>
          </w:p>
        </w:tc>
        <w:tc>
          <w:tcPr>
            <w:tcW w:w="385" w:type="pct"/>
            <w:shd w:val="clear" w:color="auto" w:fill="auto"/>
          </w:tcPr>
          <w:p w14:paraId="1241E847" w14:textId="3FE997F2" w:rsidR="003645C3" w:rsidRPr="00D11021" w:rsidRDefault="003645C3" w:rsidP="003645C3">
            <w:pPr>
              <w:tabs>
                <w:tab w:val="left" w:pos="8280"/>
              </w:tabs>
              <w:spacing w:after="60"/>
              <w:jc w:val="right"/>
              <w:rPr>
                <w:sz w:val="20"/>
                <w:lang w:val="en-CA"/>
              </w:rPr>
            </w:pPr>
            <w:r w:rsidRPr="00D11021">
              <w:rPr>
                <w:sz w:val="22"/>
                <w:szCs w:val="22"/>
                <w:lang w:val="en-CA"/>
              </w:rPr>
              <w:t>21,957</w:t>
            </w:r>
          </w:p>
        </w:tc>
        <w:tc>
          <w:tcPr>
            <w:tcW w:w="386" w:type="pct"/>
          </w:tcPr>
          <w:p w14:paraId="0578A079" w14:textId="13D862C7" w:rsidR="003645C3" w:rsidRPr="00D11021" w:rsidRDefault="003645C3" w:rsidP="003645C3">
            <w:pPr>
              <w:tabs>
                <w:tab w:val="left" w:pos="8280"/>
              </w:tabs>
              <w:spacing w:after="60"/>
              <w:jc w:val="right"/>
              <w:rPr>
                <w:sz w:val="20"/>
                <w:lang w:val="en-CA"/>
              </w:rPr>
            </w:pPr>
            <w:r w:rsidRPr="00D11021">
              <w:rPr>
                <w:sz w:val="22"/>
                <w:szCs w:val="22"/>
                <w:lang w:val="en-CA"/>
              </w:rPr>
              <w:t>0</w:t>
            </w:r>
          </w:p>
        </w:tc>
        <w:tc>
          <w:tcPr>
            <w:tcW w:w="385" w:type="pct"/>
          </w:tcPr>
          <w:p w14:paraId="7FB0E9AA" w14:textId="3DBECD0C" w:rsidR="003645C3" w:rsidRPr="00D11021" w:rsidRDefault="003645C3" w:rsidP="003645C3">
            <w:pPr>
              <w:tabs>
                <w:tab w:val="left" w:pos="8280"/>
              </w:tabs>
              <w:spacing w:after="60"/>
              <w:jc w:val="right"/>
              <w:rPr>
                <w:sz w:val="20"/>
                <w:lang w:val="en-CA"/>
              </w:rPr>
            </w:pPr>
            <w:r w:rsidRPr="00D11021">
              <w:rPr>
                <w:sz w:val="22"/>
                <w:szCs w:val="22"/>
                <w:lang w:val="en-CA"/>
              </w:rPr>
              <w:t>21,112</w:t>
            </w:r>
          </w:p>
        </w:tc>
        <w:tc>
          <w:tcPr>
            <w:tcW w:w="386" w:type="pct"/>
          </w:tcPr>
          <w:p w14:paraId="4101294D" w14:textId="6760B721" w:rsidR="003645C3" w:rsidRPr="00D11021" w:rsidRDefault="003645C3" w:rsidP="003645C3">
            <w:pPr>
              <w:tabs>
                <w:tab w:val="left" w:pos="8280"/>
              </w:tabs>
              <w:spacing w:after="60"/>
              <w:jc w:val="right"/>
              <w:rPr>
                <w:sz w:val="20"/>
                <w:lang w:val="en-CA"/>
              </w:rPr>
            </w:pPr>
            <w:r w:rsidRPr="00D11021">
              <w:rPr>
                <w:sz w:val="22"/>
                <w:szCs w:val="22"/>
                <w:lang w:val="en-CA"/>
              </w:rPr>
              <w:t>0</w:t>
            </w:r>
          </w:p>
        </w:tc>
        <w:tc>
          <w:tcPr>
            <w:tcW w:w="385" w:type="pct"/>
          </w:tcPr>
          <w:p w14:paraId="649A4344" w14:textId="315CB2D7" w:rsidR="003645C3" w:rsidRPr="00D11021" w:rsidRDefault="003645C3" w:rsidP="003645C3">
            <w:pPr>
              <w:tabs>
                <w:tab w:val="left" w:pos="8280"/>
              </w:tabs>
              <w:spacing w:after="60"/>
              <w:jc w:val="right"/>
              <w:rPr>
                <w:sz w:val="20"/>
                <w:lang w:val="en-CA"/>
              </w:rPr>
            </w:pPr>
            <w:r w:rsidRPr="00D11021">
              <w:rPr>
                <w:sz w:val="22"/>
                <w:szCs w:val="22"/>
                <w:lang w:val="en-CA"/>
              </w:rPr>
              <w:t>11,856</w:t>
            </w:r>
          </w:p>
        </w:tc>
        <w:tc>
          <w:tcPr>
            <w:tcW w:w="386" w:type="pct"/>
          </w:tcPr>
          <w:p w14:paraId="0D136ECF" w14:textId="2B3979B9" w:rsidR="003645C3" w:rsidRPr="00D11021" w:rsidRDefault="003645C3" w:rsidP="003645C3">
            <w:pPr>
              <w:tabs>
                <w:tab w:val="left" w:pos="8280"/>
              </w:tabs>
              <w:spacing w:after="60"/>
              <w:jc w:val="right"/>
              <w:rPr>
                <w:sz w:val="20"/>
                <w:lang w:val="en-CA"/>
              </w:rPr>
            </w:pPr>
            <w:r w:rsidRPr="00D11021">
              <w:rPr>
                <w:sz w:val="22"/>
                <w:szCs w:val="22"/>
                <w:lang w:val="en-CA"/>
              </w:rPr>
              <w:t>0</w:t>
            </w:r>
          </w:p>
        </w:tc>
        <w:tc>
          <w:tcPr>
            <w:tcW w:w="385" w:type="pct"/>
          </w:tcPr>
          <w:p w14:paraId="3D8EAC47" w14:textId="23DF485C" w:rsidR="003645C3" w:rsidRPr="00D11021" w:rsidRDefault="003645C3" w:rsidP="003645C3">
            <w:pPr>
              <w:tabs>
                <w:tab w:val="left" w:pos="8280"/>
              </w:tabs>
              <w:spacing w:after="60"/>
              <w:jc w:val="right"/>
              <w:rPr>
                <w:sz w:val="20"/>
                <w:lang w:val="en-CA"/>
              </w:rPr>
            </w:pPr>
            <w:r w:rsidRPr="00D11021">
              <w:rPr>
                <w:sz w:val="22"/>
                <w:szCs w:val="22"/>
                <w:lang w:val="en-CA"/>
              </w:rPr>
              <w:t>6,175</w:t>
            </w:r>
          </w:p>
        </w:tc>
        <w:tc>
          <w:tcPr>
            <w:tcW w:w="386" w:type="pct"/>
          </w:tcPr>
          <w:p w14:paraId="2D7AC67E" w14:textId="21FAA030" w:rsidR="003645C3" w:rsidRPr="00D11021" w:rsidRDefault="003645C3" w:rsidP="003645C3">
            <w:pPr>
              <w:tabs>
                <w:tab w:val="left" w:pos="8280"/>
              </w:tabs>
              <w:spacing w:after="60"/>
              <w:jc w:val="right"/>
              <w:rPr>
                <w:sz w:val="20"/>
                <w:lang w:val="en-CA"/>
              </w:rPr>
            </w:pPr>
            <w:r w:rsidRPr="00D11021">
              <w:rPr>
                <w:color w:val="000000"/>
                <w:sz w:val="22"/>
                <w:szCs w:val="22"/>
                <w:lang w:val="en-CA"/>
              </w:rPr>
              <w:t xml:space="preserve"> 61,100</w:t>
            </w:r>
          </w:p>
        </w:tc>
      </w:tr>
      <w:tr w:rsidR="003645C3" w:rsidRPr="00D11021" w14:paraId="15CDF3DF" w14:textId="77777777" w:rsidTr="003645C3">
        <w:trPr>
          <w:trHeight w:val="68"/>
        </w:trPr>
        <w:tc>
          <w:tcPr>
            <w:tcW w:w="1914" w:type="pct"/>
            <w:gridSpan w:val="3"/>
            <w:shd w:val="clear" w:color="auto" w:fill="auto"/>
          </w:tcPr>
          <w:p w14:paraId="3C885A29" w14:textId="219FDA5D" w:rsidR="003645C3" w:rsidRPr="00D11021" w:rsidRDefault="003645C3" w:rsidP="003645C3">
            <w:pPr>
              <w:tabs>
                <w:tab w:val="left" w:pos="8280"/>
              </w:tabs>
              <w:bidi/>
              <w:spacing w:after="60"/>
              <w:jc w:val="left"/>
              <w:rPr>
                <w:sz w:val="18"/>
                <w:szCs w:val="18"/>
                <w:lang w:val="en-CA"/>
              </w:rPr>
            </w:pPr>
            <w:r w:rsidRPr="00D11021">
              <w:rPr>
                <w:rFonts w:hint="cs"/>
                <w:sz w:val="18"/>
                <w:szCs w:val="18"/>
                <w:rtl/>
                <w:lang w:val="en-CA"/>
              </w:rPr>
              <w:t>إجمالي المبالغ المطلوبة من حيث المبدأ (دولار أمريكي)</w:t>
            </w:r>
          </w:p>
        </w:tc>
        <w:tc>
          <w:tcPr>
            <w:tcW w:w="385" w:type="pct"/>
            <w:shd w:val="clear" w:color="auto" w:fill="auto"/>
          </w:tcPr>
          <w:p w14:paraId="55F7A232" w14:textId="7CCD03CB" w:rsidR="003645C3" w:rsidRPr="00D11021" w:rsidRDefault="003645C3" w:rsidP="003645C3">
            <w:pPr>
              <w:tabs>
                <w:tab w:val="left" w:pos="8280"/>
              </w:tabs>
              <w:spacing w:after="60"/>
              <w:jc w:val="right"/>
              <w:rPr>
                <w:sz w:val="20"/>
                <w:lang w:val="en-CA"/>
              </w:rPr>
            </w:pPr>
            <w:r w:rsidRPr="00D11021">
              <w:rPr>
                <w:sz w:val="22"/>
                <w:szCs w:val="22"/>
                <w:lang w:val="en-CA"/>
              </w:rPr>
              <w:t>190,857</w:t>
            </w:r>
          </w:p>
        </w:tc>
        <w:tc>
          <w:tcPr>
            <w:tcW w:w="386" w:type="pct"/>
          </w:tcPr>
          <w:p w14:paraId="18164710" w14:textId="02C7E1DA" w:rsidR="003645C3" w:rsidRPr="00D11021" w:rsidRDefault="003645C3" w:rsidP="003645C3">
            <w:pPr>
              <w:tabs>
                <w:tab w:val="left" w:pos="8280"/>
              </w:tabs>
              <w:spacing w:after="60"/>
              <w:jc w:val="right"/>
              <w:rPr>
                <w:sz w:val="20"/>
                <w:lang w:val="en-CA"/>
              </w:rPr>
            </w:pPr>
            <w:r w:rsidRPr="00D11021">
              <w:rPr>
                <w:sz w:val="22"/>
                <w:szCs w:val="22"/>
                <w:lang w:val="en-CA"/>
              </w:rPr>
              <w:t>0</w:t>
            </w:r>
          </w:p>
        </w:tc>
        <w:tc>
          <w:tcPr>
            <w:tcW w:w="385" w:type="pct"/>
          </w:tcPr>
          <w:p w14:paraId="29B0DDB2" w14:textId="5800EBDF" w:rsidR="003645C3" w:rsidRPr="00D11021" w:rsidRDefault="003645C3" w:rsidP="003645C3">
            <w:pPr>
              <w:tabs>
                <w:tab w:val="left" w:pos="8280"/>
              </w:tabs>
              <w:spacing w:after="60"/>
              <w:jc w:val="right"/>
              <w:rPr>
                <w:sz w:val="20"/>
                <w:lang w:val="en-CA"/>
              </w:rPr>
            </w:pPr>
            <w:r w:rsidRPr="00D11021">
              <w:rPr>
                <w:sz w:val="22"/>
                <w:szCs w:val="22"/>
                <w:lang w:val="en-CA"/>
              </w:rPr>
              <w:t>183,512</w:t>
            </w:r>
          </w:p>
        </w:tc>
        <w:tc>
          <w:tcPr>
            <w:tcW w:w="386" w:type="pct"/>
          </w:tcPr>
          <w:p w14:paraId="0135C7F1" w14:textId="73D8B90A" w:rsidR="003645C3" w:rsidRPr="00D11021" w:rsidRDefault="003645C3" w:rsidP="003645C3">
            <w:pPr>
              <w:tabs>
                <w:tab w:val="left" w:pos="8280"/>
              </w:tabs>
              <w:spacing w:after="60"/>
              <w:jc w:val="right"/>
              <w:rPr>
                <w:sz w:val="20"/>
                <w:lang w:val="en-CA"/>
              </w:rPr>
            </w:pPr>
            <w:r w:rsidRPr="00D11021">
              <w:rPr>
                <w:sz w:val="22"/>
                <w:szCs w:val="22"/>
                <w:lang w:val="en-CA"/>
              </w:rPr>
              <w:t>0</w:t>
            </w:r>
          </w:p>
        </w:tc>
        <w:tc>
          <w:tcPr>
            <w:tcW w:w="385" w:type="pct"/>
          </w:tcPr>
          <w:p w14:paraId="0744069A" w14:textId="0EED36D3" w:rsidR="003645C3" w:rsidRPr="00D11021" w:rsidRDefault="003645C3" w:rsidP="003645C3">
            <w:pPr>
              <w:tabs>
                <w:tab w:val="left" w:pos="8280"/>
              </w:tabs>
              <w:spacing w:after="60"/>
              <w:jc w:val="right"/>
              <w:rPr>
                <w:sz w:val="20"/>
                <w:lang w:val="en-CA"/>
              </w:rPr>
            </w:pPr>
            <w:r w:rsidRPr="00D11021">
              <w:rPr>
                <w:sz w:val="22"/>
                <w:szCs w:val="22"/>
                <w:lang w:val="en-CA"/>
              </w:rPr>
              <w:t>103,056</w:t>
            </w:r>
          </w:p>
        </w:tc>
        <w:tc>
          <w:tcPr>
            <w:tcW w:w="386" w:type="pct"/>
          </w:tcPr>
          <w:p w14:paraId="57BDEF34" w14:textId="3440B376" w:rsidR="003645C3" w:rsidRPr="00D11021" w:rsidRDefault="003645C3" w:rsidP="003645C3">
            <w:pPr>
              <w:tabs>
                <w:tab w:val="left" w:pos="8280"/>
              </w:tabs>
              <w:spacing w:after="60"/>
              <w:jc w:val="right"/>
              <w:rPr>
                <w:sz w:val="20"/>
                <w:lang w:val="en-CA"/>
              </w:rPr>
            </w:pPr>
            <w:r w:rsidRPr="00D11021">
              <w:rPr>
                <w:sz w:val="22"/>
                <w:szCs w:val="22"/>
                <w:lang w:val="en-CA"/>
              </w:rPr>
              <w:t>0</w:t>
            </w:r>
          </w:p>
        </w:tc>
        <w:tc>
          <w:tcPr>
            <w:tcW w:w="385" w:type="pct"/>
          </w:tcPr>
          <w:p w14:paraId="2C8E7825" w14:textId="5104B6BC" w:rsidR="003645C3" w:rsidRPr="00D11021" w:rsidRDefault="003645C3" w:rsidP="003645C3">
            <w:pPr>
              <w:tabs>
                <w:tab w:val="left" w:pos="8280"/>
              </w:tabs>
              <w:spacing w:after="60"/>
              <w:jc w:val="right"/>
              <w:rPr>
                <w:sz w:val="20"/>
                <w:lang w:val="en-CA"/>
              </w:rPr>
            </w:pPr>
            <w:r w:rsidRPr="00D11021">
              <w:rPr>
                <w:sz w:val="22"/>
                <w:szCs w:val="22"/>
                <w:lang w:val="en-CA"/>
              </w:rPr>
              <w:t>53,675</w:t>
            </w:r>
          </w:p>
        </w:tc>
        <w:tc>
          <w:tcPr>
            <w:tcW w:w="386" w:type="pct"/>
          </w:tcPr>
          <w:p w14:paraId="7EE79862" w14:textId="6FA39342" w:rsidR="003645C3" w:rsidRPr="00D11021" w:rsidRDefault="003645C3" w:rsidP="003645C3">
            <w:pPr>
              <w:tabs>
                <w:tab w:val="left" w:pos="8280"/>
              </w:tabs>
              <w:spacing w:after="60"/>
              <w:jc w:val="right"/>
              <w:rPr>
                <w:sz w:val="20"/>
                <w:lang w:val="en-CA"/>
              </w:rPr>
            </w:pPr>
            <w:r w:rsidRPr="00D11021">
              <w:rPr>
                <w:sz w:val="22"/>
                <w:szCs w:val="22"/>
                <w:lang w:val="en-CA"/>
              </w:rPr>
              <w:t>531,100</w:t>
            </w:r>
          </w:p>
        </w:tc>
      </w:tr>
    </w:tbl>
    <w:p w14:paraId="561C7C51" w14:textId="0C962656" w:rsidR="00B10937" w:rsidRPr="00D11021" w:rsidRDefault="00B10937" w:rsidP="007D1FB7">
      <w:pPr>
        <w:spacing w:after="60"/>
        <w:jc w:val="center"/>
        <w:rPr>
          <w:sz w:val="20"/>
          <w:rtl/>
          <w:lang w:val="en-US"/>
        </w:rPr>
      </w:pPr>
    </w:p>
    <w:tbl>
      <w:tblPr>
        <w:tblStyle w:val="TableGrid10"/>
        <w:bidiVisual/>
        <w:tblW w:w="5531" w:type="pct"/>
        <w:tblInd w:w="-528" w:type="dxa"/>
        <w:tblLook w:val="04A0" w:firstRow="1" w:lastRow="0" w:firstColumn="1" w:lastColumn="0" w:noHBand="0" w:noVBand="1"/>
      </w:tblPr>
      <w:tblGrid>
        <w:gridCol w:w="3526"/>
        <w:gridCol w:w="3333"/>
        <w:gridCol w:w="3484"/>
      </w:tblGrid>
      <w:tr w:rsidR="004B186C" w:rsidRPr="00D11021" w14:paraId="37D29B27" w14:textId="77777777" w:rsidTr="00ED7103">
        <w:trPr>
          <w:trHeight w:hRule="exact" w:val="227"/>
        </w:trPr>
        <w:tc>
          <w:tcPr>
            <w:tcW w:w="5000" w:type="pct"/>
            <w:gridSpan w:val="3"/>
            <w:shd w:val="clear" w:color="auto" w:fill="auto"/>
          </w:tcPr>
          <w:p w14:paraId="5619D379" w14:textId="6DE50063" w:rsidR="004B186C" w:rsidRPr="00D11021" w:rsidRDefault="004B186C" w:rsidP="004B186C">
            <w:pPr>
              <w:bidi/>
              <w:rPr>
                <w:bCs/>
                <w:color w:val="000000" w:themeColor="text1"/>
                <w:sz w:val="22"/>
                <w:szCs w:val="22"/>
                <w:lang w:val="en-CA"/>
              </w:rPr>
            </w:pPr>
            <w:r w:rsidRPr="00D11021">
              <w:rPr>
                <w:rFonts w:hint="cs"/>
                <w:bCs/>
                <w:color w:val="000000" w:themeColor="text1"/>
                <w:sz w:val="22"/>
                <w:szCs w:val="22"/>
                <w:rtl/>
                <w:lang w:val="en-CA"/>
              </w:rPr>
              <w:t>(7) طلب التمويل للشريحة الأولى (2021)</w:t>
            </w:r>
          </w:p>
        </w:tc>
      </w:tr>
      <w:tr w:rsidR="004B186C" w:rsidRPr="00D11021" w14:paraId="2E357B9C" w14:textId="77777777" w:rsidTr="00ED7103">
        <w:trPr>
          <w:trHeight w:hRule="exact" w:val="227"/>
        </w:trPr>
        <w:tc>
          <w:tcPr>
            <w:tcW w:w="1705" w:type="pct"/>
            <w:shd w:val="clear" w:color="auto" w:fill="auto"/>
          </w:tcPr>
          <w:p w14:paraId="25970AF9" w14:textId="119C2DAD" w:rsidR="004B186C" w:rsidRPr="00D11021" w:rsidRDefault="004B186C" w:rsidP="004B186C">
            <w:pPr>
              <w:bidi/>
              <w:jc w:val="center"/>
              <w:rPr>
                <w:bCs/>
                <w:color w:val="000000" w:themeColor="text1"/>
                <w:sz w:val="22"/>
                <w:szCs w:val="22"/>
                <w:lang w:val="en-CA"/>
              </w:rPr>
            </w:pPr>
            <w:r w:rsidRPr="00D11021">
              <w:rPr>
                <w:rFonts w:hint="cs"/>
                <w:bCs/>
                <w:color w:val="000000" w:themeColor="text1"/>
                <w:sz w:val="22"/>
                <w:szCs w:val="22"/>
                <w:rtl/>
                <w:lang w:val="en-CA"/>
              </w:rPr>
              <w:t>الوكالة</w:t>
            </w:r>
          </w:p>
        </w:tc>
        <w:tc>
          <w:tcPr>
            <w:tcW w:w="1611" w:type="pct"/>
            <w:shd w:val="clear" w:color="auto" w:fill="auto"/>
          </w:tcPr>
          <w:p w14:paraId="2E8CCA33" w14:textId="09C90873" w:rsidR="004B186C" w:rsidRPr="00D11021" w:rsidRDefault="004B186C" w:rsidP="004B186C">
            <w:pPr>
              <w:bidi/>
              <w:jc w:val="center"/>
              <w:rPr>
                <w:bCs/>
                <w:color w:val="000000" w:themeColor="text1"/>
                <w:sz w:val="22"/>
                <w:szCs w:val="22"/>
                <w:lang w:val="en-CA"/>
              </w:rPr>
            </w:pPr>
            <w:r w:rsidRPr="00D11021">
              <w:rPr>
                <w:rFonts w:hint="cs"/>
                <w:bCs/>
                <w:color w:val="000000" w:themeColor="text1"/>
                <w:sz w:val="22"/>
                <w:szCs w:val="22"/>
                <w:rtl/>
                <w:lang w:val="en-CA"/>
              </w:rPr>
              <w:t>المبالغ المطلوبة (دولار أمريكي)</w:t>
            </w:r>
          </w:p>
        </w:tc>
        <w:tc>
          <w:tcPr>
            <w:tcW w:w="1685" w:type="pct"/>
            <w:shd w:val="clear" w:color="auto" w:fill="auto"/>
          </w:tcPr>
          <w:p w14:paraId="6A35D4E6" w14:textId="0521C815" w:rsidR="004B186C" w:rsidRPr="00D11021" w:rsidRDefault="004B186C" w:rsidP="004B186C">
            <w:pPr>
              <w:bidi/>
              <w:jc w:val="center"/>
              <w:rPr>
                <w:bCs/>
                <w:color w:val="000000" w:themeColor="text1"/>
                <w:sz w:val="22"/>
                <w:szCs w:val="22"/>
                <w:lang w:val="en-CA"/>
              </w:rPr>
            </w:pPr>
            <w:r w:rsidRPr="00D11021">
              <w:rPr>
                <w:rFonts w:hint="cs"/>
                <w:bCs/>
                <w:color w:val="000000" w:themeColor="text1"/>
                <w:sz w:val="22"/>
                <w:szCs w:val="22"/>
                <w:rtl/>
                <w:lang w:val="en-CA"/>
              </w:rPr>
              <w:t>تكاليف الدعم (دولار أمريكي)</w:t>
            </w:r>
          </w:p>
        </w:tc>
      </w:tr>
      <w:tr w:rsidR="00ED7103" w:rsidRPr="00D11021" w14:paraId="5AC7B757" w14:textId="77777777" w:rsidTr="00ED7103">
        <w:trPr>
          <w:trHeight w:hRule="exact" w:val="227"/>
        </w:trPr>
        <w:tc>
          <w:tcPr>
            <w:tcW w:w="1705" w:type="pct"/>
            <w:shd w:val="clear" w:color="auto" w:fill="auto"/>
          </w:tcPr>
          <w:p w14:paraId="54D3D368" w14:textId="529FD17B" w:rsidR="00ED7103" w:rsidRPr="00D11021" w:rsidRDefault="00ED7103" w:rsidP="00ED7103">
            <w:pPr>
              <w:bidi/>
              <w:rPr>
                <w:color w:val="000000" w:themeColor="text1"/>
                <w:sz w:val="22"/>
                <w:szCs w:val="22"/>
                <w:lang w:val="en-CA"/>
              </w:rPr>
            </w:pPr>
            <w:r w:rsidRPr="00D11021">
              <w:rPr>
                <w:rFonts w:hint="cs"/>
                <w:color w:val="000000" w:themeColor="text1"/>
                <w:sz w:val="22"/>
                <w:szCs w:val="22"/>
                <w:rtl/>
                <w:lang w:val="en-CA"/>
              </w:rPr>
              <w:t>ألمانيا</w:t>
            </w:r>
          </w:p>
        </w:tc>
        <w:tc>
          <w:tcPr>
            <w:tcW w:w="1611" w:type="pct"/>
            <w:shd w:val="clear" w:color="auto" w:fill="auto"/>
          </w:tcPr>
          <w:p w14:paraId="5D621E69" w14:textId="12D24623" w:rsidR="00ED7103" w:rsidRPr="00D11021" w:rsidRDefault="00ED7103" w:rsidP="00ED7103">
            <w:pPr>
              <w:jc w:val="right"/>
              <w:rPr>
                <w:color w:val="000000" w:themeColor="text1"/>
                <w:sz w:val="22"/>
                <w:szCs w:val="22"/>
                <w:lang w:val="en-CA"/>
              </w:rPr>
            </w:pPr>
            <w:r w:rsidRPr="00D11021">
              <w:rPr>
                <w:color w:val="000000" w:themeColor="text1"/>
                <w:sz w:val="22"/>
                <w:szCs w:val="22"/>
                <w:lang w:val="en-CA"/>
              </w:rPr>
              <w:t>168,900</w:t>
            </w:r>
          </w:p>
        </w:tc>
        <w:tc>
          <w:tcPr>
            <w:tcW w:w="1685" w:type="pct"/>
            <w:shd w:val="clear" w:color="auto" w:fill="auto"/>
          </w:tcPr>
          <w:p w14:paraId="183595FD" w14:textId="5B45F2B6" w:rsidR="00ED7103" w:rsidRPr="00D11021" w:rsidRDefault="00ED7103" w:rsidP="00ED7103">
            <w:pPr>
              <w:jc w:val="right"/>
              <w:rPr>
                <w:color w:val="000000" w:themeColor="text1"/>
                <w:sz w:val="22"/>
                <w:szCs w:val="22"/>
                <w:lang w:val="en-CA"/>
              </w:rPr>
            </w:pPr>
            <w:r w:rsidRPr="00D11021">
              <w:rPr>
                <w:color w:val="000000" w:themeColor="text1"/>
                <w:sz w:val="22"/>
                <w:szCs w:val="22"/>
                <w:lang w:val="en-CA"/>
              </w:rPr>
              <w:t>21,957</w:t>
            </w:r>
          </w:p>
        </w:tc>
      </w:tr>
    </w:tbl>
    <w:p w14:paraId="0FF3CA5A" w14:textId="214D17F1" w:rsidR="007E5D09" w:rsidRPr="00D11021" w:rsidRDefault="007E5D09">
      <w:pPr>
        <w:pStyle w:val="StyleHeader4Para4Left0Firstline0"/>
        <w:numPr>
          <w:ilvl w:val="0"/>
          <w:numId w:val="0"/>
        </w:numPr>
        <w:rPr>
          <w:sz w:val="22"/>
          <w:szCs w:val="22"/>
          <w:rtl/>
        </w:rPr>
      </w:pPr>
    </w:p>
    <w:tbl>
      <w:tblPr>
        <w:tblStyle w:val="TableGrid"/>
        <w:bidiVisual/>
        <w:tblW w:w="9898" w:type="dxa"/>
        <w:tblInd w:w="-88"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3088"/>
        <w:gridCol w:w="6810"/>
      </w:tblGrid>
      <w:tr w:rsidR="00D42331" w:rsidRPr="00D11021" w14:paraId="13BF14C1" w14:textId="77777777" w:rsidTr="00A000BA">
        <w:trPr>
          <w:trHeight w:val="240"/>
        </w:trPr>
        <w:tc>
          <w:tcPr>
            <w:tcW w:w="3088" w:type="dxa"/>
            <w:shd w:val="clear" w:color="auto" w:fill="auto"/>
          </w:tcPr>
          <w:p w14:paraId="77232E3E" w14:textId="77777777" w:rsidR="00D42331" w:rsidRPr="00D11021" w:rsidRDefault="00D42331" w:rsidP="00245558">
            <w:pPr>
              <w:bidi/>
              <w:spacing w:after="60"/>
              <w:jc w:val="left"/>
              <w:rPr>
                <w:bCs/>
                <w:sz w:val="20"/>
                <w:szCs w:val="22"/>
              </w:rPr>
            </w:pPr>
            <w:r w:rsidRPr="00D11021">
              <w:rPr>
                <w:rFonts w:hint="cs"/>
                <w:bCs/>
                <w:sz w:val="20"/>
                <w:szCs w:val="22"/>
                <w:rtl/>
              </w:rPr>
              <w:t>توصية الأمانة:</w:t>
            </w:r>
          </w:p>
        </w:tc>
        <w:tc>
          <w:tcPr>
            <w:tcW w:w="6810" w:type="dxa"/>
            <w:shd w:val="clear" w:color="auto" w:fill="auto"/>
          </w:tcPr>
          <w:p w14:paraId="1BB1EC33" w14:textId="77777777" w:rsidR="00D42331" w:rsidRPr="00D11021" w:rsidRDefault="00D42331" w:rsidP="00245558">
            <w:pPr>
              <w:bidi/>
              <w:spacing w:after="60"/>
              <w:jc w:val="center"/>
              <w:rPr>
                <w:sz w:val="20"/>
                <w:szCs w:val="22"/>
              </w:rPr>
            </w:pPr>
            <w:r w:rsidRPr="00D11021">
              <w:rPr>
                <w:rFonts w:hint="cs"/>
                <w:sz w:val="20"/>
                <w:szCs w:val="22"/>
                <w:rtl/>
              </w:rPr>
              <w:t>للدراسة الفردية</w:t>
            </w:r>
          </w:p>
        </w:tc>
      </w:tr>
    </w:tbl>
    <w:p w14:paraId="0ACD2E93" w14:textId="5C694FBC" w:rsidR="00245558" w:rsidRPr="00010740" w:rsidRDefault="00245558" w:rsidP="00ED7103">
      <w:pPr>
        <w:bidi/>
        <w:jc w:val="center"/>
        <w:rPr>
          <w:b/>
          <w:bCs/>
          <w:sz w:val="28"/>
          <w:szCs w:val="28"/>
          <w:rtl/>
        </w:rPr>
      </w:pPr>
      <w:bookmarkStart w:id="0" w:name="_Hlk7529719"/>
      <w:r w:rsidRPr="00010740">
        <w:rPr>
          <w:rFonts w:hint="cs"/>
          <w:b/>
          <w:bCs/>
          <w:sz w:val="28"/>
          <w:szCs w:val="28"/>
          <w:rtl/>
        </w:rPr>
        <w:lastRenderedPageBreak/>
        <w:t>وصف المشروع</w:t>
      </w:r>
    </w:p>
    <w:p w14:paraId="2CE30060" w14:textId="679D5EC9" w:rsidR="00245558" w:rsidRPr="00245558" w:rsidRDefault="00ED7103" w:rsidP="00245558">
      <w:pPr>
        <w:pStyle w:val="StyleHeader4Para4Left0Firstline0"/>
        <w:numPr>
          <w:ilvl w:val="0"/>
          <w:numId w:val="0"/>
        </w:numPr>
        <w:tabs>
          <w:tab w:val="clear" w:pos="2880"/>
          <w:tab w:val="clear" w:pos="5760"/>
          <w:tab w:val="left" w:pos="720"/>
        </w:tabs>
        <w:bidi/>
        <w:rPr>
          <w:b/>
          <w:bCs/>
          <w:sz w:val="26"/>
          <w:szCs w:val="26"/>
          <w:rtl/>
        </w:rPr>
      </w:pPr>
      <w:r>
        <w:rPr>
          <w:rFonts w:hint="cs"/>
          <w:b/>
          <w:bCs/>
          <w:sz w:val="26"/>
          <w:szCs w:val="26"/>
          <w:rtl/>
        </w:rPr>
        <w:t>ال</w:t>
      </w:r>
      <w:r w:rsidR="00245558" w:rsidRPr="00245558">
        <w:rPr>
          <w:rFonts w:hint="cs"/>
          <w:b/>
          <w:bCs/>
          <w:sz w:val="26"/>
          <w:szCs w:val="26"/>
          <w:rtl/>
        </w:rPr>
        <w:t>خلفية</w:t>
      </w:r>
    </w:p>
    <w:p w14:paraId="7C8080D6" w14:textId="1780A35A" w:rsidR="00245558" w:rsidRPr="00245558" w:rsidRDefault="00245558" w:rsidP="00245558">
      <w:pPr>
        <w:pStyle w:val="StyleHeader4Para4Left0Firstline0"/>
        <w:numPr>
          <w:ilvl w:val="0"/>
          <w:numId w:val="0"/>
        </w:numPr>
        <w:tabs>
          <w:tab w:val="clear" w:pos="2880"/>
          <w:tab w:val="clear" w:pos="5760"/>
          <w:tab w:val="left" w:pos="720"/>
        </w:tabs>
        <w:bidi/>
        <w:rPr>
          <w:sz w:val="26"/>
          <w:szCs w:val="26"/>
          <w:rtl/>
          <w:lang w:val="en-US" w:bidi="ar-EG"/>
        </w:rPr>
      </w:pPr>
      <w:r w:rsidRPr="00010740">
        <w:rPr>
          <w:rFonts w:hint="cs"/>
          <w:sz w:val="26"/>
          <w:szCs w:val="26"/>
          <w:rtl/>
        </w:rPr>
        <w:t>1 -</w:t>
      </w:r>
      <w:r>
        <w:rPr>
          <w:sz w:val="26"/>
          <w:szCs w:val="26"/>
        </w:rPr>
        <w:tab/>
      </w:r>
      <w:r w:rsidR="00ED7103">
        <w:rPr>
          <w:rFonts w:hint="cs"/>
          <w:sz w:val="26"/>
          <w:szCs w:val="26"/>
          <w:rtl/>
          <w:lang w:bidi="ar-EG"/>
        </w:rPr>
        <w:t xml:space="preserve">بالنيابة عن حكومة ليسوتو قدمت ألمانيا بوصفها الوكالة المنفذة المعينة طلبا للمرحلة الثانية من خطة إدارة إزالة المواد الهيدروكلوروفلوروكربونية بمبلغ </w:t>
      </w:r>
      <w:r w:rsidR="00ED7103">
        <w:rPr>
          <w:sz w:val="26"/>
          <w:szCs w:val="26"/>
          <w:lang w:val="en-US" w:bidi="ar-EG"/>
        </w:rPr>
        <w:t>470,000</w:t>
      </w:r>
      <w:r w:rsidR="00ED7103">
        <w:rPr>
          <w:rFonts w:hint="cs"/>
          <w:sz w:val="26"/>
          <w:szCs w:val="26"/>
          <w:rtl/>
          <w:lang w:val="en-US" w:bidi="ar-EG"/>
        </w:rPr>
        <w:t xml:space="preserve"> دولار أمريكي، زائد تكاليف دعم الوكالة البالغة </w:t>
      </w:r>
      <w:r w:rsidR="00ED7103">
        <w:rPr>
          <w:sz w:val="26"/>
          <w:szCs w:val="26"/>
          <w:lang w:val="en-US" w:bidi="ar-EG"/>
        </w:rPr>
        <w:t>61,000</w:t>
      </w:r>
      <w:r w:rsidR="00ED7103">
        <w:rPr>
          <w:rFonts w:hint="cs"/>
          <w:sz w:val="26"/>
          <w:szCs w:val="26"/>
          <w:rtl/>
          <w:lang w:val="en-US" w:bidi="ar-EG"/>
        </w:rPr>
        <w:t xml:space="preserve"> دولار أمريكي</w:t>
      </w:r>
      <w:r>
        <w:rPr>
          <w:rFonts w:hint="cs"/>
          <w:sz w:val="26"/>
          <w:szCs w:val="26"/>
          <w:rtl/>
          <w:lang w:val="en-US" w:bidi="ar-EG"/>
        </w:rPr>
        <w:t xml:space="preserve"> كما قدم في الأصل</w:t>
      </w:r>
      <w:r w:rsidR="0012233F" w:rsidRPr="00010740">
        <w:rPr>
          <w:rStyle w:val="FootnoteReference"/>
          <w:sz w:val="26"/>
          <w:szCs w:val="26"/>
          <w:rtl/>
        </w:rPr>
        <w:footnoteReference w:id="2"/>
      </w:r>
      <w:r w:rsidR="0012233F">
        <w:rPr>
          <w:rFonts w:hint="cs"/>
          <w:sz w:val="26"/>
          <w:szCs w:val="26"/>
          <w:rtl/>
          <w:lang w:val="en-US" w:bidi="ar-EG"/>
        </w:rPr>
        <w:t xml:space="preserve">. </w:t>
      </w:r>
      <w:r w:rsidR="00ED7103">
        <w:rPr>
          <w:rFonts w:hint="cs"/>
          <w:sz w:val="26"/>
          <w:szCs w:val="26"/>
          <w:rtl/>
          <w:lang w:val="en-US" w:bidi="ar-EG"/>
        </w:rPr>
        <w:t>وسوف يؤدي تنفيذ المرحلة الثانية من الخطة لإزالة استهلاك المواد الهيدروكلوروفلوروكربونية المتبقي بحلول عام 2030.</w:t>
      </w:r>
    </w:p>
    <w:p w14:paraId="47786552" w14:textId="395C41F5" w:rsidR="00245558" w:rsidRDefault="00245558" w:rsidP="00245558">
      <w:pPr>
        <w:pStyle w:val="StyleHeader4Para4Left0Firstline0"/>
        <w:numPr>
          <w:ilvl w:val="0"/>
          <w:numId w:val="0"/>
        </w:numPr>
        <w:tabs>
          <w:tab w:val="clear" w:pos="2880"/>
          <w:tab w:val="clear" w:pos="5760"/>
          <w:tab w:val="left" w:pos="720"/>
        </w:tabs>
        <w:bidi/>
        <w:rPr>
          <w:sz w:val="26"/>
          <w:szCs w:val="26"/>
          <w:rtl/>
          <w:lang w:val="en-US" w:bidi="ar-EG"/>
        </w:rPr>
      </w:pPr>
      <w:r>
        <w:rPr>
          <w:rFonts w:hint="cs"/>
          <w:sz w:val="26"/>
          <w:szCs w:val="26"/>
          <w:rtl/>
          <w:lang w:val="en-US" w:bidi="ar-EG"/>
        </w:rPr>
        <w:t>2 -</w:t>
      </w:r>
      <w:r>
        <w:rPr>
          <w:sz w:val="26"/>
          <w:szCs w:val="26"/>
          <w:rtl/>
          <w:lang w:val="en-US" w:bidi="ar-EG"/>
        </w:rPr>
        <w:tab/>
      </w:r>
      <w:r w:rsidR="00ED7103">
        <w:rPr>
          <w:rFonts w:hint="cs"/>
          <w:sz w:val="26"/>
          <w:szCs w:val="26"/>
          <w:rtl/>
          <w:lang w:val="en-US" w:bidi="ar-EG"/>
        </w:rPr>
        <w:t xml:space="preserve">تبلغ قيمة الشريحة الأولى من المرحلة الثانية من خطة إدارة إزالة المواد الهيدروكلوروفلوروكربونية المطلوبة في هذا الاجتماع </w:t>
      </w:r>
      <w:r w:rsidR="00ED7103">
        <w:rPr>
          <w:sz w:val="26"/>
          <w:szCs w:val="26"/>
          <w:lang w:val="en-US" w:bidi="ar-EG"/>
        </w:rPr>
        <w:t>184,900</w:t>
      </w:r>
      <w:r w:rsidR="00ED7103">
        <w:rPr>
          <w:rFonts w:hint="cs"/>
          <w:sz w:val="26"/>
          <w:szCs w:val="26"/>
          <w:rtl/>
          <w:lang w:val="en-US" w:bidi="ar-EG"/>
        </w:rPr>
        <w:t xml:space="preserve"> دولار أمريكي زائد تكاليف دعم الوكالة البالغة </w:t>
      </w:r>
      <w:r w:rsidR="00ED7103">
        <w:rPr>
          <w:sz w:val="26"/>
          <w:szCs w:val="26"/>
          <w:lang w:val="en-US" w:bidi="ar-EG"/>
        </w:rPr>
        <w:t>24,037</w:t>
      </w:r>
      <w:r w:rsidR="00ED7103">
        <w:rPr>
          <w:rFonts w:hint="cs"/>
          <w:sz w:val="26"/>
          <w:szCs w:val="26"/>
          <w:rtl/>
          <w:lang w:val="en-US" w:bidi="ar-EG"/>
        </w:rPr>
        <w:t xml:space="preserve"> لحكومة ألمانيا كما قدمت في الأصل.</w:t>
      </w:r>
    </w:p>
    <w:p w14:paraId="3DEF032D" w14:textId="0F9604EB" w:rsidR="0012233F" w:rsidRPr="0012233F" w:rsidRDefault="0012233F" w:rsidP="0012233F">
      <w:pPr>
        <w:pStyle w:val="StyleHeader4Para4Left0Firstline0"/>
        <w:numPr>
          <w:ilvl w:val="0"/>
          <w:numId w:val="0"/>
        </w:numPr>
        <w:tabs>
          <w:tab w:val="clear" w:pos="2880"/>
          <w:tab w:val="clear" w:pos="5760"/>
          <w:tab w:val="left" w:pos="720"/>
        </w:tabs>
        <w:bidi/>
        <w:rPr>
          <w:b/>
          <w:bCs/>
          <w:sz w:val="26"/>
          <w:szCs w:val="26"/>
          <w:rtl/>
          <w:lang w:val="en-US" w:bidi="ar-EG"/>
        </w:rPr>
      </w:pPr>
      <w:r w:rsidRPr="0012233F">
        <w:rPr>
          <w:rFonts w:hint="cs"/>
          <w:b/>
          <w:bCs/>
          <w:sz w:val="26"/>
          <w:szCs w:val="26"/>
          <w:rtl/>
          <w:lang w:val="en-US" w:bidi="ar-EG"/>
        </w:rPr>
        <w:t>حالة تنفيذ المرحلة الأولى من خطة إدارة إزالة المواد الهيدروكلوروفلوروكربونية</w:t>
      </w:r>
    </w:p>
    <w:p w14:paraId="3DA7B373" w14:textId="239B9465" w:rsidR="00245558" w:rsidRDefault="00245558" w:rsidP="00245558">
      <w:pPr>
        <w:pStyle w:val="StyleHeader4Para4Left0Firstline0"/>
        <w:numPr>
          <w:ilvl w:val="0"/>
          <w:numId w:val="0"/>
        </w:numPr>
        <w:tabs>
          <w:tab w:val="clear" w:pos="2880"/>
          <w:tab w:val="clear" w:pos="5760"/>
          <w:tab w:val="left" w:pos="720"/>
        </w:tabs>
        <w:bidi/>
        <w:rPr>
          <w:sz w:val="26"/>
          <w:szCs w:val="26"/>
          <w:rtl/>
          <w:lang w:val="en-US" w:bidi="ar-EG"/>
        </w:rPr>
      </w:pPr>
      <w:r>
        <w:rPr>
          <w:rFonts w:hint="cs"/>
          <w:sz w:val="26"/>
          <w:szCs w:val="26"/>
          <w:rtl/>
          <w:lang w:val="en-US" w:bidi="ar-EG"/>
        </w:rPr>
        <w:t>3 -</w:t>
      </w:r>
      <w:r>
        <w:rPr>
          <w:sz w:val="26"/>
          <w:szCs w:val="26"/>
          <w:rtl/>
          <w:lang w:val="en-US" w:bidi="ar-EG"/>
        </w:rPr>
        <w:tab/>
      </w:r>
      <w:r w:rsidR="00ED7103">
        <w:rPr>
          <w:rFonts w:hint="cs"/>
          <w:sz w:val="26"/>
          <w:szCs w:val="26"/>
          <w:rtl/>
          <w:lang w:val="en-US" w:bidi="ar-EG"/>
        </w:rPr>
        <w:t>تمت الموافقة في الأصل على المرحلة الأولى من خطة إدارة إزالة المواد الهيدروكلوروفلوروكربونية</w:t>
      </w:r>
      <w:r w:rsidR="00C05C9C">
        <w:rPr>
          <w:rFonts w:hint="cs"/>
          <w:sz w:val="26"/>
          <w:szCs w:val="26"/>
          <w:rtl/>
          <w:lang w:val="en-US" w:bidi="ar-EG"/>
        </w:rPr>
        <w:t xml:space="preserve"> لليسوتو في الاجتماع الرابع والستين</w:t>
      </w:r>
      <w:r w:rsidR="00C05C9C" w:rsidRPr="00010740">
        <w:rPr>
          <w:rStyle w:val="FootnoteReference"/>
          <w:sz w:val="26"/>
          <w:szCs w:val="26"/>
          <w:rtl/>
        </w:rPr>
        <w:footnoteReference w:id="3"/>
      </w:r>
      <w:r w:rsidR="00C05C9C">
        <w:rPr>
          <w:rFonts w:hint="cs"/>
          <w:sz w:val="26"/>
          <w:szCs w:val="26"/>
          <w:rtl/>
          <w:lang w:val="en-US" w:bidi="ar-EG"/>
        </w:rPr>
        <w:t xml:space="preserve"> وتم تحديثها في الاجتماع الثالث والسبعين</w:t>
      </w:r>
      <w:r w:rsidR="00C05C9C" w:rsidRPr="00010740">
        <w:rPr>
          <w:rStyle w:val="FootnoteReference"/>
          <w:sz w:val="26"/>
          <w:szCs w:val="26"/>
          <w:rtl/>
        </w:rPr>
        <w:footnoteReference w:id="4"/>
      </w:r>
      <w:r w:rsidR="00C05C9C">
        <w:rPr>
          <w:rFonts w:hint="cs"/>
          <w:sz w:val="26"/>
          <w:szCs w:val="26"/>
          <w:rtl/>
          <w:lang w:val="en-US" w:bidi="ar-EG"/>
        </w:rPr>
        <w:t xml:space="preserve"> وتنقيحها في الاجتماع الثمانين</w:t>
      </w:r>
      <w:r w:rsidR="00C05C9C" w:rsidRPr="00010740">
        <w:rPr>
          <w:rStyle w:val="FootnoteReference"/>
          <w:sz w:val="26"/>
          <w:szCs w:val="26"/>
          <w:rtl/>
        </w:rPr>
        <w:footnoteReference w:id="5"/>
      </w:r>
      <w:r w:rsidR="00C05C9C">
        <w:rPr>
          <w:rFonts w:hint="cs"/>
          <w:sz w:val="26"/>
          <w:szCs w:val="26"/>
          <w:rtl/>
          <w:lang w:val="en-US" w:bidi="ar-EG"/>
        </w:rPr>
        <w:t xml:space="preserve">، </w:t>
      </w:r>
      <w:r w:rsidR="00C73D87">
        <w:rPr>
          <w:rFonts w:hint="cs"/>
          <w:sz w:val="26"/>
          <w:szCs w:val="26"/>
          <w:rtl/>
          <w:lang w:val="en-US" w:bidi="ar-EG"/>
        </w:rPr>
        <w:t xml:space="preserve">للوفاء بخفض بنسبة 35 في المائة من خط الأساس بحلول عام 2020، وذلك بتكلفة إجمالية مقدارها </w:t>
      </w:r>
      <w:r w:rsidR="00C73D87">
        <w:rPr>
          <w:sz w:val="26"/>
          <w:szCs w:val="26"/>
          <w:lang w:val="en-US" w:bidi="ar-EG"/>
        </w:rPr>
        <w:t>280,000</w:t>
      </w:r>
      <w:r w:rsidR="00C73D87">
        <w:rPr>
          <w:rFonts w:hint="cs"/>
          <w:sz w:val="26"/>
          <w:szCs w:val="26"/>
          <w:rtl/>
          <w:lang w:val="en-US" w:bidi="ar-EG"/>
        </w:rPr>
        <w:t xml:space="preserve"> دولار أمريكي، زائد تكاليف دعم الوكالة لإزالة </w:t>
      </w:r>
      <w:r w:rsidR="00C73D87">
        <w:rPr>
          <w:sz w:val="26"/>
          <w:szCs w:val="26"/>
          <w:lang w:val="en-US" w:bidi="ar-EG"/>
        </w:rPr>
        <w:t>0.54</w:t>
      </w:r>
      <w:r w:rsidR="00C73D87">
        <w:rPr>
          <w:rFonts w:hint="cs"/>
          <w:sz w:val="26"/>
          <w:szCs w:val="26"/>
          <w:rtl/>
          <w:lang w:val="en-US" w:bidi="ar-EG"/>
        </w:rPr>
        <w:t xml:space="preserve"> طن من قدرات </w:t>
      </w:r>
      <w:r w:rsidR="006142CE">
        <w:rPr>
          <w:rFonts w:hint="cs"/>
          <w:sz w:val="26"/>
          <w:szCs w:val="26"/>
          <w:rtl/>
          <w:lang w:val="en-US" w:bidi="ar-EG"/>
        </w:rPr>
        <w:t>استنفاد</w:t>
      </w:r>
      <w:r w:rsidR="00C73D87">
        <w:rPr>
          <w:rFonts w:hint="cs"/>
          <w:sz w:val="26"/>
          <w:szCs w:val="26"/>
          <w:rtl/>
          <w:lang w:val="en-US" w:bidi="ar-EG"/>
        </w:rPr>
        <w:t xml:space="preserve"> الأوزون من المواد الهيدروكلوروفلوروكربونية المستخدمة في قطاع خدمة التبريد وتكييف الهواء. كما تمت الموافقة على الشريحة الرابعة والأخيرة من المرحلة الأولى في إطار عملية الموافقة بين الدورات للاجتماع الخامس والثمانين في أيار/مايو 2020، وسيتم اكتمال المرحلة الأولى بحلول كانون الأول/ديسمبر 2021.</w:t>
      </w:r>
    </w:p>
    <w:p w14:paraId="49E9A36D" w14:textId="16F12D5F" w:rsidR="00A65B5C" w:rsidRPr="00A65B5C" w:rsidRDefault="00A65B5C" w:rsidP="00A65B5C">
      <w:pPr>
        <w:pStyle w:val="StyleHeader4Para4Left0Firstline0"/>
        <w:numPr>
          <w:ilvl w:val="0"/>
          <w:numId w:val="0"/>
        </w:numPr>
        <w:tabs>
          <w:tab w:val="clear" w:pos="2880"/>
          <w:tab w:val="clear" w:pos="5760"/>
          <w:tab w:val="left" w:pos="720"/>
        </w:tabs>
        <w:bidi/>
        <w:rPr>
          <w:sz w:val="26"/>
          <w:szCs w:val="26"/>
          <w:u w:val="single"/>
          <w:rtl/>
          <w:lang w:val="en-US" w:bidi="ar-EG"/>
        </w:rPr>
      </w:pPr>
      <w:r w:rsidRPr="00A65B5C">
        <w:rPr>
          <w:rFonts w:hint="cs"/>
          <w:sz w:val="26"/>
          <w:szCs w:val="26"/>
          <w:u w:val="single"/>
          <w:rtl/>
          <w:lang w:val="en-US" w:bidi="ar-EG"/>
        </w:rPr>
        <w:t>استهلاك المواد الهيدروكلوروفلوروكربونية</w:t>
      </w:r>
    </w:p>
    <w:p w14:paraId="659C0E3A" w14:textId="541CECC2" w:rsidR="00245558" w:rsidRDefault="00245558" w:rsidP="00245558">
      <w:pPr>
        <w:pStyle w:val="StyleHeader4Para4Left0Firstline0"/>
        <w:numPr>
          <w:ilvl w:val="0"/>
          <w:numId w:val="0"/>
        </w:numPr>
        <w:tabs>
          <w:tab w:val="clear" w:pos="2880"/>
          <w:tab w:val="clear" w:pos="5760"/>
          <w:tab w:val="left" w:pos="720"/>
        </w:tabs>
        <w:bidi/>
        <w:rPr>
          <w:sz w:val="26"/>
          <w:szCs w:val="26"/>
          <w:rtl/>
          <w:lang w:val="en-US" w:bidi="ar-EG"/>
        </w:rPr>
      </w:pPr>
      <w:r>
        <w:rPr>
          <w:rFonts w:hint="cs"/>
          <w:sz w:val="26"/>
          <w:szCs w:val="26"/>
          <w:rtl/>
          <w:lang w:val="en-US" w:bidi="ar-EG"/>
        </w:rPr>
        <w:t>4 -</w:t>
      </w:r>
      <w:r>
        <w:rPr>
          <w:sz w:val="26"/>
          <w:szCs w:val="26"/>
          <w:rtl/>
          <w:lang w:val="en-US" w:bidi="ar-EG"/>
        </w:rPr>
        <w:tab/>
      </w:r>
      <w:r w:rsidR="00C73D87">
        <w:rPr>
          <w:rFonts w:hint="cs"/>
          <w:sz w:val="26"/>
          <w:szCs w:val="26"/>
          <w:rtl/>
          <w:lang w:val="en-US" w:bidi="ar-EG"/>
        </w:rPr>
        <w:t xml:space="preserve">أبلغت حكومة ليسوتو عن استهلاك قدره </w:t>
      </w:r>
      <w:r w:rsidR="00C73D87">
        <w:rPr>
          <w:sz w:val="26"/>
          <w:szCs w:val="26"/>
          <w:lang w:val="en-US" w:bidi="ar-EG"/>
        </w:rPr>
        <w:t>0.46</w:t>
      </w:r>
      <w:r w:rsidR="00C73D87">
        <w:rPr>
          <w:rFonts w:hint="cs"/>
          <w:sz w:val="26"/>
          <w:szCs w:val="26"/>
          <w:rtl/>
          <w:lang w:val="en-US" w:bidi="ar-EG"/>
        </w:rPr>
        <w:t xml:space="preserve"> طن من قدرات </w:t>
      </w:r>
      <w:r w:rsidR="006142CE">
        <w:rPr>
          <w:rFonts w:hint="cs"/>
          <w:sz w:val="26"/>
          <w:szCs w:val="26"/>
          <w:rtl/>
          <w:lang w:val="en-US" w:bidi="ar-EG"/>
        </w:rPr>
        <w:t>استنفاد</w:t>
      </w:r>
      <w:r w:rsidR="00C73D87">
        <w:rPr>
          <w:rFonts w:hint="cs"/>
          <w:sz w:val="26"/>
          <w:szCs w:val="26"/>
          <w:rtl/>
          <w:lang w:val="en-US" w:bidi="ar-EG"/>
        </w:rPr>
        <w:t xml:space="preserve"> الأوزون عام 2020، وهو أقل بنسبة 87 في المائة من خط الأساس للمواد الهيدروكلوروفلوروكربونية للامتثال. ويبين الجدول 1 استهلاك هذه المواد في الفترة 2016-2020.</w:t>
      </w:r>
    </w:p>
    <w:p w14:paraId="5311DB32" w14:textId="4AE3147F" w:rsidR="00A65B5C" w:rsidRDefault="00A65B5C" w:rsidP="00A65B5C">
      <w:pPr>
        <w:pStyle w:val="StyleHeader4Para4Left0Firstline0"/>
        <w:numPr>
          <w:ilvl w:val="0"/>
          <w:numId w:val="0"/>
        </w:numPr>
        <w:tabs>
          <w:tab w:val="clear" w:pos="2880"/>
          <w:tab w:val="clear" w:pos="5760"/>
          <w:tab w:val="left" w:pos="720"/>
        </w:tabs>
        <w:bidi/>
        <w:rPr>
          <w:b/>
          <w:bCs/>
          <w:sz w:val="26"/>
          <w:szCs w:val="26"/>
          <w:rtl/>
          <w:lang w:val="en-US" w:bidi="ar-EG"/>
        </w:rPr>
      </w:pPr>
      <w:r w:rsidRPr="00A65B5C">
        <w:rPr>
          <w:rFonts w:hint="cs"/>
          <w:b/>
          <w:bCs/>
          <w:sz w:val="26"/>
          <w:szCs w:val="26"/>
          <w:rtl/>
          <w:lang w:val="en-US" w:bidi="ar-EG"/>
        </w:rPr>
        <w:t xml:space="preserve">الجدول 1 - استهلاك المواد الهيدروكلوروفلوروكربونية في </w:t>
      </w:r>
      <w:r w:rsidR="00C73D87">
        <w:rPr>
          <w:rFonts w:hint="cs"/>
          <w:b/>
          <w:bCs/>
          <w:sz w:val="26"/>
          <w:szCs w:val="26"/>
          <w:rtl/>
          <w:lang w:val="en-US" w:bidi="ar-EG"/>
        </w:rPr>
        <w:t>ليسوتو</w:t>
      </w:r>
      <w:r w:rsidRPr="00A65B5C">
        <w:rPr>
          <w:rFonts w:hint="cs"/>
          <w:b/>
          <w:bCs/>
          <w:sz w:val="26"/>
          <w:szCs w:val="26"/>
          <w:rtl/>
          <w:lang w:val="en-US" w:bidi="ar-EG"/>
        </w:rPr>
        <w:t xml:space="preserve"> (2016-2020 بيانات المادة 7)</w:t>
      </w:r>
    </w:p>
    <w:tbl>
      <w:tblPr>
        <w:bidiVisual/>
        <w:tblW w:w="5000" w:type="pct"/>
        <w:tblLayout w:type="fixed"/>
        <w:tblLook w:val="04A0" w:firstRow="1" w:lastRow="0" w:firstColumn="1" w:lastColumn="0" w:noHBand="0" w:noVBand="1"/>
      </w:tblPr>
      <w:tblGrid>
        <w:gridCol w:w="3236"/>
        <w:gridCol w:w="1019"/>
        <w:gridCol w:w="1019"/>
        <w:gridCol w:w="1019"/>
        <w:gridCol w:w="1019"/>
        <w:gridCol w:w="1019"/>
        <w:gridCol w:w="1019"/>
      </w:tblGrid>
      <w:tr w:rsidR="00C73D87" w:rsidRPr="000F4708" w14:paraId="078F20B6" w14:textId="77777777" w:rsidTr="00A065D2">
        <w:trPr>
          <w:tblHeader/>
        </w:trPr>
        <w:tc>
          <w:tcPr>
            <w:tcW w:w="1730" w:type="pct"/>
            <w:tcBorders>
              <w:top w:val="single" w:sz="4" w:space="0" w:color="auto"/>
              <w:left w:val="single" w:sz="4" w:space="0" w:color="auto"/>
              <w:bottom w:val="single" w:sz="4" w:space="0" w:color="auto"/>
              <w:right w:val="single" w:sz="4" w:space="0" w:color="auto"/>
            </w:tcBorders>
            <w:shd w:val="clear" w:color="auto" w:fill="auto"/>
            <w:noWrap/>
            <w:tcMar>
              <w:left w:w="115" w:type="dxa"/>
              <w:right w:w="43" w:type="dxa"/>
            </w:tcMar>
            <w:vAlign w:val="center"/>
            <w:hideMark/>
          </w:tcPr>
          <w:p w14:paraId="0F125565" w14:textId="09134297" w:rsidR="00C73D87" w:rsidRPr="000F4708" w:rsidRDefault="00C73D87" w:rsidP="00C73D87">
            <w:pPr>
              <w:bidi/>
              <w:jc w:val="left"/>
              <w:rPr>
                <w:b/>
                <w:bCs/>
                <w:color w:val="000000"/>
                <w:sz w:val="20"/>
                <w:lang w:val="en-CA"/>
              </w:rPr>
            </w:pPr>
            <w:r>
              <w:rPr>
                <w:rFonts w:hint="cs"/>
                <w:b/>
                <w:bCs/>
                <w:color w:val="000000"/>
                <w:sz w:val="20"/>
                <w:rtl/>
                <w:lang w:val="en-CA"/>
              </w:rPr>
              <w:t>المادة</w:t>
            </w:r>
          </w:p>
        </w:tc>
        <w:tc>
          <w:tcPr>
            <w:tcW w:w="545" w:type="pct"/>
            <w:tcBorders>
              <w:top w:val="single" w:sz="4" w:space="0" w:color="auto"/>
              <w:left w:val="nil"/>
              <w:bottom w:val="single" w:sz="4" w:space="0" w:color="auto"/>
              <w:right w:val="single" w:sz="4" w:space="0" w:color="auto"/>
            </w:tcBorders>
            <w:shd w:val="clear" w:color="auto" w:fill="auto"/>
            <w:noWrap/>
            <w:vAlign w:val="center"/>
            <w:hideMark/>
          </w:tcPr>
          <w:p w14:paraId="4D62B020" w14:textId="77777777" w:rsidR="00C73D87" w:rsidRPr="000F4708" w:rsidRDefault="00C73D87" w:rsidP="00C73D87">
            <w:pPr>
              <w:bidi/>
              <w:jc w:val="center"/>
              <w:rPr>
                <w:b/>
                <w:bCs/>
                <w:color w:val="000000"/>
                <w:sz w:val="20"/>
                <w:lang w:val="en-CA"/>
              </w:rPr>
            </w:pPr>
            <w:r w:rsidRPr="000F4708">
              <w:rPr>
                <w:b/>
                <w:bCs/>
                <w:color w:val="000000"/>
                <w:sz w:val="20"/>
                <w:lang w:val="en-CA"/>
              </w:rPr>
              <w:t>2016</w:t>
            </w:r>
          </w:p>
        </w:tc>
        <w:tc>
          <w:tcPr>
            <w:tcW w:w="545" w:type="pct"/>
            <w:tcBorders>
              <w:top w:val="single" w:sz="4" w:space="0" w:color="auto"/>
              <w:left w:val="nil"/>
              <w:bottom w:val="single" w:sz="4" w:space="0" w:color="auto"/>
              <w:right w:val="single" w:sz="4" w:space="0" w:color="auto"/>
            </w:tcBorders>
            <w:shd w:val="clear" w:color="auto" w:fill="auto"/>
            <w:noWrap/>
            <w:vAlign w:val="center"/>
            <w:hideMark/>
          </w:tcPr>
          <w:p w14:paraId="5E0B8A73" w14:textId="77777777" w:rsidR="00C73D87" w:rsidRPr="000F4708" w:rsidRDefault="00C73D87" w:rsidP="00C73D87">
            <w:pPr>
              <w:bidi/>
              <w:jc w:val="center"/>
              <w:rPr>
                <w:b/>
                <w:bCs/>
                <w:color w:val="000000"/>
                <w:sz w:val="20"/>
                <w:lang w:val="en-CA"/>
              </w:rPr>
            </w:pPr>
            <w:r w:rsidRPr="000F4708">
              <w:rPr>
                <w:b/>
                <w:bCs/>
                <w:color w:val="000000"/>
                <w:sz w:val="20"/>
                <w:lang w:val="en-CA"/>
              </w:rPr>
              <w:t>2017</w:t>
            </w:r>
          </w:p>
        </w:tc>
        <w:tc>
          <w:tcPr>
            <w:tcW w:w="545" w:type="pct"/>
            <w:tcBorders>
              <w:top w:val="single" w:sz="4" w:space="0" w:color="auto"/>
              <w:left w:val="nil"/>
              <w:bottom w:val="single" w:sz="4" w:space="0" w:color="auto"/>
              <w:right w:val="single" w:sz="4" w:space="0" w:color="auto"/>
            </w:tcBorders>
          </w:tcPr>
          <w:p w14:paraId="7BCB3AE9" w14:textId="77777777" w:rsidR="00C73D87" w:rsidRPr="000F4708" w:rsidRDefault="00C73D87" w:rsidP="00C73D87">
            <w:pPr>
              <w:bidi/>
              <w:jc w:val="center"/>
              <w:rPr>
                <w:b/>
                <w:bCs/>
                <w:color w:val="000000"/>
                <w:sz w:val="20"/>
                <w:lang w:val="en-CA"/>
              </w:rPr>
            </w:pPr>
            <w:r w:rsidRPr="000F4708">
              <w:rPr>
                <w:b/>
                <w:bCs/>
                <w:color w:val="000000"/>
                <w:sz w:val="20"/>
                <w:lang w:val="en-CA"/>
              </w:rPr>
              <w:t>2018</w:t>
            </w:r>
          </w:p>
        </w:tc>
        <w:tc>
          <w:tcPr>
            <w:tcW w:w="545" w:type="pct"/>
            <w:tcBorders>
              <w:top w:val="single" w:sz="4" w:space="0" w:color="auto"/>
              <w:left w:val="single" w:sz="4" w:space="0" w:color="auto"/>
              <w:bottom w:val="single" w:sz="4" w:space="0" w:color="auto"/>
              <w:right w:val="single" w:sz="4" w:space="0" w:color="auto"/>
            </w:tcBorders>
          </w:tcPr>
          <w:p w14:paraId="3E9FF461" w14:textId="77777777" w:rsidR="00C73D87" w:rsidRPr="000F4708" w:rsidRDefault="00C73D87" w:rsidP="00C73D87">
            <w:pPr>
              <w:bidi/>
              <w:jc w:val="center"/>
              <w:rPr>
                <w:b/>
                <w:bCs/>
                <w:color w:val="000000"/>
                <w:sz w:val="20"/>
                <w:lang w:val="en-CA"/>
              </w:rPr>
            </w:pPr>
            <w:r w:rsidRPr="000F4708">
              <w:rPr>
                <w:b/>
                <w:bCs/>
                <w:color w:val="000000"/>
                <w:sz w:val="20"/>
                <w:lang w:val="en-CA"/>
              </w:rPr>
              <w:t>2019</w:t>
            </w:r>
          </w:p>
        </w:tc>
        <w:tc>
          <w:tcPr>
            <w:tcW w:w="545" w:type="pct"/>
            <w:tcBorders>
              <w:top w:val="single" w:sz="4" w:space="0" w:color="auto"/>
              <w:left w:val="single" w:sz="4" w:space="0" w:color="auto"/>
              <w:bottom w:val="single" w:sz="4" w:space="0" w:color="auto"/>
              <w:right w:val="single" w:sz="4" w:space="0" w:color="auto"/>
            </w:tcBorders>
            <w:vAlign w:val="center"/>
          </w:tcPr>
          <w:p w14:paraId="196F1145" w14:textId="77777777" w:rsidR="00C73D87" w:rsidRPr="000F4708" w:rsidRDefault="00C73D87" w:rsidP="00C73D87">
            <w:pPr>
              <w:bidi/>
              <w:jc w:val="center"/>
              <w:rPr>
                <w:b/>
                <w:bCs/>
                <w:color w:val="000000"/>
                <w:sz w:val="20"/>
                <w:lang w:val="en-CA"/>
              </w:rPr>
            </w:pPr>
            <w:r w:rsidRPr="000F4708">
              <w:rPr>
                <w:b/>
                <w:bCs/>
                <w:color w:val="000000"/>
                <w:sz w:val="20"/>
                <w:lang w:val="en-CA"/>
              </w:rPr>
              <w:t>2020</w:t>
            </w:r>
          </w:p>
        </w:tc>
        <w:tc>
          <w:tcPr>
            <w:tcW w:w="5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F64A59" w14:textId="0C96013A" w:rsidR="00C73D87" w:rsidRPr="000F4708" w:rsidRDefault="00C73D87" w:rsidP="00C73D87">
            <w:pPr>
              <w:bidi/>
              <w:jc w:val="center"/>
              <w:rPr>
                <w:b/>
                <w:bCs/>
                <w:color w:val="000000"/>
                <w:sz w:val="20"/>
                <w:lang w:val="en-CA"/>
              </w:rPr>
            </w:pPr>
            <w:r>
              <w:rPr>
                <w:rFonts w:hint="cs"/>
                <w:b/>
                <w:bCs/>
                <w:color w:val="000000"/>
                <w:sz w:val="20"/>
                <w:rtl/>
                <w:lang w:val="en-CA"/>
              </w:rPr>
              <w:t>خط الأساس</w:t>
            </w:r>
          </w:p>
        </w:tc>
      </w:tr>
      <w:tr w:rsidR="00C73D87" w:rsidRPr="000F4708" w14:paraId="020C7707" w14:textId="77777777" w:rsidTr="00A065D2">
        <w:tc>
          <w:tcPr>
            <w:tcW w:w="1730" w:type="pct"/>
            <w:tcBorders>
              <w:top w:val="nil"/>
              <w:left w:val="single" w:sz="4" w:space="0" w:color="auto"/>
              <w:bottom w:val="single" w:sz="4" w:space="0" w:color="auto"/>
              <w:right w:val="single" w:sz="4" w:space="0" w:color="auto"/>
            </w:tcBorders>
            <w:shd w:val="clear" w:color="auto" w:fill="auto"/>
            <w:noWrap/>
            <w:tcMar>
              <w:left w:w="115" w:type="dxa"/>
              <w:right w:w="43" w:type="dxa"/>
            </w:tcMar>
            <w:vAlign w:val="center"/>
            <w:hideMark/>
          </w:tcPr>
          <w:p w14:paraId="18E69A92" w14:textId="48F29F10" w:rsidR="00C73D87" w:rsidRPr="000F4708" w:rsidRDefault="00C73D87" w:rsidP="00C73D87">
            <w:pPr>
              <w:bidi/>
              <w:jc w:val="left"/>
              <w:rPr>
                <w:b/>
                <w:bCs/>
                <w:color w:val="000000"/>
                <w:sz w:val="20"/>
                <w:lang w:val="en-CA"/>
              </w:rPr>
            </w:pPr>
            <w:r>
              <w:rPr>
                <w:rFonts w:hint="cs"/>
                <w:b/>
                <w:bCs/>
                <w:color w:val="000000"/>
                <w:sz w:val="20"/>
                <w:rtl/>
                <w:lang w:val="en-CA"/>
              </w:rPr>
              <w:t>طن متري</w:t>
            </w:r>
          </w:p>
        </w:tc>
        <w:tc>
          <w:tcPr>
            <w:tcW w:w="545" w:type="pct"/>
            <w:tcBorders>
              <w:top w:val="nil"/>
              <w:left w:val="nil"/>
              <w:bottom w:val="single" w:sz="4" w:space="0" w:color="auto"/>
              <w:right w:val="single" w:sz="4" w:space="0" w:color="auto"/>
            </w:tcBorders>
            <w:shd w:val="clear" w:color="auto" w:fill="auto"/>
            <w:noWrap/>
            <w:vAlign w:val="center"/>
            <w:hideMark/>
          </w:tcPr>
          <w:p w14:paraId="61C48C35" w14:textId="77777777" w:rsidR="00C73D87" w:rsidRPr="000F4708" w:rsidRDefault="00C73D87" w:rsidP="00C73D87">
            <w:pPr>
              <w:bidi/>
              <w:jc w:val="center"/>
              <w:rPr>
                <w:b/>
                <w:bCs/>
                <w:color w:val="000000"/>
                <w:sz w:val="20"/>
                <w:lang w:val="en-CA"/>
              </w:rPr>
            </w:pPr>
          </w:p>
        </w:tc>
        <w:tc>
          <w:tcPr>
            <w:tcW w:w="545" w:type="pct"/>
            <w:tcBorders>
              <w:top w:val="nil"/>
              <w:left w:val="nil"/>
              <w:bottom w:val="single" w:sz="4" w:space="0" w:color="auto"/>
              <w:right w:val="single" w:sz="4" w:space="0" w:color="auto"/>
            </w:tcBorders>
            <w:shd w:val="clear" w:color="auto" w:fill="auto"/>
            <w:noWrap/>
            <w:vAlign w:val="center"/>
            <w:hideMark/>
          </w:tcPr>
          <w:p w14:paraId="4C43BDCC" w14:textId="77777777" w:rsidR="00C73D87" w:rsidRPr="000F4708" w:rsidRDefault="00C73D87" w:rsidP="00C73D87">
            <w:pPr>
              <w:bidi/>
              <w:jc w:val="center"/>
              <w:rPr>
                <w:b/>
                <w:bCs/>
                <w:color w:val="000000"/>
                <w:sz w:val="20"/>
                <w:lang w:val="en-CA"/>
              </w:rPr>
            </w:pPr>
          </w:p>
        </w:tc>
        <w:tc>
          <w:tcPr>
            <w:tcW w:w="545" w:type="pct"/>
            <w:tcBorders>
              <w:top w:val="single" w:sz="4" w:space="0" w:color="auto"/>
              <w:left w:val="nil"/>
              <w:bottom w:val="single" w:sz="4" w:space="0" w:color="auto"/>
              <w:right w:val="single" w:sz="4" w:space="0" w:color="auto"/>
            </w:tcBorders>
          </w:tcPr>
          <w:p w14:paraId="5DD50E34" w14:textId="77777777" w:rsidR="00C73D87" w:rsidRPr="000F4708" w:rsidRDefault="00C73D87" w:rsidP="00C73D87">
            <w:pPr>
              <w:bidi/>
              <w:jc w:val="center"/>
              <w:rPr>
                <w:b/>
                <w:bCs/>
                <w:color w:val="000000"/>
                <w:sz w:val="20"/>
                <w:lang w:val="en-CA"/>
              </w:rPr>
            </w:pPr>
          </w:p>
        </w:tc>
        <w:tc>
          <w:tcPr>
            <w:tcW w:w="545" w:type="pct"/>
            <w:tcBorders>
              <w:top w:val="nil"/>
              <w:left w:val="single" w:sz="4" w:space="0" w:color="auto"/>
              <w:bottom w:val="single" w:sz="4" w:space="0" w:color="auto"/>
              <w:right w:val="single" w:sz="4" w:space="0" w:color="auto"/>
            </w:tcBorders>
          </w:tcPr>
          <w:p w14:paraId="518ECB96" w14:textId="77777777" w:rsidR="00C73D87" w:rsidRPr="000F4708" w:rsidRDefault="00C73D87" w:rsidP="00C73D87">
            <w:pPr>
              <w:bidi/>
              <w:jc w:val="center"/>
              <w:rPr>
                <w:b/>
                <w:bCs/>
                <w:color w:val="000000"/>
                <w:sz w:val="20"/>
                <w:lang w:val="en-CA"/>
              </w:rPr>
            </w:pPr>
          </w:p>
        </w:tc>
        <w:tc>
          <w:tcPr>
            <w:tcW w:w="545" w:type="pct"/>
            <w:tcBorders>
              <w:top w:val="nil"/>
              <w:left w:val="single" w:sz="4" w:space="0" w:color="auto"/>
              <w:bottom w:val="single" w:sz="4" w:space="0" w:color="auto"/>
              <w:right w:val="single" w:sz="4" w:space="0" w:color="auto"/>
            </w:tcBorders>
            <w:vAlign w:val="center"/>
          </w:tcPr>
          <w:p w14:paraId="6E252C81" w14:textId="77777777" w:rsidR="00C73D87" w:rsidRPr="000F4708" w:rsidRDefault="00C73D87" w:rsidP="00C73D87">
            <w:pPr>
              <w:bidi/>
              <w:jc w:val="center"/>
              <w:rPr>
                <w:b/>
                <w:bCs/>
                <w:color w:val="000000"/>
                <w:sz w:val="20"/>
                <w:lang w:val="en-CA"/>
              </w:rPr>
            </w:pPr>
          </w:p>
        </w:tc>
        <w:tc>
          <w:tcPr>
            <w:tcW w:w="545" w:type="pct"/>
            <w:tcBorders>
              <w:top w:val="nil"/>
              <w:left w:val="single" w:sz="4" w:space="0" w:color="auto"/>
              <w:bottom w:val="single" w:sz="4" w:space="0" w:color="auto"/>
              <w:right w:val="single" w:sz="4" w:space="0" w:color="auto"/>
            </w:tcBorders>
            <w:shd w:val="clear" w:color="auto" w:fill="auto"/>
            <w:noWrap/>
            <w:vAlign w:val="center"/>
            <w:hideMark/>
          </w:tcPr>
          <w:p w14:paraId="23294A19" w14:textId="77777777" w:rsidR="00C73D87" w:rsidRPr="000F4708" w:rsidRDefault="00C73D87" w:rsidP="00C73D87">
            <w:pPr>
              <w:bidi/>
              <w:jc w:val="center"/>
              <w:rPr>
                <w:b/>
                <w:bCs/>
                <w:color w:val="000000"/>
                <w:sz w:val="20"/>
                <w:lang w:val="en-CA"/>
              </w:rPr>
            </w:pPr>
          </w:p>
        </w:tc>
      </w:tr>
      <w:tr w:rsidR="00C73D87" w:rsidRPr="000F4708" w14:paraId="5DB40B65" w14:textId="77777777" w:rsidTr="00A065D2">
        <w:tc>
          <w:tcPr>
            <w:tcW w:w="1730" w:type="pct"/>
            <w:tcBorders>
              <w:top w:val="nil"/>
              <w:left w:val="single" w:sz="4" w:space="0" w:color="auto"/>
              <w:bottom w:val="single" w:sz="4" w:space="0" w:color="auto"/>
              <w:right w:val="single" w:sz="4" w:space="0" w:color="auto"/>
            </w:tcBorders>
            <w:shd w:val="clear" w:color="auto" w:fill="auto"/>
            <w:noWrap/>
            <w:vAlign w:val="center"/>
            <w:hideMark/>
          </w:tcPr>
          <w:p w14:paraId="333F0822" w14:textId="39F9F1B2" w:rsidR="00C73D87" w:rsidRPr="000F4708" w:rsidRDefault="00C73D87" w:rsidP="00C73D87">
            <w:pPr>
              <w:bidi/>
              <w:jc w:val="left"/>
              <w:rPr>
                <w:color w:val="000000"/>
                <w:sz w:val="20"/>
                <w:lang w:val="en-CA"/>
              </w:rPr>
            </w:pPr>
            <w:r>
              <w:rPr>
                <w:rFonts w:hint="cs"/>
                <w:color w:val="000000"/>
                <w:sz w:val="20"/>
                <w:rtl/>
                <w:lang w:val="en-CA"/>
              </w:rPr>
              <w:t>الهيدروكلوروفلوروكربون-22</w:t>
            </w:r>
          </w:p>
        </w:tc>
        <w:tc>
          <w:tcPr>
            <w:tcW w:w="545" w:type="pct"/>
            <w:tcBorders>
              <w:top w:val="nil"/>
              <w:left w:val="nil"/>
              <w:bottom w:val="single" w:sz="4" w:space="0" w:color="auto"/>
              <w:right w:val="single" w:sz="4" w:space="0" w:color="auto"/>
            </w:tcBorders>
            <w:shd w:val="clear" w:color="auto" w:fill="auto"/>
            <w:noWrap/>
            <w:vAlign w:val="bottom"/>
          </w:tcPr>
          <w:p w14:paraId="1427C9DD" w14:textId="77777777" w:rsidR="00C73D87" w:rsidRPr="000F4708" w:rsidRDefault="00C73D87" w:rsidP="00C73D87">
            <w:pPr>
              <w:ind w:right="110"/>
              <w:jc w:val="right"/>
              <w:rPr>
                <w:color w:val="000000"/>
                <w:sz w:val="20"/>
                <w:lang w:val="en-CA"/>
              </w:rPr>
            </w:pPr>
            <w:r w:rsidRPr="000F4708">
              <w:rPr>
                <w:color w:val="000000"/>
                <w:sz w:val="20"/>
                <w:lang w:val="en-CA"/>
              </w:rPr>
              <w:t>12.77</w:t>
            </w:r>
          </w:p>
        </w:tc>
        <w:tc>
          <w:tcPr>
            <w:tcW w:w="545" w:type="pct"/>
            <w:tcBorders>
              <w:top w:val="nil"/>
              <w:left w:val="nil"/>
              <w:bottom w:val="single" w:sz="4" w:space="0" w:color="auto"/>
              <w:right w:val="single" w:sz="4" w:space="0" w:color="auto"/>
            </w:tcBorders>
            <w:shd w:val="clear" w:color="auto" w:fill="auto"/>
            <w:noWrap/>
            <w:vAlign w:val="bottom"/>
          </w:tcPr>
          <w:p w14:paraId="5577CEAB" w14:textId="77777777" w:rsidR="00C73D87" w:rsidRPr="000F4708" w:rsidRDefault="00C73D87" w:rsidP="00C73D87">
            <w:pPr>
              <w:ind w:right="110"/>
              <w:jc w:val="right"/>
              <w:rPr>
                <w:color w:val="000000"/>
                <w:sz w:val="20"/>
                <w:lang w:val="en-CA"/>
              </w:rPr>
            </w:pPr>
            <w:r w:rsidRPr="000F4708">
              <w:rPr>
                <w:color w:val="000000"/>
                <w:sz w:val="20"/>
                <w:lang w:val="en-CA"/>
              </w:rPr>
              <w:t>12.69</w:t>
            </w:r>
          </w:p>
        </w:tc>
        <w:tc>
          <w:tcPr>
            <w:tcW w:w="545" w:type="pct"/>
            <w:tcBorders>
              <w:top w:val="single" w:sz="4" w:space="0" w:color="auto"/>
              <w:left w:val="nil"/>
              <w:bottom w:val="single" w:sz="4" w:space="0" w:color="auto"/>
              <w:right w:val="single" w:sz="4" w:space="0" w:color="auto"/>
            </w:tcBorders>
            <w:vAlign w:val="bottom"/>
          </w:tcPr>
          <w:p w14:paraId="7040567A" w14:textId="77777777" w:rsidR="00C73D87" w:rsidRPr="000F4708" w:rsidRDefault="00C73D87" w:rsidP="00C73D87">
            <w:pPr>
              <w:ind w:right="100"/>
              <w:jc w:val="right"/>
              <w:rPr>
                <w:color w:val="000000"/>
                <w:sz w:val="20"/>
                <w:lang w:val="en-CA"/>
              </w:rPr>
            </w:pPr>
            <w:r w:rsidRPr="000F4708">
              <w:rPr>
                <w:color w:val="000000"/>
                <w:sz w:val="20"/>
                <w:lang w:val="en-CA"/>
              </w:rPr>
              <w:t>11.45</w:t>
            </w:r>
          </w:p>
        </w:tc>
        <w:tc>
          <w:tcPr>
            <w:tcW w:w="545" w:type="pct"/>
            <w:tcBorders>
              <w:top w:val="nil"/>
              <w:left w:val="single" w:sz="4" w:space="0" w:color="auto"/>
              <w:bottom w:val="single" w:sz="4" w:space="0" w:color="auto"/>
              <w:right w:val="single" w:sz="4" w:space="0" w:color="auto"/>
            </w:tcBorders>
          </w:tcPr>
          <w:p w14:paraId="6F4276C9" w14:textId="77777777" w:rsidR="00C73D87" w:rsidRPr="000F4708" w:rsidRDefault="00C73D87" w:rsidP="00C73D87">
            <w:pPr>
              <w:ind w:right="90"/>
              <w:jc w:val="right"/>
              <w:rPr>
                <w:color w:val="000000"/>
                <w:sz w:val="20"/>
                <w:lang w:val="en-CA"/>
              </w:rPr>
            </w:pPr>
            <w:r w:rsidRPr="000F4708">
              <w:rPr>
                <w:color w:val="000000"/>
                <w:sz w:val="20"/>
                <w:lang w:val="en-CA"/>
              </w:rPr>
              <w:t>10.27</w:t>
            </w:r>
          </w:p>
        </w:tc>
        <w:tc>
          <w:tcPr>
            <w:tcW w:w="545" w:type="pct"/>
            <w:tcBorders>
              <w:top w:val="nil"/>
              <w:left w:val="single" w:sz="4" w:space="0" w:color="auto"/>
              <w:bottom w:val="single" w:sz="4" w:space="0" w:color="auto"/>
              <w:right w:val="single" w:sz="4" w:space="0" w:color="auto"/>
            </w:tcBorders>
            <w:vAlign w:val="bottom"/>
          </w:tcPr>
          <w:p w14:paraId="63D3EF95" w14:textId="77777777" w:rsidR="00C73D87" w:rsidRPr="000F4708" w:rsidRDefault="00C73D87" w:rsidP="00C73D87">
            <w:pPr>
              <w:jc w:val="right"/>
              <w:rPr>
                <w:color w:val="000000"/>
                <w:sz w:val="20"/>
                <w:lang w:val="en-CA"/>
              </w:rPr>
            </w:pPr>
            <w:r w:rsidRPr="000F4708">
              <w:rPr>
                <w:color w:val="000000"/>
                <w:sz w:val="20"/>
                <w:lang w:val="en-CA"/>
              </w:rPr>
              <w:t>8.34</w:t>
            </w:r>
          </w:p>
        </w:tc>
        <w:tc>
          <w:tcPr>
            <w:tcW w:w="545" w:type="pct"/>
            <w:tcBorders>
              <w:top w:val="nil"/>
              <w:left w:val="single" w:sz="4" w:space="0" w:color="auto"/>
              <w:bottom w:val="single" w:sz="4" w:space="0" w:color="auto"/>
              <w:right w:val="single" w:sz="4" w:space="0" w:color="auto"/>
            </w:tcBorders>
            <w:shd w:val="clear" w:color="auto" w:fill="auto"/>
            <w:noWrap/>
            <w:vAlign w:val="center"/>
          </w:tcPr>
          <w:p w14:paraId="549B1CFD" w14:textId="77777777" w:rsidR="00C73D87" w:rsidRPr="000F4708" w:rsidRDefault="00C73D87" w:rsidP="00C73D87">
            <w:pPr>
              <w:ind w:right="70"/>
              <w:jc w:val="right"/>
              <w:rPr>
                <w:color w:val="000000"/>
                <w:sz w:val="20"/>
                <w:lang w:val="en-CA"/>
              </w:rPr>
            </w:pPr>
            <w:r w:rsidRPr="000F4708">
              <w:rPr>
                <w:color w:val="000000"/>
                <w:sz w:val="20"/>
                <w:lang w:val="en-CA"/>
              </w:rPr>
              <w:t>62.70</w:t>
            </w:r>
          </w:p>
        </w:tc>
      </w:tr>
      <w:tr w:rsidR="00C73D87" w:rsidRPr="000F4708" w14:paraId="546C319D" w14:textId="77777777" w:rsidTr="00A065D2">
        <w:tc>
          <w:tcPr>
            <w:tcW w:w="1730" w:type="pct"/>
            <w:tcBorders>
              <w:top w:val="nil"/>
              <w:left w:val="single" w:sz="4" w:space="0" w:color="auto"/>
              <w:bottom w:val="single" w:sz="4" w:space="0" w:color="auto"/>
              <w:right w:val="single" w:sz="4" w:space="0" w:color="auto"/>
            </w:tcBorders>
            <w:shd w:val="clear" w:color="auto" w:fill="auto"/>
            <w:noWrap/>
            <w:tcMar>
              <w:left w:w="115" w:type="dxa"/>
              <w:right w:w="43" w:type="dxa"/>
            </w:tcMar>
            <w:vAlign w:val="center"/>
          </w:tcPr>
          <w:p w14:paraId="5F261AB3" w14:textId="2130E075" w:rsidR="00C73D87" w:rsidRPr="000F4708" w:rsidRDefault="00C73D87" w:rsidP="007817AE">
            <w:pPr>
              <w:bidi/>
              <w:jc w:val="left"/>
              <w:rPr>
                <w:color w:val="000000"/>
                <w:sz w:val="20"/>
                <w:lang w:val="en-CA"/>
              </w:rPr>
            </w:pPr>
            <w:r>
              <w:rPr>
                <w:rFonts w:hint="cs"/>
                <w:color w:val="000000"/>
                <w:sz w:val="20"/>
                <w:rtl/>
                <w:lang w:val="en-CA"/>
              </w:rPr>
              <w:t>الهيدروكلوروفلوروكربون-142ب*</w:t>
            </w:r>
          </w:p>
        </w:tc>
        <w:tc>
          <w:tcPr>
            <w:tcW w:w="545" w:type="pct"/>
            <w:tcBorders>
              <w:top w:val="nil"/>
              <w:left w:val="nil"/>
              <w:bottom w:val="single" w:sz="4" w:space="0" w:color="auto"/>
              <w:right w:val="single" w:sz="4" w:space="0" w:color="auto"/>
            </w:tcBorders>
            <w:shd w:val="clear" w:color="auto" w:fill="auto"/>
            <w:noWrap/>
            <w:tcMar>
              <w:left w:w="115" w:type="dxa"/>
              <w:right w:w="202" w:type="dxa"/>
            </w:tcMar>
            <w:vAlign w:val="bottom"/>
          </w:tcPr>
          <w:p w14:paraId="53DB2C47" w14:textId="77777777" w:rsidR="00C73D87" w:rsidRPr="000F4708" w:rsidRDefault="00C73D87" w:rsidP="00C73D87">
            <w:pPr>
              <w:jc w:val="right"/>
              <w:rPr>
                <w:color w:val="000000"/>
                <w:sz w:val="20"/>
                <w:lang w:val="en-CA"/>
              </w:rPr>
            </w:pPr>
            <w:r w:rsidRPr="000F4708">
              <w:rPr>
                <w:color w:val="000000"/>
                <w:sz w:val="20"/>
                <w:lang w:val="en-CA"/>
              </w:rPr>
              <w:t>0.07</w:t>
            </w:r>
          </w:p>
        </w:tc>
        <w:tc>
          <w:tcPr>
            <w:tcW w:w="545" w:type="pct"/>
            <w:tcBorders>
              <w:top w:val="nil"/>
              <w:left w:val="nil"/>
              <w:bottom w:val="single" w:sz="4" w:space="0" w:color="auto"/>
              <w:right w:val="single" w:sz="4" w:space="0" w:color="auto"/>
            </w:tcBorders>
            <w:shd w:val="clear" w:color="auto" w:fill="auto"/>
            <w:noWrap/>
            <w:tcMar>
              <w:left w:w="115" w:type="dxa"/>
              <w:right w:w="202" w:type="dxa"/>
            </w:tcMar>
            <w:vAlign w:val="bottom"/>
          </w:tcPr>
          <w:p w14:paraId="1A3E852C" w14:textId="77777777" w:rsidR="00C73D87" w:rsidRPr="000F4708" w:rsidRDefault="00C73D87" w:rsidP="00C73D87">
            <w:pPr>
              <w:jc w:val="right"/>
              <w:rPr>
                <w:color w:val="000000"/>
                <w:sz w:val="20"/>
                <w:lang w:val="en-CA"/>
              </w:rPr>
            </w:pPr>
            <w:r w:rsidRPr="000F4708">
              <w:rPr>
                <w:color w:val="000000"/>
                <w:sz w:val="20"/>
                <w:lang w:val="en-CA"/>
              </w:rPr>
              <w:t>0.08</w:t>
            </w:r>
          </w:p>
        </w:tc>
        <w:tc>
          <w:tcPr>
            <w:tcW w:w="545" w:type="pct"/>
            <w:tcBorders>
              <w:top w:val="single" w:sz="4" w:space="0" w:color="auto"/>
              <w:left w:val="nil"/>
              <w:bottom w:val="single" w:sz="4" w:space="0" w:color="auto"/>
              <w:right w:val="single" w:sz="4" w:space="0" w:color="auto"/>
            </w:tcBorders>
            <w:tcMar>
              <w:left w:w="115" w:type="dxa"/>
              <w:right w:w="202" w:type="dxa"/>
            </w:tcMar>
            <w:vAlign w:val="bottom"/>
          </w:tcPr>
          <w:p w14:paraId="6B87B99B" w14:textId="77777777" w:rsidR="00C73D87" w:rsidRPr="000F4708" w:rsidRDefault="00C73D87" w:rsidP="00C73D87">
            <w:pPr>
              <w:jc w:val="right"/>
              <w:rPr>
                <w:color w:val="000000"/>
                <w:sz w:val="20"/>
                <w:lang w:val="en-CA"/>
              </w:rPr>
            </w:pPr>
            <w:r w:rsidRPr="000F4708">
              <w:rPr>
                <w:color w:val="000000"/>
                <w:sz w:val="20"/>
                <w:lang w:val="en-CA"/>
              </w:rPr>
              <w:t>0.01</w:t>
            </w:r>
          </w:p>
        </w:tc>
        <w:tc>
          <w:tcPr>
            <w:tcW w:w="545" w:type="pct"/>
            <w:tcBorders>
              <w:top w:val="nil"/>
              <w:left w:val="single" w:sz="4" w:space="0" w:color="auto"/>
              <w:bottom w:val="single" w:sz="4" w:space="0" w:color="auto"/>
              <w:right w:val="single" w:sz="4" w:space="0" w:color="auto"/>
            </w:tcBorders>
            <w:tcMar>
              <w:left w:w="115" w:type="dxa"/>
              <w:right w:w="202" w:type="dxa"/>
            </w:tcMar>
          </w:tcPr>
          <w:p w14:paraId="50E85A3B" w14:textId="77777777" w:rsidR="00C73D87" w:rsidRPr="000F4708" w:rsidRDefault="00C73D87" w:rsidP="00C73D87">
            <w:pPr>
              <w:jc w:val="right"/>
              <w:rPr>
                <w:color w:val="000000"/>
                <w:sz w:val="20"/>
                <w:lang w:val="en-CA"/>
              </w:rPr>
            </w:pPr>
            <w:r w:rsidRPr="000F4708">
              <w:rPr>
                <w:color w:val="000000"/>
                <w:sz w:val="20"/>
                <w:lang w:val="en-CA"/>
              </w:rPr>
              <w:t>0.00</w:t>
            </w:r>
          </w:p>
        </w:tc>
        <w:tc>
          <w:tcPr>
            <w:tcW w:w="545" w:type="pct"/>
            <w:tcBorders>
              <w:top w:val="nil"/>
              <w:left w:val="single" w:sz="4" w:space="0" w:color="auto"/>
              <w:bottom w:val="single" w:sz="4" w:space="0" w:color="auto"/>
              <w:right w:val="single" w:sz="4" w:space="0" w:color="auto"/>
            </w:tcBorders>
            <w:vAlign w:val="bottom"/>
          </w:tcPr>
          <w:p w14:paraId="7CDA6B10" w14:textId="77777777" w:rsidR="00C73D87" w:rsidRPr="000F4708" w:rsidRDefault="00C73D87" w:rsidP="00C73D87">
            <w:pPr>
              <w:jc w:val="right"/>
              <w:rPr>
                <w:color w:val="000000"/>
                <w:sz w:val="20"/>
                <w:lang w:val="en-CA"/>
              </w:rPr>
            </w:pPr>
            <w:r w:rsidRPr="000F4708">
              <w:rPr>
                <w:color w:val="000000"/>
                <w:sz w:val="20"/>
                <w:lang w:val="en-CA"/>
              </w:rPr>
              <w:t>0.00</w:t>
            </w:r>
          </w:p>
        </w:tc>
        <w:tc>
          <w:tcPr>
            <w:tcW w:w="545" w:type="pct"/>
            <w:tcBorders>
              <w:top w:val="nil"/>
              <w:left w:val="single" w:sz="4" w:space="0" w:color="auto"/>
              <w:bottom w:val="single" w:sz="4" w:space="0" w:color="auto"/>
              <w:right w:val="single" w:sz="4" w:space="0" w:color="auto"/>
            </w:tcBorders>
            <w:shd w:val="clear" w:color="auto" w:fill="auto"/>
            <w:noWrap/>
            <w:tcMar>
              <w:left w:w="115" w:type="dxa"/>
              <w:right w:w="202" w:type="dxa"/>
            </w:tcMar>
            <w:vAlign w:val="center"/>
          </w:tcPr>
          <w:p w14:paraId="624A38A6" w14:textId="77777777" w:rsidR="00C73D87" w:rsidRPr="000F4708" w:rsidRDefault="00C73D87" w:rsidP="00C73D87">
            <w:pPr>
              <w:jc w:val="right"/>
              <w:rPr>
                <w:color w:val="000000"/>
                <w:sz w:val="20"/>
                <w:lang w:val="en-CA"/>
              </w:rPr>
            </w:pPr>
            <w:r w:rsidRPr="000F4708">
              <w:rPr>
                <w:color w:val="000000"/>
                <w:sz w:val="20"/>
                <w:lang w:val="en-CA"/>
              </w:rPr>
              <w:t>0.00</w:t>
            </w:r>
          </w:p>
        </w:tc>
      </w:tr>
      <w:tr w:rsidR="00C73D87" w:rsidRPr="000F4708" w14:paraId="779768C7" w14:textId="77777777" w:rsidTr="00A065D2">
        <w:tc>
          <w:tcPr>
            <w:tcW w:w="1730" w:type="pct"/>
            <w:tcBorders>
              <w:top w:val="nil"/>
              <w:left w:val="single" w:sz="4" w:space="0" w:color="auto"/>
              <w:bottom w:val="single" w:sz="4" w:space="0" w:color="auto"/>
              <w:right w:val="single" w:sz="4" w:space="0" w:color="auto"/>
            </w:tcBorders>
            <w:shd w:val="clear" w:color="auto" w:fill="auto"/>
            <w:noWrap/>
            <w:tcMar>
              <w:left w:w="115" w:type="dxa"/>
              <w:right w:w="43" w:type="dxa"/>
            </w:tcMar>
          </w:tcPr>
          <w:p w14:paraId="55B830CC" w14:textId="524B48EA" w:rsidR="00C73D87" w:rsidRPr="00C73D87" w:rsidRDefault="00C73D87" w:rsidP="007817AE">
            <w:pPr>
              <w:bidi/>
              <w:jc w:val="left"/>
              <w:rPr>
                <w:rFonts w:eastAsiaTheme="minorHAnsi"/>
                <w:bCs/>
                <w:color w:val="000000"/>
                <w:sz w:val="20"/>
                <w:lang w:val="en-CA"/>
              </w:rPr>
            </w:pPr>
            <w:r w:rsidRPr="00C73D87">
              <w:rPr>
                <w:rFonts w:eastAsiaTheme="minorHAnsi" w:hint="cs"/>
                <w:bCs/>
                <w:color w:val="000000"/>
                <w:sz w:val="20"/>
                <w:rtl/>
                <w:lang w:val="en-CA"/>
              </w:rPr>
              <w:t>المجموع (طن متري)</w:t>
            </w:r>
          </w:p>
        </w:tc>
        <w:tc>
          <w:tcPr>
            <w:tcW w:w="545" w:type="pct"/>
            <w:tcBorders>
              <w:top w:val="nil"/>
              <w:left w:val="nil"/>
              <w:bottom w:val="single" w:sz="4" w:space="0" w:color="auto"/>
              <w:right w:val="single" w:sz="4" w:space="0" w:color="auto"/>
            </w:tcBorders>
            <w:shd w:val="clear" w:color="auto" w:fill="auto"/>
            <w:noWrap/>
            <w:tcMar>
              <w:left w:w="115" w:type="dxa"/>
              <w:right w:w="202" w:type="dxa"/>
            </w:tcMar>
            <w:vAlign w:val="bottom"/>
          </w:tcPr>
          <w:p w14:paraId="1634D702" w14:textId="77777777" w:rsidR="00C73D87" w:rsidRPr="000F4708" w:rsidRDefault="00C73D87" w:rsidP="00C73D87">
            <w:pPr>
              <w:jc w:val="right"/>
              <w:rPr>
                <w:b/>
                <w:color w:val="000000"/>
                <w:sz w:val="20"/>
                <w:lang w:val="en-CA"/>
              </w:rPr>
            </w:pPr>
            <w:r w:rsidRPr="000F4708">
              <w:rPr>
                <w:b/>
                <w:color w:val="000000"/>
                <w:sz w:val="20"/>
                <w:lang w:val="en-CA"/>
              </w:rPr>
              <w:t>12.84</w:t>
            </w:r>
          </w:p>
        </w:tc>
        <w:tc>
          <w:tcPr>
            <w:tcW w:w="545" w:type="pct"/>
            <w:tcBorders>
              <w:top w:val="nil"/>
              <w:left w:val="nil"/>
              <w:bottom w:val="single" w:sz="4" w:space="0" w:color="auto"/>
              <w:right w:val="single" w:sz="4" w:space="0" w:color="auto"/>
            </w:tcBorders>
            <w:shd w:val="clear" w:color="auto" w:fill="auto"/>
            <w:noWrap/>
            <w:tcMar>
              <w:left w:w="115" w:type="dxa"/>
              <w:right w:w="202" w:type="dxa"/>
            </w:tcMar>
            <w:vAlign w:val="bottom"/>
          </w:tcPr>
          <w:p w14:paraId="0429137D" w14:textId="77777777" w:rsidR="00C73D87" w:rsidRPr="000F4708" w:rsidRDefault="00C73D87" w:rsidP="00C73D87">
            <w:pPr>
              <w:jc w:val="right"/>
              <w:rPr>
                <w:b/>
                <w:color w:val="000000"/>
                <w:sz w:val="20"/>
                <w:lang w:val="en-CA"/>
              </w:rPr>
            </w:pPr>
            <w:r w:rsidRPr="000F4708">
              <w:rPr>
                <w:b/>
                <w:color w:val="000000"/>
                <w:sz w:val="20"/>
                <w:lang w:val="en-CA"/>
              </w:rPr>
              <w:t>12.77</w:t>
            </w:r>
          </w:p>
        </w:tc>
        <w:tc>
          <w:tcPr>
            <w:tcW w:w="545" w:type="pct"/>
            <w:tcBorders>
              <w:top w:val="single" w:sz="4" w:space="0" w:color="auto"/>
              <w:left w:val="nil"/>
              <w:bottom w:val="single" w:sz="4" w:space="0" w:color="auto"/>
              <w:right w:val="single" w:sz="4" w:space="0" w:color="auto"/>
            </w:tcBorders>
            <w:tcMar>
              <w:left w:w="115" w:type="dxa"/>
              <w:right w:w="202" w:type="dxa"/>
            </w:tcMar>
            <w:vAlign w:val="bottom"/>
          </w:tcPr>
          <w:p w14:paraId="36DD58E2" w14:textId="77777777" w:rsidR="00C73D87" w:rsidRPr="000F4708" w:rsidRDefault="00C73D87" w:rsidP="00C73D87">
            <w:pPr>
              <w:jc w:val="right"/>
              <w:rPr>
                <w:b/>
                <w:color w:val="000000"/>
                <w:sz w:val="20"/>
                <w:lang w:val="en-CA"/>
              </w:rPr>
            </w:pPr>
            <w:r w:rsidRPr="000F4708">
              <w:rPr>
                <w:b/>
                <w:color w:val="000000"/>
                <w:sz w:val="20"/>
                <w:lang w:val="en-CA"/>
              </w:rPr>
              <w:t>11.46</w:t>
            </w:r>
          </w:p>
        </w:tc>
        <w:tc>
          <w:tcPr>
            <w:tcW w:w="545" w:type="pct"/>
            <w:tcBorders>
              <w:top w:val="nil"/>
              <w:left w:val="single" w:sz="4" w:space="0" w:color="auto"/>
              <w:bottom w:val="single" w:sz="4" w:space="0" w:color="auto"/>
              <w:right w:val="single" w:sz="4" w:space="0" w:color="auto"/>
            </w:tcBorders>
            <w:tcMar>
              <w:left w:w="115" w:type="dxa"/>
              <w:right w:w="202" w:type="dxa"/>
            </w:tcMar>
          </w:tcPr>
          <w:p w14:paraId="64A7B1F6" w14:textId="77777777" w:rsidR="00C73D87" w:rsidRPr="000F4708" w:rsidRDefault="00C73D87" w:rsidP="00C73D87">
            <w:pPr>
              <w:jc w:val="right"/>
              <w:rPr>
                <w:b/>
                <w:color w:val="000000"/>
                <w:sz w:val="20"/>
                <w:lang w:val="en-CA"/>
              </w:rPr>
            </w:pPr>
            <w:r w:rsidRPr="000F4708">
              <w:rPr>
                <w:b/>
                <w:color w:val="000000"/>
                <w:sz w:val="20"/>
                <w:lang w:val="en-CA"/>
              </w:rPr>
              <w:t>10.27</w:t>
            </w:r>
          </w:p>
        </w:tc>
        <w:tc>
          <w:tcPr>
            <w:tcW w:w="545" w:type="pct"/>
            <w:tcBorders>
              <w:top w:val="nil"/>
              <w:left w:val="single" w:sz="4" w:space="0" w:color="auto"/>
              <w:bottom w:val="single" w:sz="4" w:space="0" w:color="auto"/>
              <w:right w:val="single" w:sz="4" w:space="0" w:color="auto"/>
            </w:tcBorders>
            <w:vAlign w:val="center"/>
          </w:tcPr>
          <w:p w14:paraId="10631EBC" w14:textId="77777777" w:rsidR="00C73D87" w:rsidRPr="000F4708" w:rsidRDefault="00C73D87" w:rsidP="00C73D87">
            <w:pPr>
              <w:jc w:val="right"/>
              <w:rPr>
                <w:b/>
                <w:color w:val="000000"/>
                <w:sz w:val="20"/>
                <w:lang w:val="en-CA"/>
              </w:rPr>
            </w:pPr>
            <w:r w:rsidRPr="000F4708">
              <w:rPr>
                <w:b/>
                <w:color w:val="000000"/>
                <w:sz w:val="20"/>
                <w:lang w:val="en-CA"/>
              </w:rPr>
              <w:t>8.34</w:t>
            </w:r>
          </w:p>
        </w:tc>
        <w:tc>
          <w:tcPr>
            <w:tcW w:w="545" w:type="pct"/>
            <w:tcBorders>
              <w:top w:val="nil"/>
              <w:left w:val="single" w:sz="4" w:space="0" w:color="auto"/>
              <w:bottom w:val="single" w:sz="4" w:space="0" w:color="auto"/>
              <w:right w:val="single" w:sz="4" w:space="0" w:color="auto"/>
            </w:tcBorders>
            <w:shd w:val="clear" w:color="auto" w:fill="auto"/>
            <w:noWrap/>
            <w:tcMar>
              <w:left w:w="115" w:type="dxa"/>
              <w:right w:w="202" w:type="dxa"/>
            </w:tcMar>
            <w:vAlign w:val="center"/>
          </w:tcPr>
          <w:p w14:paraId="459EC925" w14:textId="77777777" w:rsidR="00C73D87" w:rsidRPr="000F4708" w:rsidRDefault="00C73D87" w:rsidP="00C73D87">
            <w:pPr>
              <w:jc w:val="right"/>
              <w:rPr>
                <w:b/>
                <w:color w:val="000000"/>
                <w:sz w:val="20"/>
                <w:lang w:val="en-CA"/>
              </w:rPr>
            </w:pPr>
            <w:r w:rsidRPr="000F4708">
              <w:rPr>
                <w:b/>
                <w:color w:val="000000"/>
                <w:sz w:val="20"/>
                <w:lang w:val="en-CA"/>
              </w:rPr>
              <w:t>62.70</w:t>
            </w:r>
          </w:p>
        </w:tc>
      </w:tr>
      <w:tr w:rsidR="00C73D87" w:rsidRPr="000F4708" w14:paraId="1FE0E80F" w14:textId="77777777" w:rsidTr="00A065D2">
        <w:tc>
          <w:tcPr>
            <w:tcW w:w="1730" w:type="pct"/>
            <w:tcBorders>
              <w:top w:val="single" w:sz="4" w:space="0" w:color="auto"/>
              <w:left w:val="single" w:sz="4" w:space="0" w:color="auto"/>
              <w:bottom w:val="single" w:sz="4" w:space="0" w:color="auto"/>
              <w:right w:val="single" w:sz="4" w:space="0" w:color="auto"/>
            </w:tcBorders>
            <w:shd w:val="clear" w:color="auto" w:fill="auto"/>
            <w:noWrap/>
            <w:tcMar>
              <w:left w:w="115" w:type="dxa"/>
              <w:right w:w="43" w:type="dxa"/>
            </w:tcMar>
            <w:vAlign w:val="center"/>
          </w:tcPr>
          <w:p w14:paraId="069BA06B" w14:textId="2AB783D3" w:rsidR="00C73D87" w:rsidRPr="000F4708" w:rsidRDefault="00C73D87" w:rsidP="007817AE">
            <w:pPr>
              <w:bidi/>
              <w:jc w:val="left"/>
              <w:rPr>
                <w:b/>
                <w:bCs/>
                <w:color w:val="000000"/>
                <w:sz w:val="20"/>
                <w:lang w:val="en-CA"/>
              </w:rPr>
            </w:pPr>
            <w:r>
              <w:rPr>
                <w:rFonts w:hint="cs"/>
                <w:b/>
                <w:bCs/>
                <w:color w:val="000000"/>
                <w:sz w:val="20"/>
                <w:rtl/>
                <w:lang w:val="en-CA"/>
              </w:rPr>
              <w:t xml:space="preserve">أطنان من قدرات </w:t>
            </w:r>
            <w:r w:rsidR="006142CE">
              <w:rPr>
                <w:rFonts w:hint="cs"/>
                <w:b/>
                <w:bCs/>
                <w:color w:val="000000"/>
                <w:sz w:val="20"/>
                <w:rtl/>
                <w:lang w:val="en-CA"/>
              </w:rPr>
              <w:t>استنفاد</w:t>
            </w:r>
            <w:r>
              <w:rPr>
                <w:rFonts w:hint="cs"/>
                <w:b/>
                <w:bCs/>
                <w:color w:val="000000"/>
                <w:sz w:val="20"/>
                <w:rtl/>
                <w:lang w:val="en-CA"/>
              </w:rPr>
              <w:t xml:space="preserve"> الأوزون</w:t>
            </w:r>
          </w:p>
        </w:tc>
        <w:tc>
          <w:tcPr>
            <w:tcW w:w="545" w:type="pct"/>
            <w:tcBorders>
              <w:top w:val="single" w:sz="4" w:space="0" w:color="auto"/>
              <w:left w:val="single" w:sz="4" w:space="0" w:color="auto"/>
              <w:bottom w:val="single" w:sz="4" w:space="0" w:color="auto"/>
              <w:right w:val="single" w:sz="4" w:space="0" w:color="auto"/>
            </w:tcBorders>
            <w:shd w:val="clear" w:color="auto" w:fill="auto"/>
            <w:noWrap/>
            <w:tcMar>
              <w:left w:w="115" w:type="dxa"/>
              <w:right w:w="202" w:type="dxa"/>
            </w:tcMar>
            <w:vAlign w:val="center"/>
            <w:hideMark/>
          </w:tcPr>
          <w:p w14:paraId="1B65E1BF" w14:textId="77777777" w:rsidR="00C73D87" w:rsidRPr="000F4708" w:rsidRDefault="00C73D87" w:rsidP="00C73D87">
            <w:pPr>
              <w:jc w:val="right"/>
              <w:rPr>
                <w:color w:val="000000"/>
                <w:sz w:val="20"/>
                <w:lang w:val="en-CA"/>
              </w:rPr>
            </w:pPr>
          </w:p>
        </w:tc>
        <w:tc>
          <w:tcPr>
            <w:tcW w:w="545" w:type="pct"/>
            <w:tcBorders>
              <w:top w:val="single" w:sz="4" w:space="0" w:color="auto"/>
              <w:left w:val="single" w:sz="4" w:space="0" w:color="auto"/>
              <w:bottom w:val="single" w:sz="4" w:space="0" w:color="auto"/>
              <w:right w:val="single" w:sz="4" w:space="0" w:color="auto"/>
            </w:tcBorders>
            <w:shd w:val="clear" w:color="auto" w:fill="auto"/>
            <w:noWrap/>
            <w:tcMar>
              <w:left w:w="115" w:type="dxa"/>
              <w:right w:w="202" w:type="dxa"/>
            </w:tcMar>
            <w:vAlign w:val="center"/>
          </w:tcPr>
          <w:p w14:paraId="2E920AB2" w14:textId="77777777" w:rsidR="00C73D87" w:rsidRPr="000F4708" w:rsidRDefault="00C73D87" w:rsidP="00C73D87">
            <w:pPr>
              <w:jc w:val="right"/>
              <w:rPr>
                <w:color w:val="000000"/>
                <w:sz w:val="20"/>
                <w:lang w:val="en-CA"/>
              </w:rPr>
            </w:pPr>
          </w:p>
        </w:tc>
        <w:tc>
          <w:tcPr>
            <w:tcW w:w="545" w:type="pct"/>
            <w:tcBorders>
              <w:top w:val="single" w:sz="4" w:space="0" w:color="auto"/>
              <w:left w:val="single" w:sz="4" w:space="0" w:color="auto"/>
              <w:bottom w:val="single" w:sz="4" w:space="0" w:color="auto"/>
              <w:right w:val="single" w:sz="4" w:space="0" w:color="auto"/>
            </w:tcBorders>
            <w:tcMar>
              <w:left w:w="115" w:type="dxa"/>
              <w:right w:w="202" w:type="dxa"/>
            </w:tcMar>
          </w:tcPr>
          <w:p w14:paraId="33B10BE2" w14:textId="77777777" w:rsidR="00C73D87" w:rsidRPr="000F4708" w:rsidRDefault="00C73D87" w:rsidP="00C73D87">
            <w:pPr>
              <w:jc w:val="right"/>
              <w:rPr>
                <w:color w:val="000000"/>
                <w:sz w:val="20"/>
                <w:lang w:val="en-CA"/>
              </w:rPr>
            </w:pPr>
          </w:p>
        </w:tc>
        <w:tc>
          <w:tcPr>
            <w:tcW w:w="545" w:type="pct"/>
            <w:tcBorders>
              <w:top w:val="single" w:sz="4" w:space="0" w:color="auto"/>
              <w:left w:val="single" w:sz="4" w:space="0" w:color="auto"/>
              <w:bottom w:val="single" w:sz="4" w:space="0" w:color="auto"/>
              <w:right w:val="single" w:sz="4" w:space="0" w:color="auto"/>
            </w:tcBorders>
            <w:tcMar>
              <w:left w:w="115" w:type="dxa"/>
              <w:right w:w="202" w:type="dxa"/>
            </w:tcMar>
          </w:tcPr>
          <w:p w14:paraId="2A219FF0" w14:textId="77777777" w:rsidR="00C73D87" w:rsidRPr="000F4708" w:rsidRDefault="00C73D87" w:rsidP="00C73D87">
            <w:pPr>
              <w:jc w:val="right"/>
              <w:rPr>
                <w:color w:val="000000"/>
                <w:sz w:val="20"/>
                <w:lang w:val="en-CA"/>
              </w:rPr>
            </w:pPr>
          </w:p>
        </w:tc>
        <w:tc>
          <w:tcPr>
            <w:tcW w:w="545" w:type="pct"/>
            <w:tcBorders>
              <w:top w:val="single" w:sz="4" w:space="0" w:color="auto"/>
              <w:left w:val="single" w:sz="4" w:space="0" w:color="auto"/>
              <w:bottom w:val="single" w:sz="4" w:space="0" w:color="auto"/>
              <w:right w:val="single" w:sz="4" w:space="0" w:color="auto"/>
            </w:tcBorders>
            <w:vAlign w:val="center"/>
          </w:tcPr>
          <w:p w14:paraId="670194EC" w14:textId="77777777" w:rsidR="00C73D87" w:rsidRPr="000F4708" w:rsidRDefault="00C73D87" w:rsidP="00C73D87">
            <w:pPr>
              <w:jc w:val="right"/>
              <w:rPr>
                <w:color w:val="000000"/>
                <w:sz w:val="20"/>
                <w:lang w:val="en-CA"/>
              </w:rPr>
            </w:pPr>
          </w:p>
        </w:tc>
        <w:tc>
          <w:tcPr>
            <w:tcW w:w="545" w:type="pct"/>
            <w:tcBorders>
              <w:top w:val="single" w:sz="4" w:space="0" w:color="auto"/>
              <w:left w:val="single" w:sz="4" w:space="0" w:color="auto"/>
              <w:bottom w:val="single" w:sz="4" w:space="0" w:color="auto"/>
              <w:right w:val="single" w:sz="4" w:space="0" w:color="auto"/>
            </w:tcBorders>
            <w:shd w:val="clear" w:color="auto" w:fill="auto"/>
            <w:noWrap/>
            <w:tcMar>
              <w:left w:w="115" w:type="dxa"/>
              <w:right w:w="202" w:type="dxa"/>
            </w:tcMar>
            <w:vAlign w:val="center"/>
            <w:hideMark/>
          </w:tcPr>
          <w:p w14:paraId="42BB20AA" w14:textId="77777777" w:rsidR="00C73D87" w:rsidRPr="000F4708" w:rsidRDefault="00C73D87" w:rsidP="00C73D87">
            <w:pPr>
              <w:jc w:val="right"/>
              <w:rPr>
                <w:color w:val="000000"/>
                <w:sz w:val="20"/>
                <w:lang w:val="en-CA"/>
              </w:rPr>
            </w:pPr>
          </w:p>
        </w:tc>
      </w:tr>
      <w:tr w:rsidR="00C73D87" w:rsidRPr="000F4708" w14:paraId="575EB2BA" w14:textId="77777777" w:rsidTr="00A065D2">
        <w:tc>
          <w:tcPr>
            <w:tcW w:w="1730" w:type="pct"/>
            <w:tcBorders>
              <w:top w:val="single" w:sz="4" w:space="0" w:color="auto"/>
              <w:left w:val="single" w:sz="4" w:space="0" w:color="auto"/>
              <w:bottom w:val="single" w:sz="4" w:space="0" w:color="auto"/>
              <w:right w:val="single" w:sz="4" w:space="0" w:color="auto"/>
            </w:tcBorders>
            <w:shd w:val="clear" w:color="auto" w:fill="auto"/>
            <w:noWrap/>
            <w:tcMar>
              <w:left w:w="115" w:type="dxa"/>
              <w:right w:w="43" w:type="dxa"/>
            </w:tcMar>
            <w:vAlign w:val="center"/>
          </w:tcPr>
          <w:p w14:paraId="12335A2C" w14:textId="43239A69" w:rsidR="00C73D87" w:rsidRPr="000F4708" w:rsidRDefault="00C73D87" w:rsidP="00C73D87">
            <w:pPr>
              <w:bidi/>
              <w:jc w:val="left"/>
              <w:rPr>
                <w:color w:val="000000" w:themeColor="text1"/>
                <w:sz w:val="20"/>
                <w:lang w:val="en-CA"/>
              </w:rPr>
            </w:pPr>
            <w:r>
              <w:rPr>
                <w:rFonts w:hint="cs"/>
                <w:color w:val="000000"/>
                <w:sz w:val="20"/>
                <w:rtl/>
                <w:lang w:val="en-CA"/>
              </w:rPr>
              <w:t>الهيدروكلوروفلوروكربون-22</w:t>
            </w:r>
          </w:p>
        </w:tc>
        <w:tc>
          <w:tcPr>
            <w:tcW w:w="545" w:type="pct"/>
            <w:tcBorders>
              <w:top w:val="single" w:sz="4" w:space="0" w:color="auto"/>
              <w:left w:val="single" w:sz="4" w:space="0" w:color="auto"/>
              <w:bottom w:val="single" w:sz="4" w:space="0" w:color="auto"/>
              <w:right w:val="single" w:sz="4" w:space="0" w:color="auto"/>
            </w:tcBorders>
            <w:shd w:val="clear" w:color="auto" w:fill="auto"/>
            <w:noWrap/>
            <w:tcMar>
              <w:left w:w="115" w:type="dxa"/>
              <w:right w:w="202" w:type="dxa"/>
            </w:tcMar>
          </w:tcPr>
          <w:p w14:paraId="571711D7" w14:textId="77777777" w:rsidR="00C73D87" w:rsidRPr="000F4708" w:rsidRDefault="00C73D87" w:rsidP="00C73D87">
            <w:pPr>
              <w:jc w:val="right"/>
              <w:rPr>
                <w:color w:val="000000" w:themeColor="text1"/>
                <w:sz w:val="20"/>
                <w:lang w:val="en-CA"/>
              </w:rPr>
            </w:pPr>
            <w:r w:rsidRPr="000F4708">
              <w:rPr>
                <w:color w:val="000000" w:themeColor="text1"/>
                <w:sz w:val="20"/>
                <w:lang w:val="en-CA"/>
              </w:rPr>
              <w:t>0.71</w:t>
            </w:r>
          </w:p>
        </w:tc>
        <w:tc>
          <w:tcPr>
            <w:tcW w:w="545" w:type="pct"/>
            <w:tcBorders>
              <w:top w:val="single" w:sz="4" w:space="0" w:color="auto"/>
              <w:left w:val="single" w:sz="4" w:space="0" w:color="auto"/>
              <w:bottom w:val="single" w:sz="4" w:space="0" w:color="auto"/>
              <w:right w:val="single" w:sz="4" w:space="0" w:color="auto"/>
            </w:tcBorders>
            <w:shd w:val="clear" w:color="auto" w:fill="auto"/>
            <w:noWrap/>
            <w:tcMar>
              <w:left w:w="115" w:type="dxa"/>
              <w:right w:w="202" w:type="dxa"/>
            </w:tcMar>
          </w:tcPr>
          <w:p w14:paraId="2B14465D" w14:textId="77777777" w:rsidR="00C73D87" w:rsidRPr="000F4708" w:rsidRDefault="00C73D87" w:rsidP="00C73D87">
            <w:pPr>
              <w:jc w:val="right"/>
              <w:rPr>
                <w:color w:val="000000" w:themeColor="text1"/>
                <w:sz w:val="20"/>
                <w:lang w:val="en-CA"/>
              </w:rPr>
            </w:pPr>
            <w:r w:rsidRPr="000F4708">
              <w:rPr>
                <w:color w:val="000000" w:themeColor="text1"/>
                <w:sz w:val="20"/>
                <w:lang w:val="en-CA"/>
              </w:rPr>
              <w:t>0.70</w:t>
            </w:r>
          </w:p>
        </w:tc>
        <w:tc>
          <w:tcPr>
            <w:tcW w:w="545" w:type="pct"/>
            <w:tcBorders>
              <w:top w:val="single" w:sz="4" w:space="0" w:color="auto"/>
              <w:left w:val="single" w:sz="4" w:space="0" w:color="auto"/>
              <w:bottom w:val="single" w:sz="4" w:space="0" w:color="auto"/>
              <w:right w:val="single" w:sz="4" w:space="0" w:color="auto"/>
            </w:tcBorders>
            <w:tcMar>
              <w:left w:w="115" w:type="dxa"/>
              <w:right w:w="202" w:type="dxa"/>
            </w:tcMar>
          </w:tcPr>
          <w:p w14:paraId="43DC2EC8" w14:textId="77777777" w:rsidR="00C73D87" w:rsidRPr="000F4708" w:rsidRDefault="00C73D87" w:rsidP="00C73D87">
            <w:pPr>
              <w:jc w:val="right"/>
              <w:rPr>
                <w:color w:val="000000" w:themeColor="text1"/>
                <w:sz w:val="20"/>
                <w:lang w:val="en-CA"/>
              </w:rPr>
            </w:pPr>
            <w:r w:rsidRPr="000F4708">
              <w:rPr>
                <w:color w:val="000000" w:themeColor="text1"/>
                <w:sz w:val="20"/>
                <w:lang w:val="en-CA"/>
              </w:rPr>
              <w:t>0.63</w:t>
            </w:r>
          </w:p>
        </w:tc>
        <w:tc>
          <w:tcPr>
            <w:tcW w:w="545" w:type="pct"/>
            <w:tcBorders>
              <w:top w:val="single" w:sz="4" w:space="0" w:color="auto"/>
              <w:left w:val="single" w:sz="4" w:space="0" w:color="auto"/>
              <w:bottom w:val="single" w:sz="4" w:space="0" w:color="auto"/>
              <w:right w:val="single" w:sz="4" w:space="0" w:color="auto"/>
            </w:tcBorders>
            <w:tcMar>
              <w:left w:w="115" w:type="dxa"/>
              <w:right w:w="202" w:type="dxa"/>
            </w:tcMar>
          </w:tcPr>
          <w:p w14:paraId="70FB960E" w14:textId="77777777" w:rsidR="00C73D87" w:rsidRPr="000F4708" w:rsidRDefault="00C73D87" w:rsidP="00C73D87">
            <w:pPr>
              <w:jc w:val="right"/>
              <w:rPr>
                <w:color w:val="000000" w:themeColor="text1"/>
                <w:sz w:val="20"/>
                <w:lang w:val="en-CA"/>
              </w:rPr>
            </w:pPr>
            <w:r w:rsidRPr="000F4708">
              <w:rPr>
                <w:color w:val="000000" w:themeColor="text1"/>
                <w:sz w:val="20"/>
                <w:lang w:val="en-CA"/>
              </w:rPr>
              <w:t>0.56</w:t>
            </w:r>
          </w:p>
        </w:tc>
        <w:tc>
          <w:tcPr>
            <w:tcW w:w="545" w:type="pct"/>
            <w:tcBorders>
              <w:top w:val="single" w:sz="4" w:space="0" w:color="auto"/>
              <w:left w:val="single" w:sz="4" w:space="0" w:color="auto"/>
              <w:bottom w:val="single" w:sz="4" w:space="0" w:color="auto"/>
              <w:right w:val="single" w:sz="4" w:space="0" w:color="auto"/>
            </w:tcBorders>
          </w:tcPr>
          <w:p w14:paraId="7EB88A66" w14:textId="77777777" w:rsidR="00C73D87" w:rsidRPr="000F4708" w:rsidRDefault="00C73D87" w:rsidP="00C73D87">
            <w:pPr>
              <w:jc w:val="right"/>
              <w:rPr>
                <w:color w:val="000000" w:themeColor="text1"/>
                <w:sz w:val="20"/>
                <w:lang w:val="en-CA"/>
              </w:rPr>
            </w:pPr>
            <w:r w:rsidRPr="000F4708">
              <w:rPr>
                <w:color w:val="000000" w:themeColor="text1"/>
                <w:sz w:val="20"/>
                <w:lang w:val="en-CA"/>
              </w:rPr>
              <w:t>0.46</w:t>
            </w:r>
          </w:p>
        </w:tc>
        <w:tc>
          <w:tcPr>
            <w:tcW w:w="545" w:type="pct"/>
            <w:tcBorders>
              <w:top w:val="single" w:sz="4" w:space="0" w:color="auto"/>
              <w:left w:val="single" w:sz="4" w:space="0" w:color="auto"/>
              <w:bottom w:val="single" w:sz="4" w:space="0" w:color="auto"/>
              <w:right w:val="single" w:sz="4" w:space="0" w:color="auto"/>
            </w:tcBorders>
            <w:shd w:val="clear" w:color="auto" w:fill="auto"/>
            <w:noWrap/>
            <w:tcMar>
              <w:left w:w="115" w:type="dxa"/>
              <w:right w:w="202" w:type="dxa"/>
            </w:tcMar>
            <w:vAlign w:val="center"/>
          </w:tcPr>
          <w:p w14:paraId="08A259E1" w14:textId="77777777" w:rsidR="00C73D87" w:rsidRPr="000F4708" w:rsidRDefault="00C73D87" w:rsidP="00C73D87">
            <w:pPr>
              <w:jc w:val="right"/>
              <w:rPr>
                <w:color w:val="000000" w:themeColor="text1"/>
                <w:sz w:val="20"/>
                <w:lang w:val="en-CA"/>
              </w:rPr>
            </w:pPr>
            <w:r w:rsidRPr="000F4708">
              <w:rPr>
                <w:color w:val="000000" w:themeColor="text1"/>
                <w:sz w:val="20"/>
                <w:lang w:val="en-CA"/>
              </w:rPr>
              <w:t>3.50</w:t>
            </w:r>
          </w:p>
        </w:tc>
      </w:tr>
      <w:tr w:rsidR="00C73D87" w:rsidRPr="000F4708" w14:paraId="2D9D7B68" w14:textId="77777777" w:rsidTr="00A065D2">
        <w:tc>
          <w:tcPr>
            <w:tcW w:w="1730" w:type="pct"/>
            <w:tcBorders>
              <w:top w:val="single" w:sz="4" w:space="0" w:color="auto"/>
              <w:left w:val="single" w:sz="4" w:space="0" w:color="auto"/>
              <w:bottom w:val="single" w:sz="4" w:space="0" w:color="auto"/>
              <w:right w:val="single" w:sz="4" w:space="0" w:color="auto"/>
            </w:tcBorders>
            <w:shd w:val="clear" w:color="auto" w:fill="auto"/>
            <w:noWrap/>
            <w:tcMar>
              <w:left w:w="115" w:type="dxa"/>
              <w:right w:w="43" w:type="dxa"/>
            </w:tcMar>
            <w:vAlign w:val="center"/>
          </w:tcPr>
          <w:p w14:paraId="66FB66EE" w14:textId="559A72BF" w:rsidR="00C73D87" w:rsidRPr="000F4708" w:rsidRDefault="00C73D87" w:rsidP="00C73D87">
            <w:pPr>
              <w:bidi/>
              <w:jc w:val="left"/>
              <w:rPr>
                <w:color w:val="000000" w:themeColor="text1"/>
                <w:sz w:val="20"/>
                <w:lang w:val="en-CA"/>
              </w:rPr>
            </w:pPr>
            <w:r>
              <w:rPr>
                <w:rFonts w:hint="cs"/>
                <w:color w:val="000000"/>
                <w:sz w:val="20"/>
                <w:rtl/>
                <w:lang w:val="en-CA"/>
              </w:rPr>
              <w:t>الهيدروكلوروفلوروكربون-142ب*</w:t>
            </w:r>
          </w:p>
        </w:tc>
        <w:tc>
          <w:tcPr>
            <w:tcW w:w="545" w:type="pct"/>
            <w:tcBorders>
              <w:top w:val="single" w:sz="4" w:space="0" w:color="auto"/>
              <w:left w:val="single" w:sz="4" w:space="0" w:color="auto"/>
              <w:bottom w:val="single" w:sz="4" w:space="0" w:color="auto"/>
              <w:right w:val="single" w:sz="4" w:space="0" w:color="auto"/>
            </w:tcBorders>
            <w:shd w:val="clear" w:color="auto" w:fill="auto"/>
            <w:noWrap/>
            <w:tcMar>
              <w:left w:w="115" w:type="dxa"/>
              <w:right w:w="202" w:type="dxa"/>
            </w:tcMar>
            <w:vAlign w:val="center"/>
          </w:tcPr>
          <w:p w14:paraId="55A89EBD" w14:textId="77777777" w:rsidR="00C73D87" w:rsidRPr="000F4708" w:rsidRDefault="00C73D87" w:rsidP="00C73D87">
            <w:pPr>
              <w:jc w:val="right"/>
              <w:rPr>
                <w:color w:val="000000" w:themeColor="text1"/>
                <w:sz w:val="20"/>
                <w:lang w:val="en-CA"/>
              </w:rPr>
            </w:pPr>
            <w:r w:rsidRPr="000F4708">
              <w:rPr>
                <w:color w:val="000000" w:themeColor="text1"/>
                <w:sz w:val="20"/>
                <w:lang w:val="en-CA"/>
              </w:rPr>
              <w:t>0.00</w:t>
            </w:r>
          </w:p>
        </w:tc>
        <w:tc>
          <w:tcPr>
            <w:tcW w:w="545" w:type="pct"/>
            <w:tcBorders>
              <w:top w:val="single" w:sz="4" w:space="0" w:color="auto"/>
              <w:left w:val="single" w:sz="4" w:space="0" w:color="auto"/>
              <w:bottom w:val="single" w:sz="4" w:space="0" w:color="auto"/>
              <w:right w:val="single" w:sz="4" w:space="0" w:color="auto"/>
            </w:tcBorders>
            <w:shd w:val="clear" w:color="auto" w:fill="auto"/>
            <w:noWrap/>
            <w:tcMar>
              <w:left w:w="115" w:type="dxa"/>
              <w:right w:w="202" w:type="dxa"/>
            </w:tcMar>
            <w:vAlign w:val="center"/>
          </w:tcPr>
          <w:p w14:paraId="40DE902D" w14:textId="77777777" w:rsidR="00C73D87" w:rsidRPr="000F4708" w:rsidRDefault="00C73D87" w:rsidP="00C73D87">
            <w:pPr>
              <w:jc w:val="right"/>
              <w:rPr>
                <w:color w:val="000000" w:themeColor="text1"/>
                <w:sz w:val="20"/>
                <w:lang w:val="en-CA"/>
              </w:rPr>
            </w:pPr>
            <w:r w:rsidRPr="000F4708">
              <w:rPr>
                <w:color w:val="000000" w:themeColor="text1"/>
                <w:sz w:val="20"/>
                <w:lang w:val="en-CA"/>
              </w:rPr>
              <w:t>0.00</w:t>
            </w:r>
          </w:p>
        </w:tc>
        <w:tc>
          <w:tcPr>
            <w:tcW w:w="545" w:type="pct"/>
            <w:tcBorders>
              <w:top w:val="single" w:sz="4" w:space="0" w:color="auto"/>
              <w:left w:val="single" w:sz="4" w:space="0" w:color="auto"/>
              <w:bottom w:val="single" w:sz="4" w:space="0" w:color="auto"/>
              <w:right w:val="single" w:sz="4" w:space="0" w:color="auto"/>
            </w:tcBorders>
            <w:tcMar>
              <w:left w:w="115" w:type="dxa"/>
              <w:right w:w="202" w:type="dxa"/>
            </w:tcMar>
          </w:tcPr>
          <w:p w14:paraId="354DEE2F" w14:textId="77777777" w:rsidR="00C73D87" w:rsidRPr="000F4708" w:rsidRDefault="00C73D87" w:rsidP="00C73D87">
            <w:pPr>
              <w:jc w:val="right"/>
              <w:rPr>
                <w:color w:val="000000" w:themeColor="text1"/>
                <w:sz w:val="20"/>
                <w:lang w:val="en-CA"/>
              </w:rPr>
            </w:pPr>
            <w:r w:rsidRPr="000F4708">
              <w:rPr>
                <w:color w:val="000000" w:themeColor="text1"/>
                <w:sz w:val="20"/>
                <w:lang w:val="en-CA"/>
              </w:rPr>
              <w:t>0.00</w:t>
            </w:r>
          </w:p>
        </w:tc>
        <w:tc>
          <w:tcPr>
            <w:tcW w:w="545" w:type="pct"/>
            <w:tcBorders>
              <w:top w:val="single" w:sz="4" w:space="0" w:color="auto"/>
              <w:left w:val="single" w:sz="4" w:space="0" w:color="auto"/>
              <w:bottom w:val="single" w:sz="4" w:space="0" w:color="auto"/>
              <w:right w:val="single" w:sz="4" w:space="0" w:color="auto"/>
            </w:tcBorders>
            <w:tcMar>
              <w:left w:w="115" w:type="dxa"/>
              <w:right w:w="202" w:type="dxa"/>
            </w:tcMar>
          </w:tcPr>
          <w:p w14:paraId="09B740C4" w14:textId="77777777" w:rsidR="00C73D87" w:rsidRPr="000F4708" w:rsidRDefault="00C73D87" w:rsidP="00C73D87">
            <w:pPr>
              <w:jc w:val="right"/>
              <w:rPr>
                <w:color w:val="000000" w:themeColor="text1"/>
                <w:sz w:val="20"/>
                <w:lang w:val="en-CA"/>
              </w:rPr>
            </w:pPr>
            <w:r w:rsidRPr="000F4708">
              <w:rPr>
                <w:color w:val="000000" w:themeColor="text1"/>
                <w:sz w:val="20"/>
                <w:lang w:val="en-CA"/>
              </w:rPr>
              <w:t>0.00</w:t>
            </w:r>
          </w:p>
        </w:tc>
        <w:tc>
          <w:tcPr>
            <w:tcW w:w="545" w:type="pct"/>
            <w:tcBorders>
              <w:top w:val="single" w:sz="4" w:space="0" w:color="auto"/>
              <w:left w:val="single" w:sz="4" w:space="0" w:color="auto"/>
              <w:bottom w:val="single" w:sz="4" w:space="0" w:color="auto"/>
              <w:right w:val="single" w:sz="4" w:space="0" w:color="auto"/>
            </w:tcBorders>
          </w:tcPr>
          <w:p w14:paraId="563C61D0" w14:textId="77777777" w:rsidR="00C73D87" w:rsidRPr="000F4708" w:rsidRDefault="00C73D87" w:rsidP="00C73D87">
            <w:pPr>
              <w:jc w:val="right"/>
              <w:rPr>
                <w:color w:val="000000" w:themeColor="text1"/>
                <w:sz w:val="20"/>
                <w:lang w:val="en-CA"/>
              </w:rPr>
            </w:pPr>
            <w:r w:rsidRPr="000F4708">
              <w:rPr>
                <w:color w:val="000000" w:themeColor="text1"/>
                <w:sz w:val="20"/>
                <w:lang w:val="en-CA"/>
              </w:rPr>
              <w:t>0.00</w:t>
            </w:r>
          </w:p>
        </w:tc>
        <w:tc>
          <w:tcPr>
            <w:tcW w:w="545" w:type="pct"/>
            <w:tcBorders>
              <w:top w:val="single" w:sz="4" w:space="0" w:color="auto"/>
              <w:left w:val="single" w:sz="4" w:space="0" w:color="auto"/>
              <w:bottom w:val="single" w:sz="4" w:space="0" w:color="auto"/>
              <w:right w:val="single" w:sz="4" w:space="0" w:color="auto"/>
            </w:tcBorders>
            <w:shd w:val="clear" w:color="auto" w:fill="auto"/>
            <w:noWrap/>
            <w:tcMar>
              <w:left w:w="115" w:type="dxa"/>
              <w:right w:w="202" w:type="dxa"/>
            </w:tcMar>
            <w:vAlign w:val="center"/>
          </w:tcPr>
          <w:p w14:paraId="658154C2" w14:textId="77777777" w:rsidR="00C73D87" w:rsidRPr="000F4708" w:rsidRDefault="00C73D87" w:rsidP="00C73D87">
            <w:pPr>
              <w:jc w:val="right"/>
              <w:rPr>
                <w:color w:val="000000" w:themeColor="text1"/>
                <w:sz w:val="20"/>
                <w:lang w:val="en-CA"/>
              </w:rPr>
            </w:pPr>
            <w:r w:rsidRPr="000F4708">
              <w:rPr>
                <w:color w:val="000000" w:themeColor="text1"/>
                <w:sz w:val="20"/>
                <w:lang w:val="en-CA"/>
              </w:rPr>
              <w:t>0.00</w:t>
            </w:r>
          </w:p>
        </w:tc>
      </w:tr>
      <w:tr w:rsidR="00C73D87" w:rsidRPr="000F4708" w14:paraId="4DCBA275" w14:textId="77777777" w:rsidTr="00A065D2">
        <w:tc>
          <w:tcPr>
            <w:tcW w:w="1730" w:type="pct"/>
            <w:tcBorders>
              <w:top w:val="single" w:sz="4" w:space="0" w:color="auto"/>
              <w:left w:val="single" w:sz="4" w:space="0" w:color="auto"/>
              <w:bottom w:val="single" w:sz="4" w:space="0" w:color="auto"/>
              <w:right w:val="single" w:sz="4" w:space="0" w:color="auto"/>
            </w:tcBorders>
            <w:shd w:val="clear" w:color="auto" w:fill="auto"/>
            <w:noWrap/>
            <w:tcMar>
              <w:left w:w="115" w:type="dxa"/>
              <w:right w:w="43" w:type="dxa"/>
            </w:tcMar>
          </w:tcPr>
          <w:p w14:paraId="0D9411F6" w14:textId="5A542169" w:rsidR="00C73D87" w:rsidRPr="006142CE" w:rsidRDefault="00C73D87" w:rsidP="00C73D87">
            <w:pPr>
              <w:bidi/>
              <w:jc w:val="left"/>
              <w:rPr>
                <w:rFonts w:eastAsiaTheme="minorHAnsi"/>
                <w:bCs/>
                <w:color w:val="000000" w:themeColor="text1"/>
                <w:sz w:val="20"/>
                <w:lang w:val="en-CA"/>
              </w:rPr>
            </w:pPr>
            <w:r w:rsidRPr="006142CE">
              <w:rPr>
                <w:rFonts w:eastAsiaTheme="minorHAnsi" w:hint="cs"/>
                <w:bCs/>
                <w:color w:val="000000" w:themeColor="text1"/>
                <w:sz w:val="20"/>
                <w:rtl/>
                <w:lang w:val="en-CA"/>
              </w:rPr>
              <w:t>المجموع (أطنان من قدرات استنفا</w:t>
            </w:r>
            <w:r w:rsidR="006142CE">
              <w:rPr>
                <w:rFonts w:eastAsiaTheme="minorHAnsi" w:hint="cs"/>
                <w:bCs/>
                <w:color w:val="000000" w:themeColor="text1"/>
                <w:sz w:val="20"/>
                <w:rtl/>
                <w:lang w:val="en-CA"/>
              </w:rPr>
              <w:t>د</w:t>
            </w:r>
            <w:r w:rsidRPr="006142CE">
              <w:rPr>
                <w:rFonts w:eastAsiaTheme="minorHAnsi" w:hint="cs"/>
                <w:bCs/>
                <w:color w:val="000000" w:themeColor="text1"/>
                <w:sz w:val="20"/>
                <w:rtl/>
                <w:lang w:val="en-CA"/>
              </w:rPr>
              <w:t xml:space="preserve"> الأوزون)</w:t>
            </w:r>
          </w:p>
        </w:tc>
        <w:tc>
          <w:tcPr>
            <w:tcW w:w="545" w:type="pct"/>
            <w:tcBorders>
              <w:top w:val="single" w:sz="4" w:space="0" w:color="auto"/>
              <w:left w:val="single" w:sz="4" w:space="0" w:color="auto"/>
              <w:bottom w:val="single" w:sz="4" w:space="0" w:color="auto"/>
              <w:right w:val="single" w:sz="4" w:space="0" w:color="auto"/>
            </w:tcBorders>
            <w:shd w:val="clear" w:color="auto" w:fill="auto"/>
            <w:noWrap/>
            <w:tcMar>
              <w:left w:w="115" w:type="dxa"/>
              <w:right w:w="202" w:type="dxa"/>
            </w:tcMar>
          </w:tcPr>
          <w:p w14:paraId="0481C14B" w14:textId="77777777" w:rsidR="00C73D87" w:rsidRPr="000F4708" w:rsidRDefault="00C73D87" w:rsidP="00C73D87">
            <w:pPr>
              <w:jc w:val="right"/>
              <w:rPr>
                <w:b/>
                <w:color w:val="000000" w:themeColor="text1"/>
                <w:sz w:val="20"/>
                <w:lang w:val="en-CA"/>
              </w:rPr>
            </w:pPr>
            <w:r w:rsidRPr="000F4708">
              <w:rPr>
                <w:b/>
                <w:color w:val="000000" w:themeColor="text1"/>
                <w:sz w:val="20"/>
                <w:lang w:val="en-CA"/>
              </w:rPr>
              <w:t>0.71</w:t>
            </w:r>
          </w:p>
        </w:tc>
        <w:tc>
          <w:tcPr>
            <w:tcW w:w="545" w:type="pct"/>
            <w:tcBorders>
              <w:top w:val="single" w:sz="4" w:space="0" w:color="auto"/>
              <w:left w:val="single" w:sz="4" w:space="0" w:color="auto"/>
              <w:bottom w:val="single" w:sz="4" w:space="0" w:color="auto"/>
              <w:right w:val="single" w:sz="4" w:space="0" w:color="auto"/>
            </w:tcBorders>
            <w:shd w:val="clear" w:color="auto" w:fill="auto"/>
            <w:noWrap/>
            <w:tcMar>
              <w:left w:w="115" w:type="dxa"/>
              <w:right w:w="202" w:type="dxa"/>
            </w:tcMar>
          </w:tcPr>
          <w:p w14:paraId="00E11332" w14:textId="77777777" w:rsidR="00C73D87" w:rsidRPr="000F4708" w:rsidRDefault="00C73D87" w:rsidP="00C73D87">
            <w:pPr>
              <w:jc w:val="right"/>
              <w:rPr>
                <w:b/>
                <w:color w:val="000000" w:themeColor="text1"/>
                <w:sz w:val="20"/>
                <w:lang w:val="en-CA"/>
              </w:rPr>
            </w:pPr>
            <w:r w:rsidRPr="000F4708">
              <w:rPr>
                <w:b/>
                <w:color w:val="000000" w:themeColor="text1"/>
                <w:sz w:val="20"/>
                <w:lang w:val="en-CA"/>
              </w:rPr>
              <w:t>0.70</w:t>
            </w:r>
          </w:p>
        </w:tc>
        <w:tc>
          <w:tcPr>
            <w:tcW w:w="545" w:type="pct"/>
            <w:tcBorders>
              <w:top w:val="single" w:sz="4" w:space="0" w:color="auto"/>
              <w:left w:val="single" w:sz="4" w:space="0" w:color="auto"/>
              <w:bottom w:val="single" w:sz="4" w:space="0" w:color="auto"/>
              <w:right w:val="single" w:sz="4" w:space="0" w:color="auto"/>
            </w:tcBorders>
            <w:tcMar>
              <w:left w:w="115" w:type="dxa"/>
              <w:right w:w="202" w:type="dxa"/>
            </w:tcMar>
          </w:tcPr>
          <w:p w14:paraId="55AA1A70" w14:textId="77777777" w:rsidR="00C73D87" w:rsidRPr="000F4708" w:rsidRDefault="00C73D87" w:rsidP="00C73D87">
            <w:pPr>
              <w:jc w:val="right"/>
              <w:rPr>
                <w:b/>
                <w:color w:val="000000" w:themeColor="text1"/>
                <w:sz w:val="20"/>
                <w:lang w:val="en-CA"/>
              </w:rPr>
            </w:pPr>
            <w:r w:rsidRPr="000F4708">
              <w:rPr>
                <w:b/>
                <w:color w:val="000000" w:themeColor="text1"/>
                <w:sz w:val="20"/>
                <w:lang w:val="en-CA"/>
              </w:rPr>
              <w:t>0.63</w:t>
            </w:r>
          </w:p>
        </w:tc>
        <w:tc>
          <w:tcPr>
            <w:tcW w:w="545" w:type="pct"/>
            <w:tcBorders>
              <w:top w:val="single" w:sz="4" w:space="0" w:color="auto"/>
              <w:left w:val="single" w:sz="4" w:space="0" w:color="auto"/>
              <w:bottom w:val="single" w:sz="4" w:space="0" w:color="auto"/>
              <w:right w:val="single" w:sz="4" w:space="0" w:color="auto"/>
            </w:tcBorders>
            <w:tcMar>
              <w:left w:w="115" w:type="dxa"/>
              <w:right w:w="202" w:type="dxa"/>
            </w:tcMar>
          </w:tcPr>
          <w:p w14:paraId="79C51A25" w14:textId="77777777" w:rsidR="00C73D87" w:rsidRPr="000F4708" w:rsidRDefault="00C73D87" w:rsidP="00C73D87">
            <w:pPr>
              <w:jc w:val="right"/>
              <w:rPr>
                <w:b/>
                <w:color w:val="000000" w:themeColor="text1"/>
                <w:sz w:val="20"/>
                <w:lang w:val="en-CA"/>
              </w:rPr>
            </w:pPr>
            <w:r w:rsidRPr="000F4708">
              <w:rPr>
                <w:b/>
                <w:color w:val="000000" w:themeColor="text1"/>
                <w:sz w:val="20"/>
                <w:lang w:val="en-CA"/>
              </w:rPr>
              <w:t>0.56</w:t>
            </w:r>
          </w:p>
        </w:tc>
        <w:tc>
          <w:tcPr>
            <w:tcW w:w="545" w:type="pct"/>
            <w:tcBorders>
              <w:top w:val="single" w:sz="4" w:space="0" w:color="auto"/>
              <w:left w:val="single" w:sz="4" w:space="0" w:color="auto"/>
              <w:bottom w:val="single" w:sz="4" w:space="0" w:color="auto"/>
              <w:right w:val="single" w:sz="4" w:space="0" w:color="auto"/>
            </w:tcBorders>
          </w:tcPr>
          <w:p w14:paraId="1988F27B" w14:textId="77777777" w:rsidR="00C73D87" w:rsidRPr="000F4708" w:rsidRDefault="00C73D87" w:rsidP="00C73D87">
            <w:pPr>
              <w:jc w:val="right"/>
              <w:rPr>
                <w:b/>
                <w:color w:val="000000" w:themeColor="text1"/>
                <w:sz w:val="20"/>
                <w:lang w:val="en-CA"/>
              </w:rPr>
            </w:pPr>
            <w:r w:rsidRPr="000F4708">
              <w:rPr>
                <w:b/>
                <w:color w:val="000000" w:themeColor="text1"/>
                <w:sz w:val="20"/>
                <w:lang w:val="en-CA"/>
              </w:rPr>
              <w:t>0.46</w:t>
            </w:r>
          </w:p>
        </w:tc>
        <w:tc>
          <w:tcPr>
            <w:tcW w:w="545" w:type="pct"/>
            <w:tcBorders>
              <w:top w:val="single" w:sz="4" w:space="0" w:color="auto"/>
              <w:left w:val="single" w:sz="4" w:space="0" w:color="auto"/>
              <w:bottom w:val="single" w:sz="4" w:space="0" w:color="auto"/>
              <w:right w:val="single" w:sz="4" w:space="0" w:color="auto"/>
            </w:tcBorders>
            <w:shd w:val="clear" w:color="auto" w:fill="auto"/>
            <w:noWrap/>
            <w:tcMar>
              <w:left w:w="115" w:type="dxa"/>
              <w:right w:w="202" w:type="dxa"/>
            </w:tcMar>
            <w:vAlign w:val="center"/>
          </w:tcPr>
          <w:p w14:paraId="35CB2809" w14:textId="77777777" w:rsidR="00C73D87" w:rsidRPr="000F4708" w:rsidRDefault="00C73D87" w:rsidP="00C73D87">
            <w:pPr>
              <w:jc w:val="right"/>
              <w:rPr>
                <w:b/>
                <w:color w:val="000000" w:themeColor="text1"/>
                <w:sz w:val="20"/>
                <w:lang w:val="en-CA"/>
              </w:rPr>
            </w:pPr>
            <w:r w:rsidRPr="000F4708">
              <w:rPr>
                <w:b/>
                <w:color w:val="000000" w:themeColor="text1"/>
                <w:sz w:val="20"/>
                <w:lang w:val="en-CA"/>
              </w:rPr>
              <w:t>3.50</w:t>
            </w:r>
          </w:p>
        </w:tc>
      </w:tr>
    </w:tbl>
    <w:p w14:paraId="683A4F14" w14:textId="3439EDFA" w:rsidR="00A065D2" w:rsidRPr="00B70D5D" w:rsidRDefault="00A065D2" w:rsidP="00A065D2">
      <w:pPr>
        <w:pStyle w:val="StyleHeader4Para4Left0Firstline0"/>
        <w:numPr>
          <w:ilvl w:val="0"/>
          <w:numId w:val="0"/>
        </w:numPr>
        <w:tabs>
          <w:tab w:val="clear" w:pos="2880"/>
          <w:tab w:val="clear" w:pos="5760"/>
          <w:tab w:val="left" w:pos="720"/>
        </w:tabs>
        <w:bidi/>
        <w:spacing w:before="120" w:after="0"/>
        <w:rPr>
          <w:sz w:val="18"/>
          <w:szCs w:val="18"/>
          <w:rtl/>
          <w:lang w:val="en-US" w:bidi="ar-EG"/>
        </w:rPr>
      </w:pPr>
      <w:r w:rsidRPr="00B70D5D">
        <w:rPr>
          <w:rFonts w:hint="cs"/>
          <w:sz w:val="18"/>
          <w:szCs w:val="18"/>
          <w:rtl/>
          <w:lang w:val="en-US" w:bidi="ar-EG"/>
        </w:rPr>
        <w:t xml:space="preserve">* </w:t>
      </w:r>
      <w:r>
        <w:rPr>
          <w:rFonts w:hint="cs"/>
          <w:sz w:val="18"/>
          <w:szCs w:val="18"/>
          <w:rtl/>
          <w:lang w:val="en-US" w:bidi="ar-EG"/>
        </w:rPr>
        <w:t xml:space="preserve">مكون لغاز </w:t>
      </w:r>
      <w:r>
        <w:rPr>
          <w:sz w:val="18"/>
          <w:szCs w:val="18"/>
          <w:lang w:val="en-US" w:bidi="ar-EG"/>
        </w:rPr>
        <w:t>R-406A</w:t>
      </w:r>
      <w:r>
        <w:rPr>
          <w:rFonts w:hint="cs"/>
          <w:sz w:val="18"/>
          <w:szCs w:val="18"/>
          <w:rtl/>
          <w:lang w:val="en-US" w:bidi="ar-EG"/>
        </w:rPr>
        <w:t>، وهي خلطة غاز تبريد تستخدم في الغرف الباردة.</w:t>
      </w:r>
    </w:p>
    <w:p w14:paraId="1FF88FC7" w14:textId="74E1EE07" w:rsidR="00A065D2" w:rsidRPr="006142CE" w:rsidRDefault="006142CE" w:rsidP="006142CE">
      <w:pPr>
        <w:pStyle w:val="StyleHeader4Para4Left0Firstline0"/>
        <w:numPr>
          <w:ilvl w:val="0"/>
          <w:numId w:val="0"/>
        </w:numPr>
        <w:tabs>
          <w:tab w:val="clear" w:pos="2880"/>
          <w:tab w:val="clear" w:pos="5760"/>
          <w:tab w:val="left" w:pos="720"/>
        </w:tabs>
        <w:bidi/>
        <w:spacing w:before="240"/>
        <w:rPr>
          <w:sz w:val="26"/>
          <w:szCs w:val="26"/>
          <w:rtl/>
          <w:lang w:val="en-US" w:bidi="ar-EG"/>
        </w:rPr>
      </w:pPr>
      <w:r w:rsidRPr="006142CE">
        <w:rPr>
          <w:rFonts w:hint="cs"/>
          <w:sz w:val="26"/>
          <w:szCs w:val="26"/>
          <w:rtl/>
          <w:lang w:val="en-US" w:bidi="ar-EG"/>
        </w:rPr>
        <w:lastRenderedPageBreak/>
        <w:t>5 -</w:t>
      </w:r>
      <w:r w:rsidRPr="006142CE">
        <w:rPr>
          <w:sz w:val="26"/>
          <w:szCs w:val="26"/>
          <w:rtl/>
          <w:lang w:val="en-US" w:bidi="ar-EG"/>
        </w:rPr>
        <w:tab/>
      </w:r>
      <w:r w:rsidR="00A065D2" w:rsidRPr="006142CE">
        <w:rPr>
          <w:rFonts w:hint="cs"/>
          <w:sz w:val="26"/>
          <w:szCs w:val="26"/>
          <w:rtl/>
          <w:lang w:val="en-US" w:bidi="ar-EG"/>
        </w:rPr>
        <w:t xml:space="preserve">يرجع انخفاض استهلاك المواد الهيدروكلوروفلوروكربونية إلى تضافر إنفاذ نظام ترخيص وحصص واردات هذه المواد وتنفيذ أنشطة خطة إدارة إزالة المواد الهيدروكلوروفلوروكربونية، بما في ذلك برامج تدريب الفنيين والمساعدة الفنية التي تم توفيرها لقطاع خدمة التبريد وتكييف الهواء، وتوعية الجماهير وأنشطة التواصل. كما أدت أيضا إلى الزيادة في واردات المعدات القائمة على الهيدروفلوروكربون إلى المساهمة في خفض استهلاك المواد الهيدروكلوروفلوروكربونية. فضلا عن ذلك فإن ليسوتو تستورد معدات جديدة ذات إمكانية احترار عالمية صفر من جنوب أفريقيا (مثل الثلاجات المنزلية القائمة على </w:t>
      </w:r>
      <w:r w:rsidR="00A065D2" w:rsidRPr="006142CE">
        <w:rPr>
          <w:sz w:val="26"/>
          <w:szCs w:val="26"/>
          <w:lang w:val="en-US" w:bidi="ar-EG"/>
        </w:rPr>
        <w:t>R-600a</w:t>
      </w:r>
      <w:r w:rsidR="00A065D2" w:rsidRPr="006142CE">
        <w:rPr>
          <w:rFonts w:hint="cs"/>
          <w:sz w:val="26"/>
          <w:szCs w:val="26"/>
          <w:rtl/>
          <w:lang w:val="en-US" w:bidi="ar-EG"/>
        </w:rPr>
        <w:t xml:space="preserve"> وثلاجات العرض القائمة على </w:t>
      </w:r>
      <w:r w:rsidR="00A065D2" w:rsidRPr="006142CE">
        <w:rPr>
          <w:sz w:val="26"/>
          <w:szCs w:val="26"/>
          <w:lang w:val="en-US" w:bidi="ar-EG"/>
        </w:rPr>
        <w:t>R-600a</w:t>
      </w:r>
      <w:r w:rsidR="00A065D2" w:rsidRPr="006142CE">
        <w:rPr>
          <w:rFonts w:hint="cs"/>
          <w:sz w:val="26"/>
          <w:szCs w:val="26"/>
          <w:rtl/>
          <w:lang w:val="en-US" w:bidi="ar-EG"/>
        </w:rPr>
        <w:t xml:space="preserve"> و </w:t>
      </w:r>
      <w:r w:rsidR="00A065D2" w:rsidRPr="006142CE">
        <w:rPr>
          <w:sz w:val="26"/>
          <w:szCs w:val="26"/>
          <w:lang w:val="en-US" w:bidi="ar-EG"/>
        </w:rPr>
        <w:t>R-290</w:t>
      </w:r>
      <w:r w:rsidR="00A065D2" w:rsidRPr="006142CE">
        <w:rPr>
          <w:rFonts w:hint="cs"/>
          <w:sz w:val="26"/>
          <w:szCs w:val="26"/>
          <w:rtl/>
          <w:lang w:val="en-US" w:bidi="ar-EG"/>
        </w:rPr>
        <w:t>).</w:t>
      </w:r>
    </w:p>
    <w:p w14:paraId="2EDAC3E7" w14:textId="0F6EB740" w:rsidR="00245558" w:rsidRPr="00A065D2" w:rsidRDefault="00A065D2" w:rsidP="00A065D2">
      <w:pPr>
        <w:pStyle w:val="StyleHeader4Para4Left0Firstline0"/>
        <w:numPr>
          <w:ilvl w:val="0"/>
          <w:numId w:val="0"/>
        </w:numPr>
        <w:tabs>
          <w:tab w:val="clear" w:pos="2880"/>
          <w:tab w:val="clear" w:pos="5760"/>
          <w:tab w:val="left" w:pos="720"/>
        </w:tabs>
        <w:bidi/>
        <w:spacing w:before="240"/>
        <w:rPr>
          <w:i/>
          <w:iCs/>
          <w:sz w:val="26"/>
          <w:szCs w:val="26"/>
          <w:rtl/>
          <w:lang w:val="en-US" w:bidi="ar-EG"/>
        </w:rPr>
      </w:pPr>
      <w:r w:rsidRPr="008D361D">
        <w:rPr>
          <w:rFonts w:hint="cs"/>
          <w:i/>
          <w:iCs/>
          <w:sz w:val="26"/>
          <w:szCs w:val="26"/>
          <w:rtl/>
          <w:lang w:val="en-US" w:bidi="ar-EG"/>
        </w:rPr>
        <w:t>تقرير تنفيذ البرنامج القطري</w:t>
      </w:r>
    </w:p>
    <w:p w14:paraId="4D9313C1" w14:textId="2EAC550F" w:rsidR="00245558" w:rsidRDefault="00245558" w:rsidP="00245558">
      <w:pPr>
        <w:pStyle w:val="StyleHeader4Para4Left0Firstline0"/>
        <w:numPr>
          <w:ilvl w:val="0"/>
          <w:numId w:val="0"/>
        </w:numPr>
        <w:tabs>
          <w:tab w:val="clear" w:pos="2880"/>
          <w:tab w:val="clear" w:pos="5760"/>
          <w:tab w:val="left" w:pos="720"/>
        </w:tabs>
        <w:bidi/>
        <w:rPr>
          <w:sz w:val="26"/>
          <w:szCs w:val="26"/>
          <w:rtl/>
          <w:lang w:val="en-US" w:bidi="ar-EG"/>
        </w:rPr>
      </w:pPr>
      <w:r>
        <w:rPr>
          <w:rFonts w:hint="cs"/>
          <w:sz w:val="26"/>
          <w:szCs w:val="26"/>
          <w:rtl/>
          <w:lang w:val="en-US" w:bidi="ar-EG"/>
        </w:rPr>
        <w:t>6 -</w:t>
      </w:r>
      <w:r>
        <w:rPr>
          <w:sz w:val="26"/>
          <w:szCs w:val="26"/>
          <w:rtl/>
          <w:lang w:val="en-US" w:bidi="ar-EG"/>
        </w:rPr>
        <w:tab/>
      </w:r>
      <w:r w:rsidR="00A065D2">
        <w:rPr>
          <w:rFonts w:hint="cs"/>
          <w:sz w:val="26"/>
          <w:szCs w:val="26"/>
          <w:rtl/>
          <w:lang w:val="en-US" w:bidi="ar-EG"/>
        </w:rPr>
        <w:t>أبلغت حكومة ليسوتو عن بيانات استهلاك المواد الهيدروفلوروكربونية في إطار تقرير تنفيذ البرنامج القطري وهي متسقة والبيانات التي أبلغ عنها بموجب المادة 7 من بروتوكول مونتريال.</w:t>
      </w:r>
    </w:p>
    <w:p w14:paraId="1E69B6D8" w14:textId="1E0BB55E" w:rsidR="00245558" w:rsidRPr="00F62B9B" w:rsidRDefault="00456AA4" w:rsidP="00245558">
      <w:pPr>
        <w:pStyle w:val="StyleHeader4Para4Left0Firstline0"/>
        <w:numPr>
          <w:ilvl w:val="0"/>
          <w:numId w:val="0"/>
        </w:numPr>
        <w:tabs>
          <w:tab w:val="clear" w:pos="2880"/>
          <w:tab w:val="clear" w:pos="5760"/>
          <w:tab w:val="left" w:pos="720"/>
        </w:tabs>
        <w:bidi/>
        <w:rPr>
          <w:sz w:val="26"/>
          <w:szCs w:val="26"/>
          <w:u w:val="single"/>
          <w:rtl/>
          <w:lang w:val="en-US" w:bidi="ar-EG"/>
        </w:rPr>
      </w:pPr>
      <w:r w:rsidRPr="00F62B9B">
        <w:rPr>
          <w:rFonts w:hint="cs"/>
          <w:sz w:val="26"/>
          <w:szCs w:val="26"/>
          <w:u w:val="single"/>
          <w:rtl/>
          <w:lang w:val="en-US" w:bidi="ar-EG"/>
        </w:rPr>
        <w:t>حالة التقدم وصرف الأموال</w:t>
      </w:r>
    </w:p>
    <w:p w14:paraId="4239A85F" w14:textId="0B04C890" w:rsidR="00456AA4" w:rsidRPr="008D1837" w:rsidRDefault="00A065D2" w:rsidP="00456AA4">
      <w:pPr>
        <w:pStyle w:val="StyleHeader4Para4Left0Firstline0"/>
        <w:numPr>
          <w:ilvl w:val="0"/>
          <w:numId w:val="0"/>
        </w:numPr>
        <w:tabs>
          <w:tab w:val="clear" w:pos="2880"/>
          <w:tab w:val="clear" w:pos="5760"/>
          <w:tab w:val="left" w:pos="720"/>
        </w:tabs>
        <w:bidi/>
        <w:rPr>
          <w:i/>
          <w:iCs/>
          <w:sz w:val="26"/>
          <w:szCs w:val="26"/>
          <w:rtl/>
          <w:lang w:val="en-US" w:bidi="ar-EG"/>
        </w:rPr>
      </w:pPr>
      <w:r>
        <w:rPr>
          <w:rFonts w:hint="cs"/>
          <w:i/>
          <w:iCs/>
          <w:sz w:val="26"/>
          <w:szCs w:val="26"/>
          <w:rtl/>
          <w:lang w:val="en-US" w:bidi="ar-EG"/>
        </w:rPr>
        <w:t>الإطار القانوني</w:t>
      </w:r>
    </w:p>
    <w:p w14:paraId="58984D3E" w14:textId="70BD3578" w:rsidR="00245558" w:rsidRDefault="00245558" w:rsidP="00245558">
      <w:pPr>
        <w:pStyle w:val="StyleHeader4Para4Left0Firstline0"/>
        <w:numPr>
          <w:ilvl w:val="0"/>
          <w:numId w:val="0"/>
        </w:numPr>
        <w:tabs>
          <w:tab w:val="clear" w:pos="2880"/>
          <w:tab w:val="clear" w:pos="5760"/>
          <w:tab w:val="left" w:pos="720"/>
        </w:tabs>
        <w:bidi/>
        <w:rPr>
          <w:sz w:val="26"/>
          <w:szCs w:val="26"/>
          <w:rtl/>
          <w:lang w:val="en-US" w:bidi="ar-EG"/>
        </w:rPr>
      </w:pPr>
      <w:r>
        <w:rPr>
          <w:rFonts w:hint="cs"/>
          <w:sz w:val="26"/>
          <w:szCs w:val="26"/>
          <w:rtl/>
          <w:lang w:val="en-US" w:bidi="ar-EG"/>
        </w:rPr>
        <w:t>7 -</w:t>
      </w:r>
      <w:r>
        <w:rPr>
          <w:sz w:val="26"/>
          <w:szCs w:val="26"/>
          <w:rtl/>
          <w:lang w:val="en-US" w:bidi="ar-EG"/>
        </w:rPr>
        <w:tab/>
      </w:r>
      <w:r w:rsidR="00A065D2">
        <w:rPr>
          <w:rFonts w:hint="cs"/>
          <w:sz w:val="26"/>
          <w:szCs w:val="26"/>
          <w:rtl/>
          <w:lang w:val="en-US" w:bidi="ar-EG"/>
        </w:rPr>
        <w:t>تستمر حكومة ليسوتو في إنفاذ اللوائح الخاصة بالمواد ال</w:t>
      </w:r>
      <w:r w:rsidR="003645C3">
        <w:rPr>
          <w:rFonts w:hint="cs"/>
          <w:sz w:val="26"/>
          <w:szCs w:val="26"/>
          <w:rtl/>
          <w:lang w:val="en-US" w:bidi="ar-EG"/>
        </w:rPr>
        <w:t>مستنفدة</w:t>
      </w:r>
      <w:r w:rsidR="00A065D2">
        <w:rPr>
          <w:rFonts w:hint="cs"/>
          <w:sz w:val="26"/>
          <w:szCs w:val="26"/>
          <w:rtl/>
          <w:lang w:val="en-US" w:bidi="ar-EG"/>
        </w:rPr>
        <w:t xml:space="preserve"> للأوزون لعام 2012 لرقابة واردات وصادرات هذه المواد. وتعمل وحدة الأوزون الوطنية عن كثب مع سلطات الجمارك بشأن تنفيذ نظام ترخيص وحصص المواد الهيدروكلوروفلوروكربونية. وتتم الر</w:t>
      </w:r>
      <w:r w:rsidR="00E866CD">
        <w:rPr>
          <w:rFonts w:hint="cs"/>
          <w:sz w:val="26"/>
          <w:szCs w:val="26"/>
          <w:rtl/>
          <w:lang w:val="en-US" w:bidi="ar-EG"/>
        </w:rPr>
        <w:t>قابة على المعدات القائمة على المواد الهيدروكلوروفلوروكربونية من خلال نظام لتصاريح الاستيراد. كما تحدد اللوائح أيضا العقوبات التي يمكن تطبيقها على مختلف أعمال عدم الامتثال بلوائح المواد ال</w:t>
      </w:r>
      <w:r w:rsidR="003645C3">
        <w:rPr>
          <w:rFonts w:hint="cs"/>
          <w:sz w:val="26"/>
          <w:szCs w:val="26"/>
          <w:rtl/>
          <w:lang w:val="en-US" w:bidi="ar-EG"/>
        </w:rPr>
        <w:t>مستنفدة</w:t>
      </w:r>
      <w:r w:rsidR="00E866CD">
        <w:rPr>
          <w:rFonts w:hint="cs"/>
          <w:sz w:val="26"/>
          <w:szCs w:val="26"/>
          <w:rtl/>
          <w:lang w:val="en-US" w:bidi="ar-EG"/>
        </w:rPr>
        <w:t xml:space="preserve"> للأوزون وهي غرامات وسحب/إلغاء ترخيص العمل، والمحاكمة التي يمكن أن تؤدي إلى غرامة أو الحبس. وقد صدّقت حكومة ليسوتو على تعديل كيغالي في 7 تشرين الأول/أكتوبر 2019. </w:t>
      </w:r>
    </w:p>
    <w:p w14:paraId="74D1C69B" w14:textId="7074A2E7" w:rsidR="00E866CD" w:rsidRPr="00E866CD" w:rsidRDefault="00E866CD" w:rsidP="00E866CD">
      <w:pPr>
        <w:pStyle w:val="StyleHeader4Para4Left0Firstline0"/>
        <w:numPr>
          <w:ilvl w:val="0"/>
          <w:numId w:val="0"/>
        </w:numPr>
        <w:tabs>
          <w:tab w:val="clear" w:pos="2880"/>
          <w:tab w:val="clear" w:pos="5760"/>
          <w:tab w:val="left" w:pos="720"/>
        </w:tabs>
        <w:bidi/>
        <w:rPr>
          <w:i/>
          <w:iCs/>
          <w:sz w:val="26"/>
          <w:szCs w:val="26"/>
          <w:rtl/>
          <w:lang w:val="en-US" w:bidi="ar-EG"/>
        </w:rPr>
      </w:pPr>
      <w:r w:rsidRPr="00E866CD">
        <w:rPr>
          <w:rFonts w:hint="cs"/>
          <w:i/>
          <w:iCs/>
          <w:sz w:val="26"/>
          <w:szCs w:val="26"/>
          <w:rtl/>
          <w:lang w:val="en-US" w:bidi="ar-EG"/>
        </w:rPr>
        <w:t>قطاع خدمة التبريد</w:t>
      </w:r>
    </w:p>
    <w:p w14:paraId="5C9FBA9B" w14:textId="1AA6463D" w:rsidR="00245558" w:rsidRDefault="00245558" w:rsidP="00245558">
      <w:pPr>
        <w:pStyle w:val="StyleHeader4Para4Left0Firstline0"/>
        <w:numPr>
          <w:ilvl w:val="0"/>
          <w:numId w:val="0"/>
        </w:numPr>
        <w:tabs>
          <w:tab w:val="clear" w:pos="2880"/>
          <w:tab w:val="clear" w:pos="5760"/>
          <w:tab w:val="left" w:pos="720"/>
        </w:tabs>
        <w:bidi/>
        <w:rPr>
          <w:sz w:val="26"/>
          <w:szCs w:val="26"/>
          <w:rtl/>
          <w:lang w:val="en-US" w:bidi="ar-EG"/>
        </w:rPr>
      </w:pPr>
      <w:r>
        <w:rPr>
          <w:rFonts w:hint="cs"/>
          <w:sz w:val="26"/>
          <w:szCs w:val="26"/>
          <w:rtl/>
          <w:lang w:val="en-US" w:bidi="ar-EG"/>
        </w:rPr>
        <w:t>8 -</w:t>
      </w:r>
      <w:r>
        <w:rPr>
          <w:sz w:val="26"/>
          <w:szCs w:val="26"/>
          <w:rtl/>
          <w:lang w:val="en-US" w:bidi="ar-EG"/>
        </w:rPr>
        <w:tab/>
      </w:r>
      <w:r w:rsidR="00E866CD">
        <w:rPr>
          <w:rFonts w:hint="cs"/>
          <w:sz w:val="26"/>
          <w:szCs w:val="26"/>
          <w:rtl/>
          <w:lang w:val="en-US" w:bidi="ar-EG"/>
        </w:rPr>
        <w:t xml:space="preserve">تشمل الأنشطة التي تمت ما يلي: </w:t>
      </w:r>
    </w:p>
    <w:p w14:paraId="1872CD4E" w14:textId="3E443290" w:rsidR="00E866CD" w:rsidRDefault="00E866CD" w:rsidP="00E866CD">
      <w:pPr>
        <w:pStyle w:val="StyleHeader4Para4Left0Firstline0"/>
        <w:numPr>
          <w:ilvl w:val="0"/>
          <w:numId w:val="0"/>
        </w:numPr>
        <w:tabs>
          <w:tab w:val="clear" w:pos="2880"/>
          <w:tab w:val="clear" w:pos="5760"/>
          <w:tab w:val="left" w:pos="720"/>
        </w:tabs>
        <w:bidi/>
        <w:ind w:left="1324" w:hanging="1324"/>
        <w:rPr>
          <w:sz w:val="26"/>
          <w:szCs w:val="26"/>
          <w:rtl/>
          <w:lang w:val="en-US" w:bidi="ar-EG"/>
        </w:rPr>
      </w:pPr>
      <w:r>
        <w:rPr>
          <w:sz w:val="26"/>
          <w:szCs w:val="26"/>
          <w:rtl/>
          <w:lang w:bidi="ar-EG"/>
        </w:rPr>
        <w:tab/>
      </w:r>
      <w:r>
        <w:rPr>
          <w:rFonts w:hint="cs"/>
          <w:sz w:val="26"/>
          <w:szCs w:val="26"/>
          <w:rtl/>
          <w:lang w:bidi="ar-EG"/>
        </w:rPr>
        <w:t>(أ)</w:t>
      </w:r>
      <w:r w:rsidRPr="00E866CD">
        <w:rPr>
          <w:sz w:val="26"/>
          <w:szCs w:val="26"/>
          <w:rtl/>
          <w:lang w:bidi="ar-EG"/>
        </w:rPr>
        <w:tab/>
      </w:r>
      <w:r w:rsidRPr="00E866CD">
        <w:rPr>
          <w:rFonts w:hint="cs"/>
          <w:sz w:val="26"/>
          <w:szCs w:val="26"/>
          <w:rtl/>
          <w:lang w:bidi="ar-EG"/>
        </w:rPr>
        <w:t>12</w:t>
      </w:r>
      <w:r>
        <w:rPr>
          <w:rFonts w:hint="cs"/>
          <w:i/>
          <w:iCs/>
          <w:sz w:val="26"/>
          <w:szCs w:val="26"/>
          <w:rtl/>
          <w:lang w:bidi="ar-EG"/>
        </w:rPr>
        <w:t xml:space="preserve"> </w:t>
      </w:r>
      <w:r>
        <w:rPr>
          <w:rFonts w:hint="cs"/>
          <w:sz w:val="26"/>
          <w:szCs w:val="26"/>
          <w:rtl/>
          <w:lang w:val="en-US" w:bidi="ar-EG"/>
        </w:rPr>
        <w:t>برنامج تدريب جمارك لعدد 237 موظف جمارك وعملاء التخليص الجمركي (87 في المائة منهم من النساء) بشأن رقابة ورصد المواد الهيدروكلوروفلوروكربونية، بما في ذلك التطورات الحديثة في القواعد والرصد المتعلقين بالاتجار غير المشروع للمواد الخاضعة للرقابة؛ وتوزيع ثمانية أجهزة تحديد غاز التبريد؛</w:t>
      </w:r>
    </w:p>
    <w:p w14:paraId="5954929B" w14:textId="21F6F150" w:rsidR="00E866CD" w:rsidRDefault="00E866CD" w:rsidP="00E866CD">
      <w:pPr>
        <w:pStyle w:val="StyleHeader4Para4Left0Firstline0"/>
        <w:numPr>
          <w:ilvl w:val="0"/>
          <w:numId w:val="0"/>
        </w:numPr>
        <w:tabs>
          <w:tab w:val="clear" w:pos="2880"/>
          <w:tab w:val="clear" w:pos="5760"/>
          <w:tab w:val="left" w:pos="720"/>
        </w:tabs>
        <w:bidi/>
        <w:ind w:left="1324" w:hanging="1324"/>
        <w:rPr>
          <w:sz w:val="26"/>
          <w:szCs w:val="26"/>
          <w:rtl/>
          <w:lang w:val="en-US" w:bidi="ar-EG"/>
        </w:rPr>
      </w:pPr>
      <w:r>
        <w:rPr>
          <w:sz w:val="26"/>
          <w:szCs w:val="26"/>
          <w:rtl/>
          <w:lang w:val="en-US" w:bidi="ar-EG"/>
        </w:rPr>
        <w:tab/>
      </w:r>
      <w:r>
        <w:rPr>
          <w:rFonts w:hint="cs"/>
          <w:sz w:val="26"/>
          <w:szCs w:val="26"/>
          <w:rtl/>
          <w:lang w:val="en-US" w:bidi="ar-EG"/>
        </w:rPr>
        <w:t>(ب)</w:t>
      </w:r>
      <w:r>
        <w:rPr>
          <w:sz w:val="26"/>
          <w:szCs w:val="26"/>
          <w:rtl/>
          <w:lang w:val="en-US" w:bidi="ar-EG"/>
        </w:rPr>
        <w:tab/>
      </w:r>
      <w:r>
        <w:rPr>
          <w:rFonts w:hint="cs"/>
          <w:sz w:val="26"/>
          <w:szCs w:val="26"/>
          <w:rtl/>
          <w:lang w:val="en-US" w:bidi="ar-EG"/>
        </w:rPr>
        <w:t>حضر خمسة مدربين دورات تبريد معتمدة في جنوب أفريقيا تشمل العناصر الكهربائية لمعدات التبريد وتكييف الهواء والمعال</w:t>
      </w:r>
      <w:r w:rsidR="00FB4598">
        <w:rPr>
          <w:rFonts w:hint="cs"/>
          <w:sz w:val="26"/>
          <w:szCs w:val="26"/>
          <w:rtl/>
          <w:lang w:val="en-US" w:bidi="ar-EG"/>
        </w:rPr>
        <w:t>ج</w:t>
      </w:r>
      <w:r>
        <w:rPr>
          <w:rFonts w:hint="cs"/>
          <w:sz w:val="26"/>
          <w:szCs w:val="26"/>
          <w:rtl/>
          <w:lang w:val="en-US" w:bidi="ar-EG"/>
        </w:rPr>
        <w:t>ة الآمنة لغازات التبريد</w:t>
      </w:r>
      <w:r w:rsidR="00FB4598">
        <w:rPr>
          <w:rFonts w:hint="cs"/>
          <w:sz w:val="26"/>
          <w:szCs w:val="26"/>
          <w:rtl/>
          <w:lang w:val="en-US" w:bidi="ar-EG"/>
        </w:rPr>
        <w:t>؛</w:t>
      </w:r>
      <w:r>
        <w:rPr>
          <w:rFonts w:hint="cs"/>
          <w:sz w:val="26"/>
          <w:szCs w:val="26"/>
          <w:rtl/>
          <w:lang w:val="en-US" w:bidi="ar-EG"/>
        </w:rPr>
        <w:t xml:space="preserve"> تم توفير ست مجموعات من المعدات (مثل مضخة فراغية على مرحلتين، وماكينة استرداد وجهاز إليكتروني لكشف التسرب وجهاز قياس متشعب ووحدات تبريد قائمة على الهيدروكربون (ثلاجات منزلية </w:t>
      </w:r>
      <w:r>
        <w:rPr>
          <w:sz w:val="26"/>
          <w:szCs w:val="26"/>
          <w:lang w:val="en-US" w:bidi="ar-EG"/>
        </w:rPr>
        <w:t>R-600a</w:t>
      </w:r>
      <w:r>
        <w:rPr>
          <w:rFonts w:hint="cs"/>
          <w:sz w:val="26"/>
          <w:szCs w:val="26"/>
          <w:rtl/>
          <w:lang w:val="en-US" w:bidi="ar-EG"/>
        </w:rPr>
        <w:t xml:space="preserve"> ومعدات تبريد تجارية</w:t>
      </w:r>
      <w:r w:rsidR="00FB4598">
        <w:rPr>
          <w:rFonts w:hint="cs"/>
          <w:sz w:val="26"/>
          <w:szCs w:val="26"/>
          <w:rtl/>
          <w:lang w:val="en-US" w:bidi="ar-EG"/>
        </w:rPr>
        <w:t xml:space="preserve"> </w:t>
      </w:r>
      <w:r w:rsidR="00FB4598">
        <w:rPr>
          <w:sz w:val="26"/>
          <w:szCs w:val="26"/>
          <w:lang w:val="en-US" w:bidi="ar-EG"/>
        </w:rPr>
        <w:t>R-290</w:t>
      </w:r>
      <w:r>
        <w:rPr>
          <w:rFonts w:hint="cs"/>
          <w:sz w:val="26"/>
          <w:szCs w:val="26"/>
          <w:rtl/>
          <w:lang w:val="en-US" w:bidi="ar-EG"/>
        </w:rPr>
        <w:t>) ومبرد للمشروبات قائم على ثاني أكسيد الكربون بما في ذلك أدوات معالجة ثاني أكسيد الكربون)؛ وتم تدريب 263 فنيا (5 في المائة منهم من النساء) على ممارسات خدمة التبريد وتكييف الهواء الجيدة والمعالجة الآمنة لبدائل غاز التبريد؛ وتدريب عشرة مدربين محليا على معالجة ثاني أكسيد الكربون في مبردات المشروبات؛ و</w:t>
      </w:r>
    </w:p>
    <w:p w14:paraId="432E47BE" w14:textId="5C8D6327" w:rsidR="00E866CD" w:rsidRPr="00E866CD" w:rsidRDefault="00E866CD" w:rsidP="00E866CD">
      <w:pPr>
        <w:pStyle w:val="StyleHeader4Para4Left0Firstline0"/>
        <w:numPr>
          <w:ilvl w:val="0"/>
          <w:numId w:val="0"/>
        </w:numPr>
        <w:tabs>
          <w:tab w:val="clear" w:pos="2880"/>
          <w:tab w:val="clear" w:pos="5760"/>
          <w:tab w:val="left" w:pos="720"/>
        </w:tabs>
        <w:bidi/>
        <w:ind w:left="1324" w:hanging="1324"/>
        <w:rPr>
          <w:sz w:val="26"/>
          <w:szCs w:val="26"/>
          <w:rtl/>
          <w:lang w:val="en-US" w:bidi="ar-EG"/>
        </w:rPr>
      </w:pPr>
      <w:r>
        <w:rPr>
          <w:sz w:val="26"/>
          <w:szCs w:val="26"/>
          <w:rtl/>
          <w:lang w:val="en-US" w:bidi="ar-EG"/>
        </w:rPr>
        <w:tab/>
      </w:r>
      <w:r>
        <w:rPr>
          <w:rFonts w:hint="cs"/>
          <w:sz w:val="26"/>
          <w:szCs w:val="26"/>
          <w:rtl/>
          <w:lang w:val="en-US" w:bidi="ar-EG"/>
        </w:rPr>
        <w:t>(ج)</w:t>
      </w:r>
      <w:r>
        <w:rPr>
          <w:sz w:val="26"/>
          <w:szCs w:val="26"/>
          <w:rtl/>
          <w:lang w:val="en-US" w:bidi="ar-EG"/>
        </w:rPr>
        <w:tab/>
      </w:r>
      <w:r>
        <w:rPr>
          <w:rFonts w:hint="cs"/>
          <w:sz w:val="26"/>
          <w:szCs w:val="26"/>
          <w:rtl/>
          <w:lang w:val="en-US" w:bidi="ar-EG"/>
        </w:rPr>
        <w:t>حملات توعية جماهيرية، وجوائز إعلامية تمنح للصحفيين الوطنيين للإبلاغ المستمر عن قضايا طبقة الأوزون، وعقد ورشة عمل للأطراف أصحاب المصلحة لزيادة الوعي ب</w:t>
      </w:r>
      <w:r w:rsidR="006142CE">
        <w:rPr>
          <w:rFonts w:hint="cs"/>
          <w:sz w:val="26"/>
          <w:szCs w:val="26"/>
          <w:rtl/>
          <w:lang w:val="en-US" w:bidi="ar-EG"/>
        </w:rPr>
        <w:t>استنفاد</w:t>
      </w:r>
      <w:r>
        <w:rPr>
          <w:rFonts w:hint="cs"/>
          <w:sz w:val="26"/>
          <w:szCs w:val="26"/>
          <w:rtl/>
          <w:lang w:val="en-US" w:bidi="ar-EG"/>
        </w:rPr>
        <w:t xml:space="preserve"> طبقة الأوزون وأثر الأشعة فوق البنفسجية. وحصل أكثر من ألفي شخص من عموم الجمهور على المعلومات.</w:t>
      </w:r>
    </w:p>
    <w:p w14:paraId="279C4623" w14:textId="5B6EB35C" w:rsidR="00E866CD" w:rsidRPr="00E866CD" w:rsidRDefault="00E866CD" w:rsidP="00245558">
      <w:pPr>
        <w:pStyle w:val="StyleHeader4Para4Left0Firstline0"/>
        <w:numPr>
          <w:ilvl w:val="0"/>
          <w:numId w:val="0"/>
        </w:numPr>
        <w:tabs>
          <w:tab w:val="clear" w:pos="2880"/>
          <w:tab w:val="clear" w:pos="5760"/>
          <w:tab w:val="left" w:pos="720"/>
        </w:tabs>
        <w:bidi/>
        <w:rPr>
          <w:sz w:val="26"/>
          <w:szCs w:val="26"/>
          <w:u w:val="single"/>
          <w:rtl/>
          <w:lang w:val="en-US" w:bidi="ar-EG"/>
        </w:rPr>
      </w:pPr>
      <w:r>
        <w:rPr>
          <w:rFonts w:hint="cs"/>
          <w:sz w:val="26"/>
          <w:szCs w:val="26"/>
          <w:u w:val="single"/>
          <w:rtl/>
          <w:lang w:val="en-US" w:bidi="ar-EG"/>
        </w:rPr>
        <w:lastRenderedPageBreak/>
        <w:t>مستوى صرف الأموال</w:t>
      </w:r>
    </w:p>
    <w:p w14:paraId="76C6C28B" w14:textId="744E91A4" w:rsidR="00245558" w:rsidRDefault="00245558" w:rsidP="00E866CD">
      <w:pPr>
        <w:pStyle w:val="StyleHeader4Para4Left0Firstline0"/>
        <w:numPr>
          <w:ilvl w:val="0"/>
          <w:numId w:val="0"/>
        </w:numPr>
        <w:tabs>
          <w:tab w:val="clear" w:pos="2880"/>
          <w:tab w:val="clear" w:pos="5760"/>
          <w:tab w:val="left" w:pos="720"/>
        </w:tabs>
        <w:bidi/>
        <w:rPr>
          <w:sz w:val="26"/>
          <w:szCs w:val="26"/>
          <w:rtl/>
          <w:lang w:val="en-US" w:bidi="ar-EG"/>
        </w:rPr>
      </w:pPr>
      <w:r>
        <w:rPr>
          <w:rFonts w:hint="cs"/>
          <w:sz w:val="26"/>
          <w:szCs w:val="26"/>
          <w:rtl/>
          <w:lang w:val="en-US" w:bidi="ar-EG"/>
        </w:rPr>
        <w:t>9 -</w:t>
      </w:r>
      <w:r>
        <w:rPr>
          <w:sz w:val="26"/>
          <w:szCs w:val="26"/>
          <w:rtl/>
          <w:lang w:val="en-US" w:bidi="ar-EG"/>
        </w:rPr>
        <w:tab/>
      </w:r>
      <w:r w:rsidR="00E866CD">
        <w:rPr>
          <w:rFonts w:hint="cs"/>
          <w:sz w:val="26"/>
          <w:szCs w:val="26"/>
          <w:rtl/>
          <w:lang w:val="en-US" w:bidi="ar-EG"/>
        </w:rPr>
        <w:t xml:space="preserve">بتاريخ كانون الثاني/يناير 2021، من إجمالي مبلغ </w:t>
      </w:r>
      <w:r w:rsidR="00E866CD">
        <w:rPr>
          <w:sz w:val="26"/>
          <w:szCs w:val="26"/>
          <w:lang w:val="en-US" w:bidi="ar-EG"/>
        </w:rPr>
        <w:t>280,000</w:t>
      </w:r>
      <w:r w:rsidR="00E866CD">
        <w:rPr>
          <w:rFonts w:hint="cs"/>
          <w:sz w:val="26"/>
          <w:szCs w:val="26"/>
          <w:rtl/>
          <w:lang w:val="en-US" w:bidi="ar-EG"/>
        </w:rPr>
        <w:t xml:space="preserve"> دولار أمريكي الموافق عليه للمرحلة الأولى من خطة إدارة إزالة المواد الهيدروكلوروفلوروكربونية، تم صرف </w:t>
      </w:r>
      <w:r w:rsidR="00E866CD">
        <w:rPr>
          <w:sz w:val="26"/>
          <w:szCs w:val="26"/>
          <w:lang w:val="en-US" w:bidi="ar-EG"/>
        </w:rPr>
        <w:t>261,860</w:t>
      </w:r>
      <w:r w:rsidR="00E866CD">
        <w:rPr>
          <w:rFonts w:hint="cs"/>
          <w:sz w:val="26"/>
          <w:szCs w:val="26"/>
          <w:rtl/>
          <w:lang w:val="en-US" w:bidi="ar-EG"/>
        </w:rPr>
        <w:t xml:space="preserve"> دولار أمريكي. وسيتم صرف الرصيد المتبقي البالغ </w:t>
      </w:r>
      <w:r w:rsidR="00E866CD">
        <w:rPr>
          <w:sz w:val="26"/>
          <w:szCs w:val="26"/>
          <w:lang w:val="en-US" w:bidi="ar-EG"/>
        </w:rPr>
        <w:t>18,140</w:t>
      </w:r>
      <w:r w:rsidR="00E866CD">
        <w:rPr>
          <w:rFonts w:hint="cs"/>
          <w:sz w:val="26"/>
          <w:szCs w:val="26"/>
          <w:rtl/>
          <w:lang w:val="en-US" w:bidi="ar-EG"/>
        </w:rPr>
        <w:t xml:space="preserve"> دولار أمريكي عام 2021.</w:t>
      </w:r>
      <w:r w:rsidR="00B15D68">
        <w:rPr>
          <w:rFonts w:hint="cs"/>
          <w:sz w:val="26"/>
          <w:szCs w:val="26"/>
          <w:rtl/>
          <w:lang w:val="en-US" w:bidi="ar-EG"/>
        </w:rPr>
        <w:t xml:space="preserve"> </w:t>
      </w:r>
    </w:p>
    <w:p w14:paraId="05362AD5" w14:textId="4919B7FA" w:rsidR="00B15D68" w:rsidRPr="00B15D68" w:rsidRDefault="00B15D68" w:rsidP="00B15D68">
      <w:pPr>
        <w:pStyle w:val="StyleHeader4Para4Left0Firstline0"/>
        <w:numPr>
          <w:ilvl w:val="0"/>
          <w:numId w:val="0"/>
        </w:numPr>
        <w:tabs>
          <w:tab w:val="clear" w:pos="2880"/>
          <w:tab w:val="clear" w:pos="5760"/>
          <w:tab w:val="left" w:pos="720"/>
        </w:tabs>
        <w:bidi/>
        <w:rPr>
          <w:b/>
          <w:bCs/>
          <w:sz w:val="26"/>
          <w:szCs w:val="26"/>
          <w:rtl/>
          <w:lang w:val="en-US" w:bidi="ar-EG"/>
        </w:rPr>
      </w:pPr>
      <w:r w:rsidRPr="00B15D68">
        <w:rPr>
          <w:rFonts w:hint="cs"/>
          <w:b/>
          <w:bCs/>
          <w:sz w:val="26"/>
          <w:szCs w:val="26"/>
          <w:rtl/>
          <w:lang w:val="en-US" w:bidi="ar-EG"/>
        </w:rPr>
        <w:t>المرحلة الثانية من خطة إدارة إزالة المواد الهيدروكلوروفلوروكربونية</w:t>
      </w:r>
    </w:p>
    <w:p w14:paraId="7AB3DEB0" w14:textId="6DC96E5C" w:rsidR="00B15D68" w:rsidRPr="00B15D68" w:rsidRDefault="00B15D68" w:rsidP="00B15D68">
      <w:pPr>
        <w:pStyle w:val="StyleHeader4Para4Left0Firstline0"/>
        <w:numPr>
          <w:ilvl w:val="0"/>
          <w:numId w:val="0"/>
        </w:numPr>
        <w:tabs>
          <w:tab w:val="clear" w:pos="2880"/>
          <w:tab w:val="clear" w:pos="5760"/>
          <w:tab w:val="left" w:pos="720"/>
        </w:tabs>
        <w:bidi/>
        <w:rPr>
          <w:sz w:val="26"/>
          <w:szCs w:val="26"/>
          <w:u w:val="single"/>
          <w:rtl/>
          <w:lang w:val="en-US" w:bidi="ar-EG"/>
        </w:rPr>
      </w:pPr>
      <w:r w:rsidRPr="00B15D68">
        <w:rPr>
          <w:rFonts w:hint="cs"/>
          <w:sz w:val="26"/>
          <w:szCs w:val="26"/>
          <w:u w:val="single"/>
          <w:rtl/>
          <w:lang w:val="en-US" w:bidi="ar-EG"/>
        </w:rPr>
        <w:t>الاستهلاك المتبقي المؤهل للتمويل</w:t>
      </w:r>
    </w:p>
    <w:p w14:paraId="370FD359" w14:textId="12F5CF01" w:rsidR="00245558" w:rsidRDefault="00245558" w:rsidP="00245558">
      <w:pPr>
        <w:pStyle w:val="StyleHeader4Para4Left0Firstline0"/>
        <w:numPr>
          <w:ilvl w:val="0"/>
          <w:numId w:val="0"/>
        </w:numPr>
        <w:tabs>
          <w:tab w:val="clear" w:pos="2880"/>
          <w:tab w:val="clear" w:pos="5760"/>
          <w:tab w:val="left" w:pos="720"/>
        </w:tabs>
        <w:bidi/>
        <w:rPr>
          <w:sz w:val="26"/>
          <w:szCs w:val="26"/>
          <w:rtl/>
          <w:lang w:val="en-US" w:bidi="ar-EG"/>
        </w:rPr>
      </w:pPr>
      <w:r>
        <w:rPr>
          <w:rFonts w:hint="cs"/>
          <w:sz w:val="26"/>
          <w:szCs w:val="26"/>
          <w:rtl/>
          <w:lang w:val="en-US" w:bidi="ar-EG"/>
        </w:rPr>
        <w:t>10 -</w:t>
      </w:r>
      <w:r>
        <w:rPr>
          <w:sz w:val="26"/>
          <w:szCs w:val="26"/>
          <w:rtl/>
          <w:lang w:val="en-US" w:bidi="ar-EG"/>
        </w:rPr>
        <w:tab/>
      </w:r>
      <w:r w:rsidR="00B15D68">
        <w:rPr>
          <w:rFonts w:hint="cs"/>
          <w:sz w:val="26"/>
          <w:szCs w:val="26"/>
          <w:rtl/>
          <w:lang w:val="en-US" w:bidi="ar-EG"/>
        </w:rPr>
        <w:t xml:space="preserve">بعد خصم </w:t>
      </w:r>
      <w:r w:rsidR="00B15D68">
        <w:rPr>
          <w:sz w:val="26"/>
          <w:szCs w:val="26"/>
          <w:lang w:val="en-US" w:bidi="ar-EG"/>
        </w:rPr>
        <w:t>0.54</w:t>
      </w:r>
      <w:r w:rsidR="00B15D68">
        <w:rPr>
          <w:rFonts w:hint="cs"/>
          <w:sz w:val="26"/>
          <w:szCs w:val="26"/>
          <w:rtl/>
          <w:lang w:val="en-US" w:bidi="ar-EG"/>
        </w:rPr>
        <w:t xml:space="preserve"> طن من قدرات </w:t>
      </w:r>
      <w:r w:rsidR="006142CE">
        <w:rPr>
          <w:rFonts w:hint="cs"/>
          <w:sz w:val="26"/>
          <w:szCs w:val="26"/>
          <w:rtl/>
          <w:lang w:val="en-US" w:bidi="ar-EG"/>
        </w:rPr>
        <w:t>استنفاد</w:t>
      </w:r>
      <w:r w:rsidR="00B15D68">
        <w:rPr>
          <w:rFonts w:hint="cs"/>
          <w:sz w:val="26"/>
          <w:szCs w:val="26"/>
          <w:rtl/>
          <w:lang w:val="en-US" w:bidi="ar-EG"/>
        </w:rPr>
        <w:t xml:space="preserve"> الأوزون من المواد الهيدروكلوروفلوروكربونية المتعلقة بالمرحلة الأولى من خطة إدارة إزالة هذه المواد، فإن الاستهلاك المتبقي المؤهل للتمويل للإزالة الكاملة في المرحلة الثانية يبلغ </w:t>
      </w:r>
      <w:r w:rsidR="00B15D68">
        <w:rPr>
          <w:sz w:val="26"/>
          <w:szCs w:val="26"/>
          <w:lang w:val="en-US" w:bidi="ar-EG"/>
        </w:rPr>
        <w:t>1.00</w:t>
      </w:r>
      <w:r w:rsidR="00B15D68">
        <w:rPr>
          <w:rFonts w:hint="cs"/>
          <w:sz w:val="26"/>
          <w:szCs w:val="26"/>
          <w:rtl/>
          <w:lang w:val="en-US" w:bidi="ar-EG"/>
        </w:rPr>
        <w:t xml:space="preserve"> طن من قدرات </w:t>
      </w:r>
      <w:r w:rsidR="006142CE">
        <w:rPr>
          <w:rFonts w:hint="cs"/>
          <w:sz w:val="26"/>
          <w:szCs w:val="26"/>
          <w:rtl/>
          <w:lang w:val="en-US" w:bidi="ar-EG"/>
        </w:rPr>
        <w:t>استنفاد</w:t>
      </w:r>
      <w:r w:rsidR="00B15D68">
        <w:rPr>
          <w:rFonts w:hint="cs"/>
          <w:sz w:val="26"/>
          <w:szCs w:val="26"/>
          <w:rtl/>
          <w:lang w:val="en-US" w:bidi="ar-EG"/>
        </w:rPr>
        <w:t xml:space="preserve"> الأوزون من الهيدركلوروفلوروكربون-22.</w:t>
      </w:r>
    </w:p>
    <w:p w14:paraId="17C57217" w14:textId="3FA0C1A6" w:rsidR="00A775CB" w:rsidRPr="00B15D68" w:rsidRDefault="00B15D68" w:rsidP="00A775CB">
      <w:pPr>
        <w:pStyle w:val="StyleHeader4Para4Left0Firstline0"/>
        <w:numPr>
          <w:ilvl w:val="0"/>
          <w:numId w:val="0"/>
        </w:numPr>
        <w:tabs>
          <w:tab w:val="clear" w:pos="2880"/>
          <w:tab w:val="clear" w:pos="5760"/>
          <w:tab w:val="left" w:pos="720"/>
        </w:tabs>
        <w:bidi/>
        <w:rPr>
          <w:sz w:val="26"/>
          <w:szCs w:val="26"/>
          <w:u w:val="single"/>
          <w:rtl/>
          <w:lang w:val="en-US" w:bidi="ar-EG"/>
        </w:rPr>
      </w:pPr>
      <w:r w:rsidRPr="00B15D68">
        <w:rPr>
          <w:rFonts w:hint="cs"/>
          <w:sz w:val="26"/>
          <w:szCs w:val="26"/>
          <w:u w:val="single"/>
          <w:rtl/>
          <w:lang w:val="en-US" w:bidi="ar-EG"/>
        </w:rPr>
        <w:t>التوزيع القطاعي للمواد الهيدروكلوروفلوروكربونية</w:t>
      </w:r>
    </w:p>
    <w:p w14:paraId="752BC70F" w14:textId="1696DEDB" w:rsidR="00245558" w:rsidRDefault="00245558" w:rsidP="00245558">
      <w:pPr>
        <w:pStyle w:val="StyleHeader4Para4Left0Firstline0"/>
        <w:numPr>
          <w:ilvl w:val="0"/>
          <w:numId w:val="0"/>
        </w:numPr>
        <w:tabs>
          <w:tab w:val="clear" w:pos="2880"/>
          <w:tab w:val="clear" w:pos="5760"/>
          <w:tab w:val="left" w:pos="720"/>
        </w:tabs>
        <w:bidi/>
        <w:rPr>
          <w:sz w:val="26"/>
          <w:szCs w:val="26"/>
          <w:rtl/>
          <w:lang w:val="en-US" w:bidi="ar-EG"/>
        </w:rPr>
      </w:pPr>
      <w:r>
        <w:rPr>
          <w:rFonts w:hint="cs"/>
          <w:sz w:val="26"/>
          <w:szCs w:val="26"/>
          <w:rtl/>
          <w:lang w:val="en-US" w:bidi="ar-EG"/>
        </w:rPr>
        <w:t>11 -</w:t>
      </w:r>
      <w:r>
        <w:rPr>
          <w:sz w:val="26"/>
          <w:szCs w:val="26"/>
          <w:rtl/>
          <w:lang w:val="en-US" w:bidi="ar-EG"/>
        </w:rPr>
        <w:tab/>
      </w:r>
      <w:r w:rsidR="00B15D68">
        <w:rPr>
          <w:rFonts w:hint="cs"/>
          <w:sz w:val="26"/>
          <w:szCs w:val="26"/>
          <w:rtl/>
          <w:lang w:val="en-US" w:bidi="ar-EG"/>
        </w:rPr>
        <w:t>هناك حوالي ألف فني (473 مسجلين) و 132 ورشة مسجلة يستهلكون الهيدروكلوروفلوروكربون-22 لخدمة نظم تكييف الهواء السبليت المفردة</w:t>
      </w:r>
      <w:r w:rsidR="007817AE">
        <w:rPr>
          <w:rFonts w:hint="cs"/>
          <w:sz w:val="26"/>
          <w:szCs w:val="26"/>
          <w:rtl/>
          <w:lang w:val="en-US" w:bidi="ar-EG"/>
        </w:rPr>
        <w:t xml:space="preserve"> ونظم تكييف هواء مجهزة</w:t>
      </w:r>
      <w:r w:rsidR="00B15D68">
        <w:rPr>
          <w:rFonts w:hint="cs"/>
          <w:sz w:val="26"/>
          <w:szCs w:val="26"/>
          <w:rtl/>
          <w:lang w:val="en-US" w:bidi="ar-EG"/>
        </w:rPr>
        <w:t xml:space="preserve"> ذات حجم غازات تبريد أكبر ومتنوع، وثلاجات العرض وغرف التكثيف والتبريد كما يتضح من الجدول 2. يمثل الهيدروكلوروفلوروكربون-22 نسبة </w:t>
      </w:r>
      <w:r w:rsidR="00B15D68">
        <w:rPr>
          <w:sz w:val="26"/>
          <w:szCs w:val="26"/>
          <w:lang w:val="en-US" w:bidi="ar-EG"/>
        </w:rPr>
        <w:t>31.6</w:t>
      </w:r>
      <w:r w:rsidR="00B15D68">
        <w:rPr>
          <w:rFonts w:hint="cs"/>
          <w:sz w:val="26"/>
          <w:szCs w:val="26"/>
          <w:rtl/>
          <w:lang w:val="en-US" w:bidi="ar-EG"/>
        </w:rPr>
        <w:t xml:space="preserve"> في المائة والهيدروفلوروكربون-</w:t>
      </w:r>
      <w:r w:rsidR="00B15D68">
        <w:rPr>
          <w:sz w:val="26"/>
          <w:szCs w:val="26"/>
          <w:lang w:val="en-US" w:bidi="ar-EG"/>
        </w:rPr>
        <w:t>a134</w:t>
      </w:r>
      <w:r w:rsidR="00B15D68">
        <w:rPr>
          <w:rFonts w:hint="cs"/>
          <w:sz w:val="26"/>
          <w:szCs w:val="26"/>
          <w:rtl/>
          <w:lang w:val="en-US" w:bidi="ar-EG"/>
        </w:rPr>
        <w:t xml:space="preserve"> (</w:t>
      </w:r>
      <w:r w:rsidR="00B15D68">
        <w:rPr>
          <w:sz w:val="26"/>
          <w:szCs w:val="26"/>
          <w:lang w:val="en-US" w:bidi="ar-EG"/>
        </w:rPr>
        <w:t>22.1</w:t>
      </w:r>
      <w:r w:rsidR="00B15D68">
        <w:rPr>
          <w:rFonts w:hint="cs"/>
          <w:sz w:val="26"/>
          <w:szCs w:val="26"/>
          <w:rtl/>
          <w:lang w:val="en-US" w:bidi="ar-EG"/>
        </w:rPr>
        <w:t xml:space="preserve"> في المائة) و </w:t>
      </w:r>
      <w:r w:rsidR="00B15D68">
        <w:rPr>
          <w:sz w:val="26"/>
          <w:szCs w:val="26"/>
          <w:lang w:val="en-US" w:bidi="ar-EG"/>
        </w:rPr>
        <w:t>R-410A</w:t>
      </w:r>
      <w:r w:rsidR="00B15D68">
        <w:rPr>
          <w:rFonts w:hint="cs"/>
          <w:sz w:val="26"/>
          <w:szCs w:val="26"/>
          <w:rtl/>
          <w:lang w:val="en-US" w:bidi="ar-EG"/>
        </w:rPr>
        <w:t xml:space="preserve"> (</w:t>
      </w:r>
      <w:r w:rsidR="00B15D68">
        <w:rPr>
          <w:sz w:val="26"/>
          <w:szCs w:val="26"/>
          <w:lang w:val="en-US" w:bidi="ar-EG"/>
        </w:rPr>
        <w:t>18.3</w:t>
      </w:r>
      <w:r w:rsidR="00B15D68">
        <w:rPr>
          <w:rFonts w:hint="cs"/>
          <w:sz w:val="26"/>
          <w:szCs w:val="26"/>
          <w:rtl/>
          <w:lang w:val="en-US" w:bidi="ar-EG"/>
        </w:rPr>
        <w:t xml:space="preserve"> في المائة) و </w:t>
      </w:r>
      <w:r w:rsidR="00B15D68">
        <w:rPr>
          <w:sz w:val="26"/>
          <w:szCs w:val="26"/>
          <w:lang w:val="en-US" w:bidi="ar-EG"/>
        </w:rPr>
        <w:t>R-404A</w:t>
      </w:r>
      <w:r w:rsidR="00B15D68">
        <w:rPr>
          <w:rFonts w:hint="cs"/>
          <w:sz w:val="26"/>
          <w:szCs w:val="26"/>
          <w:rtl/>
          <w:lang w:val="en-US" w:bidi="ar-EG"/>
        </w:rPr>
        <w:t xml:space="preserve"> (</w:t>
      </w:r>
      <w:r w:rsidR="00B15D68">
        <w:rPr>
          <w:sz w:val="26"/>
          <w:szCs w:val="26"/>
          <w:lang w:val="en-US" w:bidi="ar-EG"/>
        </w:rPr>
        <w:t>13.3</w:t>
      </w:r>
      <w:r w:rsidR="00B15D68">
        <w:rPr>
          <w:rFonts w:hint="cs"/>
          <w:sz w:val="26"/>
          <w:szCs w:val="26"/>
          <w:rtl/>
          <w:lang w:val="en-US" w:bidi="ar-EG"/>
        </w:rPr>
        <w:t xml:space="preserve"> في المائة) وغازات أخرى (</w:t>
      </w:r>
      <w:r w:rsidR="00B15D68">
        <w:rPr>
          <w:sz w:val="26"/>
          <w:szCs w:val="26"/>
          <w:lang w:val="en-US" w:bidi="ar-EG"/>
        </w:rPr>
        <w:t>14.7</w:t>
      </w:r>
      <w:r w:rsidR="00B15D68">
        <w:rPr>
          <w:rFonts w:hint="cs"/>
          <w:sz w:val="26"/>
          <w:szCs w:val="26"/>
          <w:rtl/>
          <w:lang w:val="en-US" w:bidi="ar-EG"/>
        </w:rPr>
        <w:t xml:space="preserve"> في المائة). وأجهزة التكييف السبليت المفردة هي المعدات الأكثر انتشارا التي تستخدم المواد الهيدروكلوروفلوروكربونية؛ كما أن نظم تكييف الهواء السبليت المتعددة وذات حجم غازات تبريد متغير فهي عددها أقل في البلد ولكن من المتوقع أن تزداد انتشارا ببطء. ونجد أن غرف التبريد وثلاجات العرض المستخدمة لحفظ المأكولات هي معدات التبريد التجاري القائمة على المواد الهيدروكلوروفلوروكربونية السائدة.</w:t>
      </w:r>
    </w:p>
    <w:p w14:paraId="74F9764F" w14:textId="1CBA7E6F" w:rsidR="00B15D68" w:rsidRPr="00C4579D" w:rsidRDefault="00B15D68" w:rsidP="00B15D68">
      <w:pPr>
        <w:pStyle w:val="StyleHeader4Para4Left0Firstline0"/>
        <w:numPr>
          <w:ilvl w:val="0"/>
          <w:numId w:val="0"/>
        </w:numPr>
        <w:tabs>
          <w:tab w:val="clear" w:pos="2880"/>
          <w:tab w:val="clear" w:pos="5760"/>
          <w:tab w:val="left" w:pos="720"/>
        </w:tabs>
        <w:bidi/>
        <w:rPr>
          <w:b/>
          <w:bCs/>
          <w:sz w:val="26"/>
          <w:szCs w:val="26"/>
          <w:rtl/>
          <w:lang w:val="en-US" w:bidi="ar-EG"/>
        </w:rPr>
      </w:pPr>
      <w:r w:rsidRPr="00C4579D">
        <w:rPr>
          <w:rFonts w:hint="cs"/>
          <w:b/>
          <w:bCs/>
          <w:sz w:val="26"/>
          <w:szCs w:val="26"/>
          <w:rtl/>
          <w:lang w:val="en-US" w:bidi="ar-EG"/>
        </w:rPr>
        <w:t xml:space="preserve">الجدول 2 </w:t>
      </w:r>
      <w:r w:rsidR="00C4579D" w:rsidRPr="00C4579D">
        <w:rPr>
          <w:b/>
          <w:bCs/>
          <w:sz w:val="26"/>
          <w:szCs w:val="26"/>
          <w:rtl/>
          <w:lang w:val="en-US" w:bidi="ar-EG"/>
        </w:rPr>
        <w:t>–</w:t>
      </w:r>
      <w:r w:rsidRPr="00C4579D">
        <w:rPr>
          <w:rFonts w:hint="cs"/>
          <w:b/>
          <w:bCs/>
          <w:sz w:val="26"/>
          <w:szCs w:val="26"/>
          <w:rtl/>
          <w:lang w:val="en-US" w:bidi="ar-EG"/>
        </w:rPr>
        <w:t xml:space="preserve"> </w:t>
      </w:r>
      <w:r w:rsidR="00C4579D" w:rsidRPr="00C4579D">
        <w:rPr>
          <w:rFonts w:hint="cs"/>
          <w:b/>
          <w:bCs/>
          <w:sz w:val="26"/>
          <w:szCs w:val="26"/>
          <w:rtl/>
          <w:lang w:val="en-US" w:bidi="ar-EG"/>
        </w:rPr>
        <w:t>تقدير الطلب على الهيدروكلوروفلوروكربون-22 في قطاع خدمة التبريد وتكييف الهواء في ليسوتو</w:t>
      </w:r>
    </w:p>
    <w:tbl>
      <w:tblPr>
        <w:bidiVisual/>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2075"/>
        <w:gridCol w:w="1700"/>
        <w:gridCol w:w="1098"/>
        <w:gridCol w:w="1098"/>
        <w:gridCol w:w="1098"/>
        <w:gridCol w:w="1116"/>
        <w:gridCol w:w="1170"/>
      </w:tblGrid>
      <w:tr w:rsidR="00C4579D" w:rsidRPr="000F4708" w14:paraId="50E86316" w14:textId="77777777" w:rsidTr="007817AE">
        <w:tc>
          <w:tcPr>
            <w:tcW w:w="3775" w:type="dxa"/>
            <w:gridSpan w:val="2"/>
            <w:shd w:val="clear" w:color="auto" w:fill="auto"/>
            <w:vAlign w:val="center"/>
            <w:hideMark/>
          </w:tcPr>
          <w:p w14:paraId="64B718C9" w14:textId="5C523DD1" w:rsidR="00C4579D" w:rsidRPr="00C4579D" w:rsidRDefault="00C4579D" w:rsidP="007817AE">
            <w:pPr>
              <w:keepNext/>
              <w:tabs>
                <w:tab w:val="left" w:pos="2220"/>
              </w:tabs>
              <w:bidi/>
              <w:jc w:val="center"/>
              <w:rPr>
                <w:bCs/>
                <w:sz w:val="20"/>
                <w:lang w:val="en-CA"/>
              </w:rPr>
            </w:pPr>
            <w:bookmarkStart w:id="1" w:name="_Hlk26931131"/>
            <w:r w:rsidRPr="00C4579D">
              <w:rPr>
                <w:rFonts w:hint="cs"/>
                <w:bCs/>
                <w:sz w:val="20"/>
                <w:rtl/>
                <w:lang w:val="en-CA"/>
              </w:rPr>
              <w:t>القطاع/التطبيق</w:t>
            </w:r>
          </w:p>
        </w:tc>
        <w:tc>
          <w:tcPr>
            <w:tcW w:w="1098" w:type="dxa"/>
            <w:shd w:val="clear" w:color="auto" w:fill="auto"/>
            <w:tcMar>
              <w:left w:w="0" w:type="dxa"/>
              <w:right w:w="0" w:type="dxa"/>
            </w:tcMar>
            <w:vAlign w:val="center"/>
            <w:hideMark/>
          </w:tcPr>
          <w:p w14:paraId="5F3EBEF2" w14:textId="55797F15" w:rsidR="00C4579D" w:rsidRPr="00C4579D" w:rsidRDefault="00C4579D" w:rsidP="007817AE">
            <w:pPr>
              <w:keepNext/>
              <w:tabs>
                <w:tab w:val="left" w:pos="2220"/>
              </w:tabs>
              <w:bidi/>
              <w:jc w:val="center"/>
              <w:rPr>
                <w:bCs/>
                <w:sz w:val="20"/>
                <w:lang w:val="en-CA"/>
              </w:rPr>
            </w:pPr>
            <w:r w:rsidRPr="00C4579D">
              <w:rPr>
                <w:rFonts w:hint="cs"/>
                <w:bCs/>
                <w:sz w:val="20"/>
                <w:rtl/>
                <w:lang w:val="en-CA"/>
              </w:rPr>
              <w:t>عدد الوحدات</w:t>
            </w:r>
          </w:p>
        </w:tc>
        <w:tc>
          <w:tcPr>
            <w:tcW w:w="1098" w:type="dxa"/>
            <w:shd w:val="clear" w:color="auto" w:fill="auto"/>
            <w:tcMar>
              <w:left w:w="0" w:type="dxa"/>
              <w:right w:w="0" w:type="dxa"/>
            </w:tcMar>
            <w:vAlign w:val="center"/>
            <w:hideMark/>
          </w:tcPr>
          <w:p w14:paraId="46DBA3D8" w14:textId="77777777" w:rsidR="00C4579D" w:rsidRDefault="00C4579D" w:rsidP="007817AE">
            <w:pPr>
              <w:keepNext/>
              <w:tabs>
                <w:tab w:val="left" w:pos="2220"/>
              </w:tabs>
              <w:bidi/>
              <w:jc w:val="center"/>
              <w:rPr>
                <w:bCs/>
                <w:sz w:val="20"/>
                <w:rtl/>
                <w:lang w:val="en-CA"/>
              </w:rPr>
            </w:pPr>
            <w:r w:rsidRPr="00C4579D">
              <w:rPr>
                <w:rFonts w:hint="cs"/>
                <w:bCs/>
                <w:sz w:val="20"/>
                <w:rtl/>
                <w:lang w:val="en-CA"/>
              </w:rPr>
              <w:t xml:space="preserve">بنك المواد </w:t>
            </w:r>
          </w:p>
          <w:p w14:paraId="05302149" w14:textId="2FE387C0" w:rsidR="00C4579D" w:rsidRPr="00C4579D" w:rsidRDefault="00C4579D" w:rsidP="00C4579D">
            <w:pPr>
              <w:keepNext/>
              <w:tabs>
                <w:tab w:val="left" w:pos="2220"/>
              </w:tabs>
              <w:bidi/>
              <w:jc w:val="center"/>
              <w:rPr>
                <w:bCs/>
                <w:spacing w:val="-6"/>
                <w:sz w:val="20"/>
                <w:lang w:val="en-CA"/>
              </w:rPr>
            </w:pPr>
            <w:r w:rsidRPr="00C4579D">
              <w:rPr>
                <w:rFonts w:hint="cs"/>
                <w:bCs/>
                <w:sz w:val="20"/>
                <w:rtl/>
                <w:lang w:val="en-CA"/>
              </w:rPr>
              <w:t>(طن متري)</w:t>
            </w:r>
          </w:p>
        </w:tc>
        <w:tc>
          <w:tcPr>
            <w:tcW w:w="1098" w:type="dxa"/>
            <w:shd w:val="clear" w:color="auto" w:fill="auto"/>
            <w:tcMar>
              <w:left w:w="0" w:type="dxa"/>
              <w:right w:w="0" w:type="dxa"/>
            </w:tcMar>
            <w:vAlign w:val="center"/>
            <w:hideMark/>
          </w:tcPr>
          <w:p w14:paraId="2279990E" w14:textId="2B4AE303" w:rsidR="00C4579D" w:rsidRPr="00C4579D" w:rsidRDefault="00C4579D" w:rsidP="007817AE">
            <w:pPr>
              <w:keepNext/>
              <w:tabs>
                <w:tab w:val="left" w:pos="2220"/>
              </w:tabs>
              <w:bidi/>
              <w:jc w:val="center"/>
              <w:rPr>
                <w:bCs/>
                <w:sz w:val="20"/>
                <w:lang w:val="en-CA"/>
              </w:rPr>
            </w:pPr>
            <w:r w:rsidRPr="00C4579D">
              <w:rPr>
                <w:rFonts w:hint="cs"/>
                <w:bCs/>
                <w:sz w:val="20"/>
                <w:rtl/>
                <w:lang w:val="en-CA"/>
              </w:rPr>
              <w:t>نسب التسرب (%)</w:t>
            </w:r>
          </w:p>
        </w:tc>
        <w:tc>
          <w:tcPr>
            <w:tcW w:w="1116" w:type="dxa"/>
            <w:shd w:val="clear" w:color="auto" w:fill="auto"/>
            <w:tcMar>
              <w:left w:w="0" w:type="dxa"/>
              <w:right w:w="0" w:type="dxa"/>
            </w:tcMar>
            <w:vAlign w:val="center"/>
            <w:hideMark/>
          </w:tcPr>
          <w:p w14:paraId="1A26BE46" w14:textId="77777777" w:rsidR="00C4579D" w:rsidRDefault="00C4579D" w:rsidP="007817AE">
            <w:pPr>
              <w:keepNext/>
              <w:tabs>
                <w:tab w:val="left" w:pos="2220"/>
              </w:tabs>
              <w:bidi/>
              <w:jc w:val="center"/>
              <w:rPr>
                <w:bCs/>
                <w:sz w:val="20"/>
                <w:rtl/>
                <w:lang w:val="en-CA"/>
              </w:rPr>
            </w:pPr>
            <w:r w:rsidRPr="00C4579D">
              <w:rPr>
                <w:rFonts w:hint="cs"/>
                <w:bCs/>
                <w:sz w:val="20"/>
                <w:rtl/>
                <w:lang w:val="en-CA"/>
              </w:rPr>
              <w:t xml:space="preserve">الاستهلاك السنوي </w:t>
            </w:r>
          </w:p>
          <w:p w14:paraId="2DF17605" w14:textId="7329802A" w:rsidR="00C4579D" w:rsidRPr="00C4579D" w:rsidRDefault="00C4579D" w:rsidP="00C4579D">
            <w:pPr>
              <w:keepNext/>
              <w:tabs>
                <w:tab w:val="left" w:pos="2220"/>
              </w:tabs>
              <w:bidi/>
              <w:jc w:val="center"/>
              <w:rPr>
                <w:bCs/>
                <w:sz w:val="20"/>
                <w:lang w:val="en-CA"/>
              </w:rPr>
            </w:pPr>
            <w:r w:rsidRPr="00C4579D">
              <w:rPr>
                <w:rFonts w:hint="cs"/>
                <w:bCs/>
                <w:sz w:val="20"/>
                <w:rtl/>
                <w:lang w:val="en-CA"/>
              </w:rPr>
              <w:t>(طن متري)</w:t>
            </w:r>
          </w:p>
        </w:tc>
        <w:tc>
          <w:tcPr>
            <w:tcW w:w="1170" w:type="dxa"/>
            <w:shd w:val="clear" w:color="auto" w:fill="auto"/>
            <w:tcMar>
              <w:left w:w="0" w:type="dxa"/>
              <w:right w:w="0" w:type="dxa"/>
            </w:tcMar>
            <w:vAlign w:val="center"/>
          </w:tcPr>
          <w:p w14:paraId="4D247DA3" w14:textId="77777777" w:rsidR="00C4579D" w:rsidRDefault="00C4579D" w:rsidP="007817AE">
            <w:pPr>
              <w:keepNext/>
              <w:tabs>
                <w:tab w:val="left" w:pos="2220"/>
              </w:tabs>
              <w:bidi/>
              <w:jc w:val="center"/>
              <w:rPr>
                <w:bCs/>
                <w:sz w:val="20"/>
                <w:rtl/>
                <w:lang w:val="en-CA"/>
              </w:rPr>
            </w:pPr>
            <w:r w:rsidRPr="00C4579D">
              <w:rPr>
                <w:rFonts w:hint="cs"/>
                <w:bCs/>
                <w:sz w:val="20"/>
                <w:rtl/>
                <w:lang w:val="en-CA"/>
              </w:rPr>
              <w:t xml:space="preserve">نسبة الاستهلاك السنوي </w:t>
            </w:r>
          </w:p>
          <w:p w14:paraId="23495FAE" w14:textId="5B5E5660" w:rsidR="00C4579D" w:rsidRPr="00C4579D" w:rsidRDefault="00C4579D" w:rsidP="00C4579D">
            <w:pPr>
              <w:keepNext/>
              <w:tabs>
                <w:tab w:val="left" w:pos="2220"/>
              </w:tabs>
              <w:bidi/>
              <w:jc w:val="center"/>
              <w:rPr>
                <w:bCs/>
                <w:sz w:val="20"/>
                <w:lang w:val="en-CA"/>
              </w:rPr>
            </w:pPr>
            <w:r w:rsidRPr="00C4579D">
              <w:rPr>
                <w:rFonts w:hint="cs"/>
                <w:bCs/>
                <w:sz w:val="20"/>
                <w:rtl/>
                <w:lang w:val="en-CA"/>
              </w:rPr>
              <w:t>(%)</w:t>
            </w:r>
          </w:p>
        </w:tc>
      </w:tr>
      <w:tr w:rsidR="00C4579D" w:rsidRPr="000F4708" w14:paraId="6DCB3356" w14:textId="77777777" w:rsidTr="00C4579D">
        <w:tc>
          <w:tcPr>
            <w:tcW w:w="2075" w:type="dxa"/>
            <w:vMerge w:val="restart"/>
            <w:shd w:val="clear" w:color="auto" w:fill="auto"/>
          </w:tcPr>
          <w:p w14:paraId="7E2E2AC4" w14:textId="455F4222" w:rsidR="00C4579D" w:rsidRPr="00C4579D" w:rsidRDefault="00C4579D" w:rsidP="007817AE">
            <w:pPr>
              <w:keepNext/>
              <w:tabs>
                <w:tab w:val="left" w:pos="2220"/>
              </w:tabs>
              <w:bidi/>
              <w:jc w:val="left"/>
              <w:rPr>
                <w:b/>
                <w:spacing w:val="-10"/>
                <w:sz w:val="20"/>
                <w:lang w:val="en-CA"/>
              </w:rPr>
            </w:pPr>
            <w:r w:rsidRPr="00C4579D">
              <w:rPr>
                <w:rFonts w:hint="cs"/>
                <w:b/>
                <w:sz w:val="20"/>
                <w:rtl/>
                <w:lang w:val="en-CA"/>
              </w:rPr>
              <w:t>تكييف هواء (وحدات ونظم سبليت)</w:t>
            </w:r>
          </w:p>
        </w:tc>
        <w:tc>
          <w:tcPr>
            <w:tcW w:w="1700" w:type="dxa"/>
            <w:shd w:val="clear" w:color="auto" w:fill="auto"/>
            <w:vAlign w:val="center"/>
          </w:tcPr>
          <w:p w14:paraId="4C2B90FF" w14:textId="0D181BB1" w:rsidR="00C4579D" w:rsidRPr="000F4708" w:rsidRDefault="00C4579D" w:rsidP="007817AE">
            <w:pPr>
              <w:keepNext/>
              <w:tabs>
                <w:tab w:val="left" w:pos="2220"/>
              </w:tabs>
              <w:bidi/>
              <w:jc w:val="left"/>
              <w:rPr>
                <w:sz w:val="20"/>
                <w:lang w:val="en-CA"/>
              </w:rPr>
            </w:pPr>
            <w:r>
              <w:rPr>
                <w:rFonts w:hint="cs"/>
                <w:sz w:val="20"/>
                <w:rtl/>
                <w:lang w:val="en-CA"/>
              </w:rPr>
              <w:t>منازل</w:t>
            </w:r>
          </w:p>
        </w:tc>
        <w:tc>
          <w:tcPr>
            <w:tcW w:w="1098" w:type="dxa"/>
            <w:shd w:val="clear" w:color="auto" w:fill="auto"/>
            <w:tcMar>
              <w:right w:w="144" w:type="dxa"/>
            </w:tcMar>
          </w:tcPr>
          <w:p w14:paraId="3E6660C7" w14:textId="77777777" w:rsidR="00C4579D" w:rsidRPr="000F4708" w:rsidRDefault="00C4579D" w:rsidP="00C4579D">
            <w:pPr>
              <w:keepNext/>
              <w:jc w:val="right"/>
              <w:rPr>
                <w:color w:val="000000" w:themeColor="text1"/>
                <w:sz w:val="20"/>
                <w:vertAlign w:val="superscript"/>
                <w:lang w:val="en-CA"/>
              </w:rPr>
            </w:pPr>
            <w:r w:rsidRPr="000F4708">
              <w:rPr>
                <w:bCs/>
                <w:color w:val="000000" w:themeColor="text1"/>
                <w:sz w:val="20"/>
                <w:lang w:val="en-CA"/>
              </w:rPr>
              <w:t>12,000</w:t>
            </w:r>
          </w:p>
        </w:tc>
        <w:tc>
          <w:tcPr>
            <w:tcW w:w="1098" w:type="dxa"/>
            <w:shd w:val="clear" w:color="auto" w:fill="auto"/>
            <w:tcMar>
              <w:right w:w="144" w:type="dxa"/>
            </w:tcMar>
          </w:tcPr>
          <w:p w14:paraId="789B7979" w14:textId="77777777" w:rsidR="00C4579D" w:rsidRPr="000F4708" w:rsidRDefault="00C4579D" w:rsidP="00C4579D">
            <w:pPr>
              <w:keepNext/>
              <w:tabs>
                <w:tab w:val="left" w:pos="2220"/>
              </w:tabs>
              <w:jc w:val="right"/>
              <w:rPr>
                <w:color w:val="000000" w:themeColor="text1"/>
                <w:sz w:val="20"/>
                <w:lang w:val="en-CA"/>
              </w:rPr>
            </w:pPr>
            <w:r w:rsidRPr="000F4708">
              <w:rPr>
                <w:bCs/>
                <w:color w:val="000000" w:themeColor="text1"/>
                <w:sz w:val="20"/>
                <w:lang w:val="en-CA"/>
              </w:rPr>
              <w:t>12,000</w:t>
            </w:r>
          </w:p>
        </w:tc>
        <w:tc>
          <w:tcPr>
            <w:tcW w:w="1098" w:type="dxa"/>
            <w:shd w:val="clear" w:color="auto" w:fill="auto"/>
            <w:tcMar>
              <w:right w:w="144" w:type="dxa"/>
            </w:tcMar>
          </w:tcPr>
          <w:p w14:paraId="7F900639" w14:textId="77777777" w:rsidR="00C4579D" w:rsidRPr="000F4708" w:rsidRDefault="00C4579D" w:rsidP="00C4579D">
            <w:pPr>
              <w:keepNext/>
              <w:tabs>
                <w:tab w:val="left" w:pos="2220"/>
              </w:tabs>
              <w:jc w:val="right"/>
              <w:rPr>
                <w:color w:val="000000" w:themeColor="text1"/>
                <w:sz w:val="20"/>
                <w:lang w:val="en-CA"/>
              </w:rPr>
            </w:pPr>
            <w:r w:rsidRPr="000F4708">
              <w:rPr>
                <w:color w:val="000000" w:themeColor="text1"/>
                <w:sz w:val="20"/>
                <w:lang w:val="en-CA"/>
              </w:rPr>
              <w:t>3</w:t>
            </w:r>
          </w:p>
        </w:tc>
        <w:tc>
          <w:tcPr>
            <w:tcW w:w="1116" w:type="dxa"/>
            <w:shd w:val="clear" w:color="auto" w:fill="auto"/>
            <w:tcMar>
              <w:right w:w="144" w:type="dxa"/>
            </w:tcMar>
          </w:tcPr>
          <w:p w14:paraId="534BAEDE" w14:textId="77777777" w:rsidR="00C4579D" w:rsidRPr="000F4708" w:rsidRDefault="00C4579D" w:rsidP="00C4579D">
            <w:pPr>
              <w:keepNext/>
              <w:tabs>
                <w:tab w:val="left" w:pos="2220"/>
              </w:tabs>
              <w:jc w:val="right"/>
              <w:rPr>
                <w:color w:val="000000" w:themeColor="text1"/>
                <w:sz w:val="20"/>
                <w:lang w:val="en-CA"/>
              </w:rPr>
            </w:pPr>
            <w:r w:rsidRPr="000F4708">
              <w:rPr>
                <w:bCs/>
                <w:color w:val="000000" w:themeColor="text1"/>
                <w:sz w:val="20"/>
                <w:lang w:val="en-CA"/>
              </w:rPr>
              <w:t>300</w:t>
            </w:r>
          </w:p>
        </w:tc>
        <w:tc>
          <w:tcPr>
            <w:tcW w:w="1170" w:type="dxa"/>
            <w:shd w:val="clear" w:color="auto" w:fill="auto"/>
            <w:tcMar>
              <w:right w:w="144" w:type="dxa"/>
            </w:tcMar>
          </w:tcPr>
          <w:p w14:paraId="198065B9" w14:textId="77777777" w:rsidR="00C4579D" w:rsidRPr="000F4708" w:rsidRDefault="00C4579D" w:rsidP="00C4579D">
            <w:pPr>
              <w:keepNext/>
              <w:tabs>
                <w:tab w:val="left" w:pos="2220"/>
              </w:tabs>
              <w:jc w:val="right"/>
              <w:rPr>
                <w:color w:val="000000" w:themeColor="text1"/>
                <w:sz w:val="20"/>
                <w:lang w:val="en-CA"/>
              </w:rPr>
            </w:pPr>
            <w:r w:rsidRPr="000F4708">
              <w:rPr>
                <w:color w:val="000000" w:themeColor="text1"/>
                <w:sz w:val="20"/>
                <w:lang w:val="en-CA"/>
              </w:rPr>
              <w:t>2</w:t>
            </w:r>
          </w:p>
        </w:tc>
      </w:tr>
      <w:tr w:rsidR="00C4579D" w:rsidRPr="000F4708" w14:paraId="5A9F4335" w14:textId="77777777" w:rsidTr="00C4579D">
        <w:tc>
          <w:tcPr>
            <w:tcW w:w="2075" w:type="dxa"/>
            <w:vMerge/>
            <w:shd w:val="clear" w:color="auto" w:fill="auto"/>
          </w:tcPr>
          <w:p w14:paraId="277D4EDF" w14:textId="77777777" w:rsidR="00C4579D" w:rsidRPr="00C4579D" w:rsidRDefault="00C4579D" w:rsidP="007817AE">
            <w:pPr>
              <w:keepNext/>
              <w:tabs>
                <w:tab w:val="left" w:pos="2220"/>
              </w:tabs>
              <w:bidi/>
              <w:jc w:val="left"/>
              <w:rPr>
                <w:b/>
                <w:sz w:val="20"/>
                <w:lang w:val="en-CA"/>
              </w:rPr>
            </w:pPr>
          </w:p>
        </w:tc>
        <w:tc>
          <w:tcPr>
            <w:tcW w:w="1700" w:type="dxa"/>
            <w:shd w:val="clear" w:color="auto" w:fill="auto"/>
            <w:vAlign w:val="center"/>
          </w:tcPr>
          <w:p w14:paraId="0D4798C2" w14:textId="40240202" w:rsidR="00C4579D" w:rsidRPr="000F4708" w:rsidRDefault="00C4579D" w:rsidP="007817AE">
            <w:pPr>
              <w:keepNext/>
              <w:tabs>
                <w:tab w:val="left" w:pos="2220"/>
              </w:tabs>
              <w:bidi/>
              <w:jc w:val="left"/>
              <w:rPr>
                <w:sz w:val="20"/>
                <w:lang w:val="en-CA"/>
              </w:rPr>
            </w:pPr>
            <w:r>
              <w:rPr>
                <w:rFonts w:hint="cs"/>
                <w:sz w:val="20"/>
                <w:rtl/>
                <w:lang w:val="en-CA"/>
              </w:rPr>
              <w:t>مكاتب، فنادق، مطاعم</w:t>
            </w:r>
          </w:p>
        </w:tc>
        <w:tc>
          <w:tcPr>
            <w:tcW w:w="1098" w:type="dxa"/>
            <w:shd w:val="clear" w:color="auto" w:fill="auto"/>
            <w:tcMar>
              <w:right w:w="144" w:type="dxa"/>
            </w:tcMar>
          </w:tcPr>
          <w:p w14:paraId="0EBBF27E" w14:textId="77777777" w:rsidR="00C4579D" w:rsidRPr="000F4708" w:rsidRDefault="00C4579D" w:rsidP="00C4579D">
            <w:pPr>
              <w:keepNext/>
              <w:tabs>
                <w:tab w:val="left" w:pos="2220"/>
              </w:tabs>
              <w:jc w:val="right"/>
              <w:rPr>
                <w:color w:val="000000" w:themeColor="text1"/>
                <w:sz w:val="20"/>
                <w:lang w:val="en-CA"/>
              </w:rPr>
            </w:pPr>
            <w:r w:rsidRPr="000F4708">
              <w:rPr>
                <w:bCs/>
                <w:color w:val="000000" w:themeColor="text1"/>
                <w:sz w:val="20"/>
                <w:lang w:val="en-CA"/>
              </w:rPr>
              <w:t>52,000</w:t>
            </w:r>
          </w:p>
        </w:tc>
        <w:tc>
          <w:tcPr>
            <w:tcW w:w="1098" w:type="dxa"/>
            <w:shd w:val="clear" w:color="auto" w:fill="auto"/>
            <w:tcMar>
              <w:right w:w="144" w:type="dxa"/>
            </w:tcMar>
          </w:tcPr>
          <w:p w14:paraId="5B527F19" w14:textId="77777777" w:rsidR="00C4579D" w:rsidRPr="000F4708" w:rsidRDefault="00C4579D" w:rsidP="00C4579D">
            <w:pPr>
              <w:keepNext/>
              <w:tabs>
                <w:tab w:val="left" w:pos="2220"/>
              </w:tabs>
              <w:jc w:val="right"/>
              <w:rPr>
                <w:color w:val="000000" w:themeColor="text1"/>
                <w:sz w:val="20"/>
                <w:lang w:val="en-CA"/>
              </w:rPr>
            </w:pPr>
            <w:r w:rsidRPr="000F4708">
              <w:rPr>
                <w:bCs/>
                <w:color w:val="000000" w:themeColor="text1"/>
                <w:sz w:val="20"/>
                <w:lang w:val="en-CA"/>
              </w:rPr>
              <w:t xml:space="preserve">52,000 </w:t>
            </w:r>
          </w:p>
        </w:tc>
        <w:tc>
          <w:tcPr>
            <w:tcW w:w="1098" w:type="dxa"/>
            <w:shd w:val="clear" w:color="auto" w:fill="auto"/>
            <w:tcMar>
              <w:right w:w="144" w:type="dxa"/>
            </w:tcMar>
          </w:tcPr>
          <w:p w14:paraId="06E2CC2F" w14:textId="77777777" w:rsidR="00C4579D" w:rsidRPr="000F4708" w:rsidRDefault="00C4579D" w:rsidP="00C4579D">
            <w:pPr>
              <w:keepNext/>
              <w:tabs>
                <w:tab w:val="left" w:pos="2220"/>
              </w:tabs>
              <w:jc w:val="right"/>
              <w:rPr>
                <w:color w:val="000000" w:themeColor="text1"/>
                <w:sz w:val="20"/>
                <w:lang w:val="en-CA"/>
              </w:rPr>
            </w:pPr>
            <w:r w:rsidRPr="000F4708">
              <w:rPr>
                <w:color w:val="000000" w:themeColor="text1"/>
                <w:sz w:val="20"/>
                <w:lang w:val="en-CA"/>
              </w:rPr>
              <w:t>8</w:t>
            </w:r>
          </w:p>
        </w:tc>
        <w:tc>
          <w:tcPr>
            <w:tcW w:w="1116" w:type="dxa"/>
            <w:shd w:val="clear" w:color="auto" w:fill="auto"/>
            <w:tcMar>
              <w:right w:w="144" w:type="dxa"/>
            </w:tcMar>
          </w:tcPr>
          <w:p w14:paraId="45BFE258" w14:textId="77777777" w:rsidR="00C4579D" w:rsidRPr="000F4708" w:rsidRDefault="00C4579D" w:rsidP="00C4579D">
            <w:pPr>
              <w:keepNext/>
              <w:tabs>
                <w:tab w:val="left" w:pos="2220"/>
              </w:tabs>
              <w:jc w:val="right"/>
              <w:rPr>
                <w:color w:val="000000" w:themeColor="text1"/>
                <w:sz w:val="20"/>
                <w:lang w:val="en-CA"/>
              </w:rPr>
            </w:pPr>
            <w:r w:rsidRPr="000F4708">
              <w:rPr>
                <w:bCs/>
                <w:color w:val="000000" w:themeColor="text1"/>
                <w:sz w:val="20"/>
                <w:lang w:val="en-CA"/>
              </w:rPr>
              <w:t>4,100</w:t>
            </w:r>
          </w:p>
        </w:tc>
        <w:tc>
          <w:tcPr>
            <w:tcW w:w="1170" w:type="dxa"/>
            <w:shd w:val="clear" w:color="auto" w:fill="auto"/>
            <w:tcMar>
              <w:right w:w="144" w:type="dxa"/>
            </w:tcMar>
          </w:tcPr>
          <w:p w14:paraId="6D5B1771" w14:textId="77777777" w:rsidR="00C4579D" w:rsidRPr="000F4708" w:rsidRDefault="00C4579D" w:rsidP="00C4579D">
            <w:pPr>
              <w:keepNext/>
              <w:tabs>
                <w:tab w:val="left" w:pos="2220"/>
              </w:tabs>
              <w:jc w:val="right"/>
              <w:rPr>
                <w:color w:val="000000" w:themeColor="text1"/>
                <w:sz w:val="20"/>
                <w:lang w:val="en-CA"/>
              </w:rPr>
            </w:pPr>
            <w:r w:rsidRPr="000F4708">
              <w:rPr>
                <w:color w:val="000000" w:themeColor="text1"/>
                <w:sz w:val="20"/>
                <w:lang w:val="en-CA"/>
              </w:rPr>
              <w:t>38</w:t>
            </w:r>
          </w:p>
        </w:tc>
      </w:tr>
      <w:tr w:rsidR="00C4579D" w:rsidRPr="000F4708" w14:paraId="5B6B9B3B" w14:textId="77777777" w:rsidTr="00C4579D">
        <w:tc>
          <w:tcPr>
            <w:tcW w:w="2075" w:type="dxa"/>
            <w:vMerge/>
            <w:shd w:val="clear" w:color="auto" w:fill="auto"/>
          </w:tcPr>
          <w:p w14:paraId="2AE23D85" w14:textId="77777777" w:rsidR="00C4579D" w:rsidRPr="00C4579D" w:rsidRDefault="00C4579D" w:rsidP="007817AE">
            <w:pPr>
              <w:keepNext/>
              <w:tabs>
                <w:tab w:val="left" w:pos="2220"/>
              </w:tabs>
              <w:bidi/>
              <w:jc w:val="left"/>
              <w:rPr>
                <w:b/>
                <w:sz w:val="20"/>
                <w:lang w:val="en-CA"/>
              </w:rPr>
            </w:pPr>
          </w:p>
        </w:tc>
        <w:tc>
          <w:tcPr>
            <w:tcW w:w="1700" w:type="dxa"/>
            <w:shd w:val="clear" w:color="auto" w:fill="auto"/>
            <w:vAlign w:val="center"/>
          </w:tcPr>
          <w:p w14:paraId="445ED50F" w14:textId="67805B18" w:rsidR="00C4579D" w:rsidRPr="000F4708" w:rsidRDefault="00C4579D" w:rsidP="007817AE">
            <w:pPr>
              <w:keepNext/>
              <w:tabs>
                <w:tab w:val="left" w:pos="2220"/>
              </w:tabs>
              <w:bidi/>
              <w:jc w:val="left"/>
              <w:rPr>
                <w:b/>
                <w:bCs/>
                <w:sz w:val="20"/>
                <w:lang w:val="en-CA"/>
              </w:rPr>
            </w:pPr>
            <w:r>
              <w:rPr>
                <w:rFonts w:hint="cs"/>
                <w:b/>
                <w:bCs/>
                <w:sz w:val="20"/>
                <w:rtl/>
                <w:lang w:val="en-CA"/>
              </w:rPr>
              <w:t>المجموع الفرعي</w:t>
            </w:r>
          </w:p>
        </w:tc>
        <w:tc>
          <w:tcPr>
            <w:tcW w:w="1098" w:type="dxa"/>
            <w:shd w:val="clear" w:color="auto" w:fill="auto"/>
            <w:tcMar>
              <w:right w:w="144" w:type="dxa"/>
            </w:tcMar>
          </w:tcPr>
          <w:p w14:paraId="05206DB4" w14:textId="77777777" w:rsidR="00C4579D" w:rsidRPr="000F4708" w:rsidRDefault="00C4579D" w:rsidP="00C4579D">
            <w:pPr>
              <w:keepNext/>
              <w:tabs>
                <w:tab w:val="left" w:pos="2220"/>
              </w:tabs>
              <w:jc w:val="right"/>
              <w:rPr>
                <w:b/>
                <w:color w:val="000000" w:themeColor="text1"/>
                <w:sz w:val="20"/>
                <w:lang w:val="en-CA"/>
              </w:rPr>
            </w:pPr>
            <w:r w:rsidRPr="000F4708">
              <w:rPr>
                <w:b/>
                <w:iCs/>
                <w:color w:val="000000" w:themeColor="text1"/>
                <w:sz w:val="20"/>
                <w:lang w:val="en-CA"/>
              </w:rPr>
              <w:t>64,000</w:t>
            </w:r>
          </w:p>
        </w:tc>
        <w:tc>
          <w:tcPr>
            <w:tcW w:w="1098" w:type="dxa"/>
            <w:shd w:val="clear" w:color="auto" w:fill="auto"/>
            <w:tcMar>
              <w:right w:w="144" w:type="dxa"/>
            </w:tcMar>
          </w:tcPr>
          <w:p w14:paraId="481D5048" w14:textId="77777777" w:rsidR="00C4579D" w:rsidRPr="000F4708" w:rsidRDefault="00C4579D" w:rsidP="00C4579D">
            <w:pPr>
              <w:keepNext/>
              <w:tabs>
                <w:tab w:val="left" w:pos="2220"/>
              </w:tabs>
              <w:jc w:val="right"/>
              <w:rPr>
                <w:b/>
                <w:color w:val="000000" w:themeColor="text1"/>
                <w:sz w:val="20"/>
                <w:lang w:val="en-CA"/>
              </w:rPr>
            </w:pPr>
            <w:r w:rsidRPr="000F4708">
              <w:rPr>
                <w:b/>
                <w:iCs/>
                <w:color w:val="000000" w:themeColor="text1"/>
                <w:sz w:val="20"/>
                <w:lang w:val="en-CA"/>
              </w:rPr>
              <w:t>64,000</w:t>
            </w:r>
          </w:p>
        </w:tc>
        <w:tc>
          <w:tcPr>
            <w:tcW w:w="1098" w:type="dxa"/>
            <w:shd w:val="clear" w:color="auto" w:fill="auto"/>
            <w:tcMar>
              <w:right w:w="144" w:type="dxa"/>
            </w:tcMar>
          </w:tcPr>
          <w:p w14:paraId="279DB559" w14:textId="77777777" w:rsidR="00C4579D" w:rsidRPr="000F4708" w:rsidRDefault="00C4579D" w:rsidP="00C4579D">
            <w:pPr>
              <w:keepNext/>
              <w:tabs>
                <w:tab w:val="left" w:pos="2220"/>
              </w:tabs>
              <w:jc w:val="right"/>
              <w:rPr>
                <w:b/>
                <w:color w:val="000000" w:themeColor="text1"/>
                <w:sz w:val="20"/>
                <w:lang w:val="en-CA"/>
              </w:rPr>
            </w:pPr>
          </w:p>
        </w:tc>
        <w:tc>
          <w:tcPr>
            <w:tcW w:w="1116" w:type="dxa"/>
            <w:shd w:val="clear" w:color="auto" w:fill="auto"/>
            <w:tcMar>
              <w:right w:w="144" w:type="dxa"/>
            </w:tcMar>
          </w:tcPr>
          <w:p w14:paraId="6842CCFB" w14:textId="77777777" w:rsidR="00C4579D" w:rsidRPr="000F4708" w:rsidRDefault="00C4579D" w:rsidP="00C4579D">
            <w:pPr>
              <w:keepNext/>
              <w:tabs>
                <w:tab w:val="left" w:pos="2220"/>
              </w:tabs>
              <w:jc w:val="right"/>
              <w:rPr>
                <w:b/>
                <w:color w:val="000000" w:themeColor="text1"/>
                <w:sz w:val="20"/>
                <w:lang w:val="en-CA"/>
              </w:rPr>
            </w:pPr>
            <w:r w:rsidRPr="000F4708">
              <w:rPr>
                <w:b/>
                <w:iCs/>
                <w:color w:val="000000" w:themeColor="text1"/>
                <w:sz w:val="20"/>
                <w:lang w:val="en-CA"/>
              </w:rPr>
              <w:t xml:space="preserve">4,400 </w:t>
            </w:r>
          </w:p>
        </w:tc>
        <w:tc>
          <w:tcPr>
            <w:tcW w:w="1170" w:type="dxa"/>
            <w:shd w:val="clear" w:color="auto" w:fill="auto"/>
            <w:tcMar>
              <w:right w:w="144" w:type="dxa"/>
            </w:tcMar>
          </w:tcPr>
          <w:p w14:paraId="65BE951E" w14:textId="77777777" w:rsidR="00C4579D" w:rsidRPr="000F4708" w:rsidRDefault="00C4579D" w:rsidP="00C4579D">
            <w:pPr>
              <w:keepNext/>
              <w:tabs>
                <w:tab w:val="left" w:pos="2220"/>
              </w:tabs>
              <w:jc w:val="right"/>
              <w:rPr>
                <w:i/>
                <w:color w:val="000000" w:themeColor="text1"/>
                <w:sz w:val="20"/>
                <w:lang w:val="en-CA"/>
              </w:rPr>
            </w:pPr>
          </w:p>
        </w:tc>
      </w:tr>
      <w:tr w:rsidR="00C4579D" w:rsidRPr="000F4708" w14:paraId="5B440BEA" w14:textId="77777777" w:rsidTr="00C4579D">
        <w:tc>
          <w:tcPr>
            <w:tcW w:w="2075" w:type="dxa"/>
            <w:vMerge w:val="restart"/>
            <w:shd w:val="clear" w:color="auto" w:fill="auto"/>
          </w:tcPr>
          <w:p w14:paraId="4A2EFF86" w14:textId="272C9502" w:rsidR="00C4579D" w:rsidRPr="00C4579D" w:rsidRDefault="00C4579D" w:rsidP="007817AE">
            <w:pPr>
              <w:keepNext/>
              <w:tabs>
                <w:tab w:val="left" w:pos="2220"/>
              </w:tabs>
              <w:bidi/>
              <w:jc w:val="left"/>
              <w:rPr>
                <w:b/>
                <w:sz w:val="20"/>
                <w:lang w:val="en-CA"/>
              </w:rPr>
            </w:pPr>
            <w:r w:rsidRPr="00C4579D">
              <w:rPr>
                <w:rFonts w:hint="cs"/>
                <w:b/>
                <w:sz w:val="20"/>
                <w:rtl/>
                <w:lang w:val="en-CA"/>
              </w:rPr>
              <w:t>التبريد التجاري</w:t>
            </w:r>
          </w:p>
        </w:tc>
        <w:tc>
          <w:tcPr>
            <w:tcW w:w="1700" w:type="dxa"/>
            <w:shd w:val="clear" w:color="auto" w:fill="auto"/>
            <w:vAlign w:val="center"/>
          </w:tcPr>
          <w:p w14:paraId="080D9066" w14:textId="2DE01767" w:rsidR="00C4579D" w:rsidRPr="000F4708" w:rsidRDefault="00C4579D" w:rsidP="007817AE">
            <w:pPr>
              <w:keepNext/>
              <w:tabs>
                <w:tab w:val="left" w:pos="2220"/>
              </w:tabs>
              <w:bidi/>
              <w:jc w:val="left"/>
              <w:rPr>
                <w:sz w:val="20"/>
                <w:lang w:val="en-CA"/>
              </w:rPr>
            </w:pPr>
            <w:r>
              <w:rPr>
                <w:rFonts w:hint="cs"/>
                <w:sz w:val="20"/>
                <w:rtl/>
                <w:lang w:val="en-CA"/>
              </w:rPr>
              <w:t>غرف التبريد</w:t>
            </w:r>
          </w:p>
        </w:tc>
        <w:tc>
          <w:tcPr>
            <w:tcW w:w="1098" w:type="dxa"/>
            <w:shd w:val="clear" w:color="auto" w:fill="auto"/>
            <w:tcMar>
              <w:right w:w="144" w:type="dxa"/>
            </w:tcMar>
          </w:tcPr>
          <w:p w14:paraId="0B694EEF" w14:textId="77777777" w:rsidR="00C4579D" w:rsidRPr="000F4708" w:rsidRDefault="00C4579D" w:rsidP="00C4579D">
            <w:pPr>
              <w:keepNext/>
              <w:tabs>
                <w:tab w:val="left" w:pos="2220"/>
              </w:tabs>
              <w:jc w:val="right"/>
              <w:rPr>
                <w:color w:val="000000" w:themeColor="text1"/>
                <w:sz w:val="20"/>
                <w:vertAlign w:val="superscript"/>
                <w:lang w:val="en-CA"/>
              </w:rPr>
            </w:pPr>
            <w:r w:rsidRPr="000F4708">
              <w:rPr>
                <w:bCs/>
                <w:color w:val="000000" w:themeColor="text1"/>
                <w:sz w:val="20"/>
                <w:lang w:val="en-CA"/>
              </w:rPr>
              <w:t>3,000</w:t>
            </w:r>
          </w:p>
        </w:tc>
        <w:tc>
          <w:tcPr>
            <w:tcW w:w="1098" w:type="dxa"/>
            <w:shd w:val="clear" w:color="auto" w:fill="auto"/>
            <w:tcMar>
              <w:right w:w="144" w:type="dxa"/>
            </w:tcMar>
          </w:tcPr>
          <w:p w14:paraId="6205CAF0" w14:textId="77777777" w:rsidR="00C4579D" w:rsidRPr="000F4708" w:rsidRDefault="00C4579D" w:rsidP="00C4579D">
            <w:pPr>
              <w:keepNext/>
              <w:tabs>
                <w:tab w:val="left" w:pos="2220"/>
              </w:tabs>
              <w:jc w:val="right"/>
              <w:rPr>
                <w:color w:val="000000" w:themeColor="text1"/>
                <w:sz w:val="20"/>
                <w:lang w:val="en-CA"/>
              </w:rPr>
            </w:pPr>
            <w:r w:rsidRPr="000F4708">
              <w:rPr>
                <w:bCs/>
                <w:color w:val="000000" w:themeColor="text1"/>
                <w:sz w:val="20"/>
                <w:lang w:val="en-CA"/>
              </w:rPr>
              <w:t>15,000</w:t>
            </w:r>
          </w:p>
        </w:tc>
        <w:tc>
          <w:tcPr>
            <w:tcW w:w="1098" w:type="dxa"/>
            <w:shd w:val="clear" w:color="auto" w:fill="auto"/>
            <w:tcMar>
              <w:right w:w="144" w:type="dxa"/>
            </w:tcMar>
          </w:tcPr>
          <w:p w14:paraId="13474829" w14:textId="77777777" w:rsidR="00C4579D" w:rsidRPr="000F4708" w:rsidRDefault="00C4579D" w:rsidP="00C4579D">
            <w:pPr>
              <w:keepNext/>
              <w:tabs>
                <w:tab w:val="left" w:pos="2220"/>
              </w:tabs>
              <w:jc w:val="right"/>
              <w:rPr>
                <w:color w:val="000000" w:themeColor="text1"/>
                <w:sz w:val="20"/>
                <w:lang w:val="en-CA"/>
              </w:rPr>
            </w:pPr>
            <w:r w:rsidRPr="000F4708">
              <w:rPr>
                <w:color w:val="000000"/>
                <w:sz w:val="20"/>
                <w:lang w:val="en-CA"/>
              </w:rPr>
              <w:t>20</w:t>
            </w:r>
          </w:p>
        </w:tc>
        <w:tc>
          <w:tcPr>
            <w:tcW w:w="1116" w:type="dxa"/>
            <w:shd w:val="clear" w:color="auto" w:fill="auto"/>
            <w:tcMar>
              <w:right w:w="144" w:type="dxa"/>
            </w:tcMar>
          </w:tcPr>
          <w:p w14:paraId="30A800BF" w14:textId="77777777" w:rsidR="00C4579D" w:rsidRPr="000F4708" w:rsidRDefault="00C4579D" w:rsidP="00C4579D">
            <w:pPr>
              <w:keepNext/>
              <w:tabs>
                <w:tab w:val="left" w:pos="2220"/>
              </w:tabs>
              <w:jc w:val="right"/>
              <w:rPr>
                <w:color w:val="000000" w:themeColor="text1"/>
                <w:sz w:val="20"/>
                <w:lang w:val="en-CA"/>
              </w:rPr>
            </w:pPr>
            <w:r w:rsidRPr="000F4708">
              <w:rPr>
                <w:bCs/>
                <w:color w:val="000000" w:themeColor="text1"/>
                <w:sz w:val="20"/>
                <w:lang w:val="en-CA"/>
              </w:rPr>
              <w:t xml:space="preserve">3,000 </w:t>
            </w:r>
          </w:p>
        </w:tc>
        <w:tc>
          <w:tcPr>
            <w:tcW w:w="1170" w:type="dxa"/>
            <w:shd w:val="clear" w:color="auto" w:fill="auto"/>
            <w:tcMar>
              <w:right w:w="144" w:type="dxa"/>
            </w:tcMar>
          </w:tcPr>
          <w:p w14:paraId="38316D8A" w14:textId="77777777" w:rsidR="00C4579D" w:rsidRPr="000F4708" w:rsidRDefault="00C4579D" w:rsidP="00C4579D">
            <w:pPr>
              <w:keepNext/>
              <w:tabs>
                <w:tab w:val="left" w:pos="2220"/>
              </w:tabs>
              <w:jc w:val="right"/>
              <w:rPr>
                <w:color w:val="000000" w:themeColor="text1"/>
                <w:sz w:val="20"/>
                <w:lang w:val="en-CA"/>
              </w:rPr>
            </w:pPr>
            <w:r w:rsidRPr="000F4708">
              <w:rPr>
                <w:color w:val="000000" w:themeColor="text1"/>
                <w:sz w:val="20"/>
                <w:lang w:val="en-CA"/>
              </w:rPr>
              <w:t>28</w:t>
            </w:r>
          </w:p>
        </w:tc>
      </w:tr>
      <w:tr w:rsidR="00C4579D" w:rsidRPr="000F4708" w14:paraId="2F4E5BD5" w14:textId="77777777" w:rsidTr="00C4579D">
        <w:tc>
          <w:tcPr>
            <w:tcW w:w="2075" w:type="dxa"/>
            <w:vMerge/>
            <w:shd w:val="clear" w:color="auto" w:fill="auto"/>
          </w:tcPr>
          <w:p w14:paraId="5C8A0678" w14:textId="77777777" w:rsidR="00C4579D" w:rsidRPr="00C4579D" w:rsidRDefault="00C4579D" w:rsidP="007817AE">
            <w:pPr>
              <w:keepNext/>
              <w:tabs>
                <w:tab w:val="left" w:pos="2220"/>
              </w:tabs>
              <w:bidi/>
              <w:jc w:val="left"/>
              <w:rPr>
                <w:b/>
                <w:sz w:val="20"/>
                <w:lang w:val="en-CA"/>
              </w:rPr>
            </w:pPr>
          </w:p>
        </w:tc>
        <w:tc>
          <w:tcPr>
            <w:tcW w:w="1700" w:type="dxa"/>
            <w:shd w:val="clear" w:color="auto" w:fill="auto"/>
            <w:vAlign w:val="center"/>
          </w:tcPr>
          <w:p w14:paraId="36270A1A" w14:textId="549610E1" w:rsidR="00C4579D" w:rsidRPr="00C4579D" w:rsidRDefault="00C4579D" w:rsidP="007817AE">
            <w:pPr>
              <w:keepNext/>
              <w:tabs>
                <w:tab w:val="left" w:pos="2220"/>
              </w:tabs>
              <w:bidi/>
              <w:jc w:val="left"/>
              <w:rPr>
                <w:b/>
                <w:sz w:val="20"/>
                <w:lang w:val="en-CA"/>
              </w:rPr>
            </w:pPr>
            <w:r w:rsidRPr="00C4579D">
              <w:rPr>
                <w:rFonts w:hint="cs"/>
                <w:b/>
                <w:sz w:val="20"/>
                <w:rtl/>
                <w:lang w:val="en-CA"/>
              </w:rPr>
              <w:t>معدات منفصلة</w:t>
            </w:r>
          </w:p>
        </w:tc>
        <w:tc>
          <w:tcPr>
            <w:tcW w:w="1098" w:type="dxa"/>
            <w:shd w:val="clear" w:color="auto" w:fill="auto"/>
            <w:tcMar>
              <w:right w:w="144" w:type="dxa"/>
            </w:tcMar>
          </w:tcPr>
          <w:p w14:paraId="12BB5F7D" w14:textId="77777777" w:rsidR="00C4579D" w:rsidRPr="000F4708" w:rsidRDefault="00C4579D" w:rsidP="00C4579D">
            <w:pPr>
              <w:keepNext/>
              <w:tabs>
                <w:tab w:val="left" w:pos="2220"/>
              </w:tabs>
              <w:jc w:val="right"/>
              <w:rPr>
                <w:color w:val="000000" w:themeColor="text1"/>
                <w:sz w:val="20"/>
                <w:vertAlign w:val="superscript"/>
                <w:lang w:val="en-CA"/>
              </w:rPr>
            </w:pPr>
            <w:r w:rsidRPr="000F4708">
              <w:rPr>
                <w:bCs/>
                <w:color w:val="000000" w:themeColor="text1"/>
                <w:sz w:val="20"/>
                <w:lang w:val="en-CA"/>
              </w:rPr>
              <w:t>1,500</w:t>
            </w:r>
          </w:p>
        </w:tc>
        <w:tc>
          <w:tcPr>
            <w:tcW w:w="1098" w:type="dxa"/>
            <w:shd w:val="clear" w:color="auto" w:fill="auto"/>
            <w:tcMar>
              <w:right w:w="144" w:type="dxa"/>
            </w:tcMar>
          </w:tcPr>
          <w:p w14:paraId="394B024C" w14:textId="77777777" w:rsidR="00C4579D" w:rsidRPr="000F4708" w:rsidRDefault="00C4579D" w:rsidP="00C4579D">
            <w:pPr>
              <w:keepNext/>
              <w:tabs>
                <w:tab w:val="left" w:pos="2220"/>
              </w:tabs>
              <w:jc w:val="right"/>
              <w:rPr>
                <w:color w:val="000000" w:themeColor="text1"/>
                <w:sz w:val="20"/>
                <w:lang w:val="en-CA"/>
              </w:rPr>
            </w:pPr>
            <w:r w:rsidRPr="000F4708">
              <w:rPr>
                <w:bCs/>
                <w:color w:val="000000" w:themeColor="text1"/>
                <w:sz w:val="20"/>
                <w:lang w:val="en-CA"/>
              </w:rPr>
              <w:t>1,500</w:t>
            </w:r>
          </w:p>
        </w:tc>
        <w:tc>
          <w:tcPr>
            <w:tcW w:w="1098" w:type="dxa"/>
            <w:shd w:val="clear" w:color="auto" w:fill="auto"/>
            <w:tcMar>
              <w:right w:w="144" w:type="dxa"/>
            </w:tcMar>
          </w:tcPr>
          <w:p w14:paraId="0DA3E6D1" w14:textId="77777777" w:rsidR="00C4579D" w:rsidRPr="000F4708" w:rsidRDefault="00C4579D" w:rsidP="00C4579D">
            <w:pPr>
              <w:keepNext/>
              <w:tabs>
                <w:tab w:val="left" w:pos="2220"/>
              </w:tabs>
              <w:jc w:val="right"/>
              <w:rPr>
                <w:color w:val="000000" w:themeColor="text1"/>
                <w:sz w:val="20"/>
                <w:lang w:val="en-CA"/>
              </w:rPr>
            </w:pPr>
            <w:r w:rsidRPr="000F4708">
              <w:rPr>
                <w:color w:val="000000"/>
                <w:sz w:val="20"/>
                <w:lang w:val="en-CA"/>
              </w:rPr>
              <w:t>40</w:t>
            </w:r>
          </w:p>
        </w:tc>
        <w:tc>
          <w:tcPr>
            <w:tcW w:w="1116" w:type="dxa"/>
            <w:shd w:val="clear" w:color="auto" w:fill="auto"/>
            <w:tcMar>
              <w:right w:w="144" w:type="dxa"/>
            </w:tcMar>
          </w:tcPr>
          <w:p w14:paraId="63DAA528" w14:textId="77777777" w:rsidR="00C4579D" w:rsidRPr="000F4708" w:rsidRDefault="00C4579D" w:rsidP="00C4579D">
            <w:pPr>
              <w:keepNext/>
              <w:tabs>
                <w:tab w:val="left" w:pos="2220"/>
              </w:tabs>
              <w:jc w:val="right"/>
              <w:rPr>
                <w:color w:val="000000" w:themeColor="text1"/>
                <w:sz w:val="20"/>
                <w:lang w:val="en-CA"/>
              </w:rPr>
            </w:pPr>
            <w:r w:rsidRPr="000F4708">
              <w:rPr>
                <w:bCs/>
                <w:color w:val="000000" w:themeColor="text1"/>
                <w:sz w:val="20"/>
                <w:lang w:val="en-CA"/>
              </w:rPr>
              <w:t>600</w:t>
            </w:r>
          </w:p>
        </w:tc>
        <w:tc>
          <w:tcPr>
            <w:tcW w:w="1170" w:type="dxa"/>
            <w:shd w:val="clear" w:color="auto" w:fill="auto"/>
            <w:tcMar>
              <w:right w:w="144" w:type="dxa"/>
            </w:tcMar>
          </w:tcPr>
          <w:p w14:paraId="55FEE970" w14:textId="77777777" w:rsidR="00C4579D" w:rsidRPr="000F4708" w:rsidRDefault="00C4579D" w:rsidP="00C4579D">
            <w:pPr>
              <w:keepNext/>
              <w:tabs>
                <w:tab w:val="left" w:pos="2220"/>
              </w:tabs>
              <w:jc w:val="right"/>
              <w:rPr>
                <w:color w:val="000000" w:themeColor="text1"/>
                <w:sz w:val="20"/>
                <w:lang w:val="en-CA"/>
              </w:rPr>
            </w:pPr>
            <w:r w:rsidRPr="000F4708">
              <w:rPr>
                <w:color w:val="000000" w:themeColor="text1"/>
                <w:sz w:val="20"/>
                <w:lang w:val="en-CA"/>
              </w:rPr>
              <w:t>5</w:t>
            </w:r>
          </w:p>
        </w:tc>
      </w:tr>
      <w:tr w:rsidR="00C4579D" w:rsidRPr="000F4708" w14:paraId="306A19F0" w14:textId="77777777" w:rsidTr="00C4579D">
        <w:tc>
          <w:tcPr>
            <w:tcW w:w="2075" w:type="dxa"/>
            <w:vMerge/>
            <w:shd w:val="clear" w:color="auto" w:fill="auto"/>
          </w:tcPr>
          <w:p w14:paraId="6C25D4AA" w14:textId="77777777" w:rsidR="00C4579D" w:rsidRPr="00C4579D" w:rsidRDefault="00C4579D" w:rsidP="007817AE">
            <w:pPr>
              <w:keepNext/>
              <w:tabs>
                <w:tab w:val="left" w:pos="2220"/>
              </w:tabs>
              <w:bidi/>
              <w:jc w:val="left"/>
              <w:rPr>
                <w:b/>
                <w:sz w:val="20"/>
                <w:lang w:val="en-CA"/>
              </w:rPr>
            </w:pPr>
          </w:p>
        </w:tc>
        <w:tc>
          <w:tcPr>
            <w:tcW w:w="1700" w:type="dxa"/>
            <w:shd w:val="clear" w:color="auto" w:fill="auto"/>
            <w:vAlign w:val="center"/>
          </w:tcPr>
          <w:p w14:paraId="025C793E" w14:textId="5AA6C5D0" w:rsidR="00C4579D" w:rsidRPr="000F4708" w:rsidRDefault="00C4579D" w:rsidP="007817AE">
            <w:pPr>
              <w:keepNext/>
              <w:tabs>
                <w:tab w:val="left" w:pos="2220"/>
              </w:tabs>
              <w:bidi/>
              <w:jc w:val="left"/>
              <w:rPr>
                <w:b/>
                <w:bCs/>
                <w:sz w:val="20"/>
                <w:lang w:val="en-CA"/>
              </w:rPr>
            </w:pPr>
            <w:r>
              <w:rPr>
                <w:rFonts w:hint="cs"/>
                <w:b/>
                <w:bCs/>
                <w:sz w:val="20"/>
                <w:rtl/>
                <w:lang w:val="en-CA"/>
              </w:rPr>
              <w:t>المجموع الفرعي</w:t>
            </w:r>
          </w:p>
        </w:tc>
        <w:tc>
          <w:tcPr>
            <w:tcW w:w="1098" w:type="dxa"/>
            <w:shd w:val="clear" w:color="auto" w:fill="auto"/>
            <w:tcMar>
              <w:right w:w="144" w:type="dxa"/>
            </w:tcMar>
          </w:tcPr>
          <w:p w14:paraId="30A40030" w14:textId="77777777" w:rsidR="00C4579D" w:rsidRPr="000F4708" w:rsidRDefault="00C4579D" w:rsidP="00C4579D">
            <w:pPr>
              <w:keepNext/>
              <w:tabs>
                <w:tab w:val="left" w:pos="2220"/>
              </w:tabs>
              <w:jc w:val="right"/>
              <w:rPr>
                <w:b/>
                <w:color w:val="000000" w:themeColor="text1"/>
                <w:sz w:val="20"/>
                <w:lang w:val="en-CA"/>
              </w:rPr>
            </w:pPr>
            <w:r w:rsidRPr="000F4708">
              <w:rPr>
                <w:b/>
                <w:iCs/>
                <w:color w:val="000000" w:themeColor="text1"/>
                <w:sz w:val="20"/>
                <w:lang w:val="en-CA"/>
              </w:rPr>
              <w:t>4,500</w:t>
            </w:r>
          </w:p>
        </w:tc>
        <w:tc>
          <w:tcPr>
            <w:tcW w:w="1098" w:type="dxa"/>
            <w:shd w:val="clear" w:color="auto" w:fill="auto"/>
            <w:tcMar>
              <w:right w:w="144" w:type="dxa"/>
            </w:tcMar>
          </w:tcPr>
          <w:p w14:paraId="1EA801EA" w14:textId="77777777" w:rsidR="00C4579D" w:rsidRPr="000F4708" w:rsidRDefault="00C4579D" w:rsidP="00C4579D">
            <w:pPr>
              <w:keepNext/>
              <w:tabs>
                <w:tab w:val="left" w:pos="2220"/>
              </w:tabs>
              <w:jc w:val="right"/>
              <w:rPr>
                <w:b/>
                <w:color w:val="000000" w:themeColor="text1"/>
                <w:sz w:val="20"/>
                <w:lang w:val="en-CA"/>
              </w:rPr>
            </w:pPr>
            <w:r w:rsidRPr="000F4708">
              <w:rPr>
                <w:b/>
                <w:iCs/>
                <w:color w:val="000000" w:themeColor="text1"/>
                <w:sz w:val="20"/>
                <w:lang w:val="en-CA"/>
              </w:rPr>
              <w:t>16,500</w:t>
            </w:r>
          </w:p>
        </w:tc>
        <w:tc>
          <w:tcPr>
            <w:tcW w:w="1098" w:type="dxa"/>
            <w:shd w:val="clear" w:color="auto" w:fill="auto"/>
            <w:tcMar>
              <w:right w:w="144" w:type="dxa"/>
            </w:tcMar>
          </w:tcPr>
          <w:p w14:paraId="2E5E3BA3" w14:textId="77777777" w:rsidR="00C4579D" w:rsidRPr="000F4708" w:rsidRDefault="00C4579D" w:rsidP="00C4579D">
            <w:pPr>
              <w:keepNext/>
              <w:tabs>
                <w:tab w:val="left" w:pos="2220"/>
              </w:tabs>
              <w:jc w:val="right"/>
              <w:rPr>
                <w:b/>
                <w:color w:val="000000" w:themeColor="text1"/>
                <w:sz w:val="20"/>
                <w:lang w:val="en-CA"/>
              </w:rPr>
            </w:pPr>
          </w:p>
        </w:tc>
        <w:tc>
          <w:tcPr>
            <w:tcW w:w="1116" w:type="dxa"/>
            <w:shd w:val="clear" w:color="auto" w:fill="auto"/>
            <w:tcMar>
              <w:right w:w="144" w:type="dxa"/>
            </w:tcMar>
          </w:tcPr>
          <w:p w14:paraId="70229695" w14:textId="77777777" w:rsidR="00C4579D" w:rsidRPr="000F4708" w:rsidRDefault="00C4579D" w:rsidP="00C4579D">
            <w:pPr>
              <w:keepNext/>
              <w:tabs>
                <w:tab w:val="left" w:pos="2220"/>
              </w:tabs>
              <w:jc w:val="right"/>
              <w:rPr>
                <w:b/>
                <w:color w:val="000000" w:themeColor="text1"/>
                <w:sz w:val="20"/>
                <w:lang w:val="en-CA"/>
              </w:rPr>
            </w:pPr>
            <w:r w:rsidRPr="000F4708">
              <w:rPr>
                <w:b/>
                <w:iCs/>
                <w:color w:val="000000" w:themeColor="text1"/>
                <w:sz w:val="20"/>
                <w:lang w:val="en-CA"/>
              </w:rPr>
              <w:t xml:space="preserve">3,600 </w:t>
            </w:r>
          </w:p>
        </w:tc>
        <w:tc>
          <w:tcPr>
            <w:tcW w:w="1170" w:type="dxa"/>
            <w:shd w:val="clear" w:color="auto" w:fill="auto"/>
            <w:tcMar>
              <w:right w:w="144" w:type="dxa"/>
            </w:tcMar>
          </w:tcPr>
          <w:p w14:paraId="79F7BF12" w14:textId="77777777" w:rsidR="00C4579D" w:rsidRPr="000F4708" w:rsidRDefault="00C4579D" w:rsidP="00C4579D">
            <w:pPr>
              <w:keepNext/>
              <w:tabs>
                <w:tab w:val="left" w:pos="2220"/>
              </w:tabs>
              <w:jc w:val="right"/>
              <w:rPr>
                <w:i/>
                <w:color w:val="000000" w:themeColor="text1"/>
                <w:sz w:val="20"/>
                <w:lang w:val="en-CA"/>
              </w:rPr>
            </w:pPr>
          </w:p>
        </w:tc>
      </w:tr>
      <w:tr w:rsidR="00C4579D" w:rsidRPr="000F4708" w14:paraId="24573855" w14:textId="77777777" w:rsidTr="00C4579D">
        <w:tc>
          <w:tcPr>
            <w:tcW w:w="2075" w:type="dxa"/>
            <w:shd w:val="clear" w:color="auto" w:fill="auto"/>
          </w:tcPr>
          <w:p w14:paraId="7171E486" w14:textId="6BD3BF2D" w:rsidR="00C4579D" w:rsidRPr="00C4579D" w:rsidRDefault="00C4579D" w:rsidP="007817AE">
            <w:pPr>
              <w:keepNext/>
              <w:tabs>
                <w:tab w:val="left" w:pos="2220"/>
              </w:tabs>
              <w:bidi/>
              <w:jc w:val="left"/>
              <w:rPr>
                <w:b/>
                <w:sz w:val="20"/>
                <w:lang w:val="en-CA"/>
              </w:rPr>
            </w:pPr>
            <w:r w:rsidRPr="00C4579D">
              <w:rPr>
                <w:rFonts w:hint="cs"/>
                <w:b/>
                <w:sz w:val="20"/>
                <w:rtl/>
                <w:lang w:val="en-CA"/>
              </w:rPr>
              <w:t>المبردات (تكييف هواء والصناعة)</w:t>
            </w:r>
          </w:p>
        </w:tc>
        <w:tc>
          <w:tcPr>
            <w:tcW w:w="1700" w:type="dxa"/>
            <w:shd w:val="clear" w:color="auto" w:fill="auto"/>
            <w:vAlign w:val="center"/>
          </w:tcPr>
          <w:p w14:paraId="3958EECD" w14:textId="77777777" w:rsidR="00C4579D" w:rsidRPr="000F4708" w:rsidRDefault="00C4579D" w:rsidP="007817AE">
            <w:pPr>
              <w:keepNext/>
              <w:tabs>
                <w:tab w:val="left" w:pos="2220"/>
              </w:tabs>
              <w:bidi/>
              <w:jc w:val="left"/>
              <w:rPr>
                <w:bCs/>
                <w:sz w:val="20"/>
                <w:lang w:val="en-CA"/>
              </w:rPr>
            </w:pPr>
          </w:p>
        </w:tc>
        <w:tc>
          <w:tcPr>
            <w:tcW w:w="1098" w:type="dxa"/>
            <w:shd w:val="clear" w:color="auto" w:fill="auto"/>
            <w:tcMar>
              <w:right w:w="144" w:type="dxa"/>
            </w:tcMar>
          </w:tcPr>
          <w:p w14:paraId="23CE0DB5" w14:textId="77777777" w:rsidR="00C4579D" w:rsidRPr="000F4708" w:rsidRDefault="00C4579D" w:rsidP="00C4579D">
            <w:pPr>
              <w:keepNext/>
              <w:tabs>
                <w:tab w:val="left" w:pos="2220"/>
              </w:tabs>
              <w:jc w:val="right"/>
              <w:rPr>
                <w:sz w:val="20"/>
                <w:lang w:val="en-CA"/>
              </w:rPr>
            </w:pPr>
            <w:r w:rsidRPr="000F4708">
              <w:rPr>
                <w:bCs/>
                <w:color w:val="000000" w:themeColor="text1"/>
                <w:sz w:val="20"/>
                <w:lang w:val="en-CA"/>
              </w:rPr>
              <w:t>5</w:t>
            </w:r>
          </w:p>
        </w:tc>
        <w:tc>
          <w:tcPr>
            <w:tcW w:w="1098" w:type="dxa"/>
            <w:shd w:val="clear" w:color="auto" w:fill="auto"/>
            <w:tcMar>
              <w:right w:w="144" w:type="dxa"/>
            </w:tcMar>
          </w:tcPr>
          <w:p w14:paraId="32F0AD6D" w14:textId="77777777" w:rsidR="00C4579D" w:rsidRPr="000F4708" w:rsidRDefault="00C4579D" w:rsidP="00C4579D">
            <w:pPr>
              <w:keepNext/>
              <w:tabs>
                <w:tab w:val="left" w:pos="2220"/>
              </w:tabs>
              <w:jc w:val="right"/>
              <w:rPr>
                <w:color w:val="000000" w:themeColor="text1"/>
                <w:sz w:val="20"/>
                <w:lang w:val="en-CA"/>
              </w:rPr>
            </w:pPr>
            <w:r w:rsidRPr="000F4708">
              <w:rPr>
                <w:bCs/>
                <w:color w:val="000000" w:themeColor="text1"/>
                <w:sz w:val="20"/>
                <w:lang w:val="en-CA"/>
              </w:rPr>
              <w:t>250</w:t>
            </w:r>
          </w:p>
        </w:tc>
        <w:tc>
          <w:tcPr>
            <w:tcW w:w="1098" w:type="dxa"/>
            <w:shd w:val="clear" w:color="auto" w:fill="auto"/>
            <w:tcMar>
              <w:right w:w="144" w:type="dxa"/>
            </w:tcMar>
          </w:tcPr>
          <w:p w14:paraId="5639EBD0" w14:textId="77777777" w:rsidR="00C4579D" w:rsidRPr="000F4708" w:rsidRDefault="00C4579D" w:rsidP="00C4579D">
            <w:pPr>
              <w:keepNext/>
              <w:tabs>
                <w:tab w:val="left" w:pos="2220"/>
              </w:tabs>
              <w:jc w:val="right"/>
              <w:rPr>
                <w:color w:val="000000" w:themeColor="text1"/>
                <w:sz w:val="20"/>
                <w:lang w:val="en-CA"/>
              </w:rPr>
            </w:pPr>
            <w:r w:rsidRPr="000F4708">
              <w:rPr>
                <w:color w:val="000000"/>
                <w:sz w:val="20"/>
                <w:lang w:val="en-CA"/>
              </w:rPr>
              <w:t>40</w:t>
            </w:r>
          </w:p>
        </w:tc>
        <w:tc>
          <w:tcPr>
            <w:tcW w:w="1116" w:type="dxa"/>
            <w:shd w:val="clear" w:color="auto" w:fill="auto"/>
            <w:tcMar>
              <w:right w:w="144" w:type="dxa"/>
            </w:tcMar>
          </w:tcPr>
          <w:p w14:paraId="071873C4" w14:textId="77777777" w:rsidR="00C4579D" w:rsidRPr="000F4708" w:rsidRDefault="00C4579D" w:rsidP="00C4579D">
            <w:pPr>
              <w:keepNext/>
              <w:tabs>
                <w:tab w:val="left" w:pos="2220"/>
              </w:tabs>
              <w:jc w:val="right"/>
              <w:rPr>
                <w:color w:val="000000" w:themeColor="text1"/>
                <w:sz w:val="20"/>
                <w:lang w:val="en-CA"/>
              </w:rPr>
            </w:pPr>
            <w:r w:rsidRPr="000F4708">
              <w:rPr>
                <w:bCs/>
                <w:color w:val="000000" w:themeColor="text1"/>
                <w:sz w:val="20"/>
                <w:lang w:val="en-CA"/>
              </w:rPr>
              <w:t>100</w:t>
            </w:r>
          </w:p>
        </w:tc>
        <w:tc>
          <w:tcPr>
            <w:tcW w:w="1170" w:type="dxa"/>
            <w:shd w:val="clear" w:color="auto" w:fill="auto"/>
            <w:tcMar>
              <w:right w:w="144" w:type="dxa"/>
            </w:tcMar>
          </w:tcPr>
          <w:p w14:paraId="501DDA94" w14:textId="77777777" w:rsidR="00C4579D" w:rsidRPr="000F4708" w:rsidRDefault="00C4579D" w:rsidP="00C4579D">
            <w:pPr>
              <w:keepNext/>
              <w:tabs>
                <w:tab w:val="left" w:pos="2220"/>
              </w:tabs>
              <w:jc w:val="right"/>
              <w:rPr>
                <w:color w:val="000000" w:themeColor="text1"/>
                <w:sz w:val="20"/>
                <w:lang w:val="en-CA"/>
              </w:rPr>
            </w:pPr>
            <w:r w:rsidRPr="000F4708">
              <w:rPr>
                <w:color w:val="000000" w:themeColor="text1"/>
                <w:sz w:val="20"/>
                <w:lang w:val="en-CA"/>
              </w:rPr>
              <w:t>1</w:t>
            </w:r>
          </w:p>
        </w:tc>
      </w:tr>
      <w:tr w:rsidR="00C4579D" w:rsidRPr="000F4708" w14:paraId="72662F7D" w14:textId="77777777" w:rsidTr="00C4579D">
        <w:tc>
          <w:tcPr>
            <w:tcW w:w="2075" w:type="dxa"/>
            <w:shd w:val="clear" w:color="auto" w:fill="auto"/>
          </w:tcPr>
          <w:p w14:paraId="4118E32E" w14:textId="66C7486A" w:rsidR="00C4579D" w:rsidRPr="00C4579D" w:rsidRDefault="00C4579D" w:rsidP="007817AE">
            <w:pPr>
              <w:keepNext/>
              <w:tabs>
                <w:tab w:val="left" w:pos="2220"/>
              </w:tabs>
              <w:bidi/>
              <w:jc w:val="left"/>
              <w:rPr>
                <w:b/>
                <w:sz w:val="20"/>
                <w:lang w:val="en-CA"/>
              </w:rPr>
            </w:pPr>
            <w:r w:rsidRPr="00C4579D">
              <w:rPr>
                <w:rFonts w:hint="cs"/>
                <w:b/>
                <w:sz w:val="20"/>
                <w:rtl/>
                <w:lang w:val="en-CA"/>
              </w:rPr>
              <w:t>تكييف هواء ومضخات الهواء الساخن (سبليت متعدد)</w:t>
            </w:r>
          </w:p>
        </w:tc>
        <w:tc>
          <w:tcPr>
            <w:tcW w:w="1700" w:type="dxa"/>
            <w:shd w:val="clear" w:color="auto" w:fill="auto"/>
            <w:vAlign w:val="center"/>
          </w:tcPr>
          <w:p w14:paraId="72D02E6E" w14:textId="77777777" w:rsidR="00C4579D" w:rsidRPr="000F4708" w:rsidRDefault="00C4579D" w:rsidP="007817AE">
            <w:pPr>
              <w:keepNext/>
              <w:tabs>
                <w:tab w:val="left" w:pos="2220"/>
              </w:tabs>
              <w:bidi/>
              <w:jc w:val="left"/>
              <w:rPr>
                <w:bCs/>
                <w:sz w:val="20"/>
                <w:lang w:val="en-CA"/>
              </w:rPr>
            </w:pPr>
          </w:p>
        </w:tc>
        <w:tc>
          <w:tcPr>
            <w:tcW w:w="1098" w:type="dxa"/>
            <w:shd w:val="clear" w:color="auto" w:fill="auto"/>
            <w:tcMar>
              <w:right w:w="144" w:type="dxa"/>
            </w:tcMar>
          </w:tcPr>
          <w:p w14:paraId="3792202E" w14:textId="77777777" w:rsidR="00C4579D" w:rsidRPr="000F4708" w:rsidRDefault="00C4579D" w:rsidP="00C4579D">
            <w:pPr>
              <w:keepNext/>
              <w:tabs>
                <w:tab w:val="left" w:pos="2220"/>
              </w:tabs>
              <w:jc w:val="right"/>
              <w:rPr>
                <w:sz w:val="20"/>
                <w:vertAlign w:val="superscript"/>
                <w:lang w:val="en-CA"/>
              </w:rPr>
            </w:pPr>
            <w:r w:rsidRPr="000F4708">
              <w:rPr>
                <w:bCs/>
                <w:color w:val="000000" w:themeColor="text1"/>
                <w:sz w:val="20"/>
                <w:lang w:val="en-CA"/>
              </w:rPr>
              <w:t>2,500</w:t>
            </w:r>
          </w:p>
        </w:tc>
        <w:tc>
          <w:tcPr>
            <w:tcW w:w="1098" w:type="dxa"/>
            <w:shd w:val="clear" w:color="auto" w:fill="auto"/>
            <w:tcMar>
              <w:right w:w="144" w:type="dxa"/>
            </w:tcMar>
          </w:tcPr>
          <w:p w14:paraId="7BE9660A" w14:textId="77777777" w:rsidR="00C4579D" w:rsidRPr="000F4708" w:rsidRDefault="00C4579D" w:rsidP="00C4579D">
            <w:pPr>
              <w:keepNext/>
              <w:tabs>
                <w:tab w:val="left" w:pos="2220"/>
              </w:tabs>
              <w:jc w:val="right"/>
              <w:rPr>
                <w:color w:val="000000" w:themeColor="text1"/>
                <w:sz w:val="20"/>
                <w:lang w:val="en-CA"/>
              </w:rPr>
            </w:pPr>
            <w:r w:rsidRPr="000F4708">
              <w:rPr>
                <w:bCs/>
                <w:color w:val="000000" w:themeColor="text1"/>
                <w:sz w:val="20"/>
                <w:lang w:val="en-CA"/>
              </w:rPr>
              <w:t>17,500</w:t>
            </w:r>
          </w:p>
        </w:tc>
        <w:tc>
          <w:tcPr>
            <w:tcW w:w="1098" w:type="dxa"/>
            <w:shd w:val="clear" w:color="auto" w:fill="auto"/>
            <w:tcMar>
              <w:right w:w="144" w:type="dxa"/>
            </w:tcMar>
          </w:tcPr>
          <w:p w14:paraId="43FC8BF6" w14:textId="77777777" w:rsidR="00C4579D" w:rsidRPr="000F4708" w:rsidRDefault="00C4579D" w:rsidP="00C4579D">
            <w:pPr>
              <w:keepNext/>
              <w:tabs>
                <w:tab w:val="left" w:pos="2220"/>
              </w:tabs>
              <w:jc w:val="right"/>
              <w:rPr>
                <w:color w:val="000000" w:themeColor="text1"/>
                <w:sz w:val="20"/>
                <w:lang w:val="en-CA"/>
              </w:rPr>
            </w:pPr>
            <w:r w:rsidRPr="000F4708">
              <w:rPr>
                <w:color w:val="000000"/>
                <w:sz w:val="20"/>
                <w:lang w:val="en-CA"/>
              </w:rPr>
              <w:t>16</w:t>
            </w:r>
          </w:p>
        </w:tc>
        <w:tc>
          <w:tcPr>
            <w:tcW w:w="1116" w:type="dxa"/>
            <w:shd w:val="clear" w:color="auto" w:fill="auto"/>
            <w:tcMar>
              <w:right w:w="144" w:type="dxa"/>
            </w:tcMar>
          </w:tcPr>
          <w:p w14:paraId="4A923FCC" w14:textId="77777777" w:rsidR="00C4579D" w:rsidRPr="000F4708" w:rsidRDefault="00C4579D" w:rsidP="00C4579D">
            <w:pPr>
              <w:keepNext/>
              <w:tabs>
                <w:tab w:val="left" w:pos="2220"/>
              </w:tabs>
              <w:jc w:val="right"/>
              <w:rPr>
                <w:color w:val="000000" w:themeColor="text1"/>
                <w:sz w:val="20"/>
                <w:lang w:val="en-CA"/>
              </w:rPr>
            </w:pPr>
            <w:r w:rsidRPr="000F4708">
              <w:rPr>
                <w:bCs/>
                <w:color w:val="000000" w:themeColor="text1"/>
                <w:sz w:val="20"/>
                <w:lang w:val="en-CA"/>
              </w:rPr>
              <w:t xml:space="preserve">2,800 </w:t>
            </w:r>
          </w:p>
        </w:tc>
        <w:tc>
          <w:tcPr>
            <w:tcW w:w="1170" w:type="dxa"/>
            <w:shd w:val="clear" w:color="auto" w:fill="auto"/>
            <w:tcMar>
              <w:right w:w="144" w:type="dxa"/>
            </w:tcMar>
          </w:tcPr>
          <w:p w14:paraId="67A6505F" w14:textId="77777777" w:rsidR="00C4579D" w:rsidRPr="000F4708" w:rsidRDefault="00C4579D" w:rsidP="00C4579D">
            <w:pPr>
              <w:keepNext/>
              <w:tabs>
                <w:tab w:val="left" w:pos="2220"/>
              </w:tabs>
              <w:jc w:val="right"/>
              <w:rPr>
                <w:color w:val="000000" w:themeColor="text1"/>
                <w:sz w:val="20"/>
                <w:lang w:val="en-CA"/>
              </w:rPr>
            </w:pPr>
            <w:r w:rsidRPr="000F4708">
              <w:rPr>
                <w:color w:val="000000"/>
                <w:sz w:val="20"/>
                <w:lang w:val="en-CA"/>
              </w:rPr>
              <w:t>26</w:t>
            </w:r>
          </w:p>
        </w:tc>
      </w:tr>
      <w:tr w:rsidR="00C4579D" w:rsidRPr="000F4708" w14:paraId="75760519" w14:textId="77777777" w:rsidTr="00C4579D">
        <w:tc>
          <w:tcPr>
            <w:tcW w:w="2075" w:type="dxa"/>
            <w:shd w:val="clear" w:color="auto" w:fill="auto"/>
            <w:vAlign w:val="center"/>
          </w:tcPr>
          <w:p w14:paraId="5538CC97" w14:textId="10C494AC" w:rsidR="00C4579D" w:rsidRPr="000F4708" w:rsidRDefault="00C4579D" w:rsidP="007817AE">
            <w:pPr>
              <w:keepNext/>
              <w:tabs>
                <w:tab w:val="left" w:pos="2220"/>
              </w:tabs>
              <w:bidi/>
              <w:jc w:val="left"/>
              <w:rPr>
                <w:b/>
                <w:sz w:val="20"/>
                <w:lang w:val="en-CA"/>
              </w:rPr>
            </w:pPr>
            <w:r>
              <w:rPr>
                <w:rFonts w:hint="cs"/>
                <w:b/>
                <w:bCs/>
                <w:sz w:val="20"/>
                <w:rtl/>
                <w:lang w:val="en-CA"/>
              </w:rPr>
              <w:t>المجموع</w:t>
            </w:r>
          </w:p>
        </w:tc>
        <w:tc>
          <w:tcPr>
            <w:tcW w:w="1700" w:type="dxa"/>
            <w:shd w:val="clear" w:color="auto" w:fill="auto"/>
            <w:vAlign w:val="center"/>
          </w:tcPr>
          <w:p w14:paraId="7F0D9232" w14:textId="77777777" w:rsidR="00C4579D" w:rsidRPr="000F4708" w:rsidRDefault="00C4579D" w:rsidP="007817AE">
            <w:pPr>
              <w:keepNext/>
              <w:tabs>
                <w:tab w:val="left" w:pos="2220"/>
              </w:tabs>
              <w:bidi/>
              <w:jc w:val="left"/>
              <w:rPr>
                <w:b/>
                <w:bCs/>
                <w:sz w:val="20"/>
                <w:lang w:val="en-CA"/>
              </w:rPr>
            </w:pPr>
          </w:p>
        </w:tc>
        <w:tc>
          <w:tcPr>
            <w:tcW w:w="1098" w:type="dxa"/>
            <w:shd w:val="clear" w:color="auto" w:fill="auto"/>
            <w:tcMar>
              <w:right w:w="144" w:type="dxa"/>
            </w:tcMar>
          </w:tcPr>
          <w:p w14:paraId="46AE8418" w14:textId="77777777" w:rsidR="00C4579D" w:rsidRPr="000F4708" w:rsidRDefault="00C4579D" w:rsidP="00C4579D">
            <w:pPr>
              <w:keepNext/>
              <w:tabs>
                <w:tab w:val="left" w:pos="2220"/>
              </w:tabs>
              <w:jc w:val="right"/>
              <w:rPr>
                <w:b/>
                <w:sz w:val="20"/>
                <w:lang w:val="en-CA"/>
              </w:rPr>
            </w:pPr>
            <w:r w:rsidRPr="000F4708">
              <w:rPr>
                <w:b/>
                <w:sz w:val="20"/>
                <w:lang w:val="en-CA"/>
              </w:rPr>
              <w:t>71,005</w:t>
            </w:r>
          </w:p>
        </w:tc>
        <w:tc>
          <w:tcPr>
            <w:tcW w:w="1098" w:type="dxa"/>
            <w:shd w:val="clear" w:color="auto" w:fill="auto"/>
            <w:tcMar>
              <w:right w:w="144" w:type="dxa"/>
            </w:tcMar>
          </w:tcPr>
          <w:p w14:paraId="300E7758" w14:textId="77777777" w:rsidR="00C4579D" w:rsidRPr="000F4708" w:rsidRDefault="00C4579D" w:rsidP="00C4579D">
            <w:pPr>
              <w:keepNext/>
              <w:tabs>
                <w:tab w:val="left" w:pos="2220"/>
              </w:tabs>
              <w:jc w:val="right"/>
              <w:rPr>
                <w:b/>
                <w:color w:val="000000" w:themeColor="text1"/>
                <w:sz w:val="20"/>
                <w:lang w:val="en-CA"/>
              </w:rPr>
            </w:pPr>
            <w:r w:rsidRPr="000F4708">
              <w:rPr>
                <w:b/>
                <w:bCs/>
                <w:color w:val="000000"/>
                <w:sz w:val="20"/>
                <w:lang w:val="en-CA"/>
              </w:rPr>
              <w:t>98,250</w:t>
            </w:r>
          </w:p>
        </w:tc>
        <w:tc>
          <w:tcPr>
            <w:tcW w:w="1098" w:type="dxa"/>
            <w:shd w:val="clear" w:color="auto" w:fill="auto"/>
            <w:tcMar>
              <w:right w:w="144" w:type="dxa"/>
            </w:tcMar>
          </w:tcPr>
          <w:p w14:paraId="360530A7" w14:textId="77777777" w:rsidR="00C4579D" w:rsidRPr="000F4708" w:rsidRDefault="00C4579D" w:rsidP="00C4579D">
            <w:pPr>
              <w:keepNext/>
              <w:tabs>
                <w:tab w:val="left" w:pos="2220"/>
              </w:tabs>
              <w:jc w:val="right"/>
              <w:rPr>
                <w:b/>
                <w:color w:val="000000" w:themeColor="text1"/>
                <w:sz w:val="20"/>
                <w:lang w:val="en-CA"/>
              </w:rPr>
            </w:pPr>
          </w:p>
        </w:tc>
        <w:tc>
          <w:tcPr>
            <w:tcW w:w="1116" w:type="dxa"/>
            <w:shd w:val="clear" w:color="auto" w:fill="auto"/>
            <w:tcMar>
              <w:right w:w="144" w:type="dxa"/>
            </w:tcMar>
          </w:tcPr>
          <w:p w14:paraId="00284DAA" w14:textId="77777777" w:rsidR="00C4579D" w:rsidRPr="000F4708" w:rsidRDefault="00C4579D" w:rsidP="00C4579D">
            <w:pPr>
              <w:keepNext/>
              <w:tabs>
                <w:tab w:val="left" w:pos="2220"/>
              </w:tabs>
              <w:jc w:val="right"/>
              <w:rPr>
                <w:b/>
                <w:color w:val="000000" w:themeColor="text1"/>
                <w:sz w:val="20"/>
                <w:lang w:val="en-CA"/>
              </w:rPr>
            </w:pPr>
            <w:r w:rsidRPr="000F4708">
              <w:rPr>
                <w:b/>
                <w:bCs/>
                <w:color w:val="000000"/>
                <w:sz w:val="20"/>
                <w:lang w:val="en-CA"/>
              </w:rPr>
              <w:t xml:space="preserve">10,900 </w:t>
            </w:r>
          </w:p>
        </w:tc>
        <w:tc>
          <w:tcPr>
            <w:tcW w:w="1170" w:type="dxa"/>
            <w:shd w:val="clear" w:color="auto" w:fill="auto"/>
            <w:tcMar>
              <w:right w:w="144" w:type="dxa"/>
            </w:tcMar>
          </w:tcPr>
          <w:p w14:paraId="253821D1" w14:textId="77777777" w:rsidR="00C4579D" w:rsidRPr="000F4708" w:rsidRDefault="00C4579D" w:rsidP="00C4579D">
            <w:pPr>
              <w:keepNext/>
              <w:tabs>
                <w:tab w:val="left" w:pos="2220"/>
              </w:tabs>
              <w:jc w:val="right"/>
              <w:rPr>
                <w:b/>
                <w:bCs/>
                <w:color w:val="000000" w:themeColor="text1"/>
                <w:sz w:val="20"/>
                <w:lang w:val="en-CA"/>
              </w:rPr>
            </w:pPr>
            <w:r w:rsidRPr="000F4708">
              <w:rPr>
                <w:b/>
                <w:bCs/>
                <w:color w:val="000000" w:themeColor="text1"/>
                <w:sz w:val="20"/>
                <w:lang w:val="en-CA"/>
              </w:rPr>
              <w:t>100</w:t>
            </w:r>
          </w:p>
        </w:tc>
      </w:tr>
      <w:bookmarkEnd w:id="1"/>
    </w:tbl>
    <w:p w14:paraId="39912983" w14:textId="77777777" w:rsidR="00C4579D" w:rsidRDefault="00C4579D" w:rsidP="00C4579D">
      <w:pPr>
        <w:pStyle w:val="StyleHeader4Para4Left0Firstline0"/>
        <w:numPr>
          <w:ilvl w:val="0"/>
          <w:numId w:val="0"/>
        </w:numPr>
        <w:tabs>
          <w:tab w:val="clear" w:pos="2880"/>
          <w:tab w:val="clear" w:pos="5760"/>
          <w:tab w:val="left" w:pos="720"/>
        </w:tabs>
        <w:bidi/>
        <w:rPr>
          <w:sz w:val="26"/>
          <w:szCs w:val="26"/>
          <w:lang w:val="en-US" w:bidi="ar-EG"/>
        </w:rPr>
      </w:pPr>
    </w:p>
    <w:p w14:paraId="7A0F1EC8" w14:textId="035B6AE0" w:rsidR="002E45DB" w:rsidRPr="009B4182" w:rsidRDefault="009B4182" w:rsidP="002E45DB">
      <w:pPr>
        <w:pStyle w:val="StyleHeader4Para4Left0Firstline0"/>
        <w:numPr>
          <w:ilvl w:val="0"/>
          <w:numId w:val="0"/>
        </w:numPr>
        <w:tabs>
          <w:tab w:val="clear" w:pos="2880"/>
          <w:tab w:val="clear" w:pos="5760"/>
          <w:tab w:val="left" w:pos="720"/>
        </w:tabs>
        <w:bidi/>
        <w:rPr>
          <w:sz w:val="26"/>
          <w:szCs w:val="26"/>
          <w:u w:val="single"/>
          <w:rtl/>
          <w:lang w:val="en-US" w:bidi="ar-EG"/>
        </w:rPr>
      </w:pPr>
      <w:r>
        <w:rPr>
          <w:rFonts w:hint="cs"/>
          <w:sz w:val="26"/>
          <w:szCs w:val="26"/>
          <w:u w:val="single"/>
          <w:rtl/>
          <w:lang w:val="en-US" w:bidi="ar-EG"/>
        </w:rPr>
        <w:t>استراتيجية الإزالة في المرحلة الثانية من خطة إدارة إزالة المواد الهيدروكلوروفلوروكربونية</w:t>
      </w:r>
    </w:p>
    <w:p w14:paraId="2B808076" w14:textId="34F032C1" w:rsidR="00245558" w:rsidRDefault="00245558" w:rsidP="00245558">
      <w:pPr>
        <w:pStyle w:val="StyleHeader4Para4Left0Firstline0"/>
        <w:numPr>
          <w:ilvl w:val="0"/>
          <w:numId w:val="0"/>
        </w:numPr>
        <w:tabs>
          <w:tab w:val="clear" w:pos="2880"/>
          <w:tab w:val="clear" w:pos="5760"/>
          <w:tab w:val="left" w:pos="720"/>
        </w:tabs>
        <w:bidi/>
        <w:rPr>
          <w:sz w:val="26"/>
          <w:szCs w:val="26"/>
          <w:rtl/>
          <w:lang w:val="en-US" w:bidi="ar-EG"/>
        </w:rPr>
      </w:pPr>
      <w:r>
        <w:rPr>
          <w:rFonts w:hint="cs"/>
          <w:sz w:val="26"/>
          <w:szCs w:val="26"/>
          <w:rtl/>
          <w:lang w:val="en-US" w:bidi="ar-EG"/>
        </w:rPr>
        <w:t>12 -</w:t>
      </w:r>
      <w:r>
        <w:rPr>
          <w:sz w:val="26"/>
          <w:szCs w:val="26"/>
          <w:rtl/>
          <w:lang w:val="en-US" w:bidi="ar-EG"/>
        </w:rPr>
        <w:tab/>
      </w:r>
      <w:r w:rsidR="009B4182">
        <w:rPr>
          <w:rFonts w:hint="cs"/>
          <w:sz w:val="26"/>
          <w:szCs w:val="26"/>
          <w:rtl/>
          <w:lang w:val="en-US" w:bidi="ar-EG"/>
        </w:rPr>
        <w:t xml:space="preserve">تهدف المرحلة الثانية من خطة إدارة إزالة المواد الهيدروكلوروفلوروكربونية إلى تحقيق خفض بنسبة 71 في المائة من استهلاك خط الأساس لهذه المواد بحلول عام 2021، و 86 في المائة بحلول عام 2025 و 100 في المائة </w:t>
      </w:r>
      <w:r w:rsidR="009B4182">
        <w:rPr>
          <w:rFonts w:hint="cs"/>
          <w:sz w:val="26"/>
          <w:szCs w:val="26"/>
          <w:rtl/>
          <w:lang w:val="en-US" w:bidi="ar-EG"/>
        </w:rPr>
        <w:lastRenderedPageBreak/>
        <w:t>بحلول عام 2030. وقد تم تخطيط المرحلة الثانية على أساس الخبرة المكت</w:t>
      </w:r>
      <w:r w:rsidR="007817AE">
        <w:rPr>
          <w:rFonts w:hint="cs"/>
          <w:sz w:val="26"/>
          <w:szCs w:val="26"/>
          <w:rtl/>
          <w:lang w:val="en-US" w:bidi="ar-EG"/>
        </w:rPr>
        <w:t>س</w:t>
      </w:r>
      <w:r w:rsidR="009B4182">
        <w:rPr>
          <w:rFonts w:hint="cs"/>
          <w:sz w:val="26"/>
          <w:szCs w:val="26"/>
          <w:rtl/>
          <w:lang w:val="en-US" w:bidi="ar-EG"/>
        </w:rPr>
        <w:t>بة خلال تنفيذ المرحلة السابقة وسوف تركز على تعزيز نظام الترخيص والحصص لهذه المواد، والترويج للانتقال إلى تكنولوجيات ذات إمكانية احترار عالمية منخفضة في قطاع التبريد وتكييف الهواء. والعناصر الأساسية هي إنفاذ لوائح المواد ال</w:t>
      </w:r>
      <w:r w:rsidR="003645C3">
        <w:rPr>
          <w:rFonts w:hint="cs"/>
          <w:sz w:val="26"/>
          <w:szCs w:val="26"/>
          <w:rtl/>
          <w:lang w:val="en-US" w:bidi="ar-EG"/>
        </w:rPr>
        <w:t>مستنفدة</w:t>
      </w:r>
      <w:r w:rsidR="009B4182">
        <w:rPr>
          <w:rFonts w:hint="cs"/>
          <w:sz w:val="26"/>
          <w:szCs w:val="26"/>
          <w:rtl/>
          <w:lang w:val="en-US" w:bidi="ar-EG"/>
        </w:rPr>
        <w:t xml:space="preserve"> للأوزون، وتدريب فنيي التبريد وتكييف الهواء على الاستخدام الآمن للتكنولوجيات الجديدة، وتوفير معدات لمعاهد التدريب، وإقامة نظام لاعتماد الفنيين وتنفيذ نظام للاسترداد وإعادة التدوير، وحوافز إعادة التأهيل/الإحلال، والتوعية الجماهيرية بالتكنولوجيات البديلة. </w:t>
      </w:r>
    </w:p>
    <w:p w14:paraId="7AB414E4" w14:textId="7F9DBA36" w:rsidR="002E45DB" w:rsidRPr="00A15F70" w:rsidRDefault="009B4182" w:rsidP="002E45DB">
      <w:pPr>
        <w:pStyle w:val="StyleHeader4Para4Left0Firstline0"/>
        <w:numPr>
          <w:ilvl w:val="0"/>
          <w:numId w:val="0"/>
        </w:numPr>
        <w:tabs>
          <w:tab w:val="clear" w:pos="2880"/>
          <w:tab w:val="clear" w:pos="5760"/>
          <w:tab w:val="left" w:pos="720"/>
        </w:tabs>
        <w:bidi/>
        <w:rPr>
          <w:sz w:val="26"/>
          <w:szCs w:val="26"/>
          <w:u w:val="single"/>
          <w:rtl/>
          <w:lang w:val="en-US" w:bidi="ar-EG"/>
        </w:rPr>
      </w:pPr>
      <w:r>
        <w:rPr>
          <w:rFonts w:hint="cs"/>
          <w:sz w:val="26"/>
          <w:szCs w:val="26"/>
          <w:u w:val="single"/>
          <w:rtl/>
          <w:lang w:val="en-US" w:bidi="ar-EG"/>
        </w:rPr>
        <w:t>الأنشطة المقترحة في المرحلة الثانية من خطة إدارة إزالة المواد الهيدروكلوروفلوروكربونية</w:t>
      </w:r>
    </w:p>
    <w:p w14:paraId="53EEB6A9" w14:textId="7192F2DB" w:rsidR="00A15F70" w:rsidRDefault="00A15F70" w:rsidP="00A15F70">
      <w:pPr>
        <w:pStyle w:val="StyleHeader4Para4Left0Firstline0"/>
        <w:numPr>
          <w:ilvl w:val="0"/>
          <w:numId w:val="0"/>
        </w:numPr>
        <w:tabs>
          <w:tab w:val="clear" w:pos="2880"/>
          <w:tab w:val="clear" w:pos="5760"/>
          <w:tab w:val="left" w:pos="720"/>
        </w:tabs>
        <w:bidi/>
        <w:rPr>
          <w:sz w:val="26"/>
          <w:szCs w:val="26"/>
          <w:rtl/>
          <w:lang w:val="en-US" w:bidi="ar-EG"/>
        </w:rPr>
      </w:pPr>
      <w:r>
        <w:rPr>
          <w:rFonts w:hint="cs"/>
          <w:sz w:val="26"/>
          <w:szCs w:val="26"/>
          <w:rtl/>
          <w:lang w:val="en-US" w:bidi="ar-EG"/>
        </w:rPr>
        <w:t>13 -</w:t>
      </w:r>
      <w:r>
        <w:rPr>
          <w:sz w:val="26"/>
          <w:szCs w:val="26"/>
          <w:rtl/>
          <w:lang w:val="en-US" w:bidi="ar-EG"/>
        </w:rPr>
        <w:tab/>
      </w:r>
      <w:r w:rsidR="009B4182">
        <w:rPr>
          <w:rFonts w:hint="cs"/>
          <w:sz w:val="26"/>
          <w:szCs w:val="26"/>
          <w:rtl/>
          <w:lang w:val="en-US" w:bidi="ar-EG"/>
        </w:rPr>
        <w:t>تقترح المرحلة الثانية القيام بالأنشطة التالية:</w:t>
      </w:r>
    </w:p>
    <w:p w14:paraId="7F2C962B" w14:textId="290E70C1" w:rsidR="009B4182" w:rsidRDefault="009B4182" w:rsidP="009B4182">
      <w:pPr>
        <w:pStyle w:val="StyleHeader4Para4Left0Firstline0"/>
        <w:numPr>
          <w:ilvl w:val="0"/>
          <w:numId w:val="0"/>
        </w:numPr>
        <w:tabs>
          <w:tab w:val="clear" w:pos="2880"/>
          <w:tab w:val="clear" w:pos="5760"/>
          <w:tab w:val="left" w:pos="720"/>
        </w:tabs>
        <w:bidi/>
        <w:ind w:left="1324" w:hanging="1324"/>
        <w:rPr>
          <w:sz w:val="26"/>
          <w:szCs w:val="26"/>
          <w:rtl/>
          <w:lang w:val="en-US" w:bidi="ar-EG"/>
        </w:rPr>
      </w:pPr>
      <w:r>
        <w:rPr>
          <w:sz w:val="26"/>
          <w:szCs w:val="26"/>
          <w:rtl/>
          <w:lang w:bidi="ar-EG"/>
        </w:rPr>
        <w:tab/>
      </w:r>
      <w:r>
        <w:rPr>
          <w:rFonts w:hint="cs"/>
          <w:sz w:val="26"/>
          <w:szCs w:val="26"/>
          <w:rtl/>
          <w:lang w:bidi="ar-EG"/>
        </w:rPr>
        <w:t>(أ)</w:t>
      </w:r>
      <w:r w:rsidRPr="00E866CD">
        <w:rPr>
          <w:sz w:val="26"/>
          <w:szCs w:val="26"/>
          <w:rtl/>
          <w:lang w:bidi="ar-EG"/>
        </w:rPr>
        <w:tab/>
      </w:r>
      <w:r>
        <w:rPr>
          <w:rFonts w:hint="cs"/>
          <w:sz w:val="26"/>
          <w:szCs w:val="26"/>
          <w:rtl/>
          <w:lang w:bidi="ar-EG"/>
        </w:rPr>
        <w:t>إنفاذ لوائح المواد ال</w:t>
      </w:r>
      <w:r w:rsidR="003645C3">
        <w:rPr>
          <w:rFonts w:hint="cs"/>
          <w:sz w:val="26"/>
          <w:szCs w:val="26"/>
          <w:rtl/>
          <w:lang w:bidi="ar-EG"/>
        </w:rPr>
        <w:t>مستنفدة</w:t>
      </w:r>
      <w:r>
        <w:rPr>
          <w:rFonts w:hint="cs"/>
          <w:sz w:val="26"/>
          <w:szCs w:val="26"/>
          <w:rtl/>
          <w:lang w:bidi="ar-EG"/>
        </w:rPr>
        <w:t xml:space="preserve"> للأوزون: تدريب 200 موظف جمارك على التعرف على المواد ال</w:t>
      </w:r>
      <w:r w:rsidR="003645C3">
        <w:rPr>
          <w:rFonts w:hint="cs"/>
          <w:sz w:val="26"/>
          <w:szCs w:val="26"/>
          <w:rtl/>
          <w:lang w:bidi="ar-EG"/>
        </w:rPr>
        <w:t>مستنفدة</w:t>
      </w:r>
      <w:r>
        <w:rPr>
          <w:rFonts w:hint="cs"/>
          <w:sz w:val="26"/>
          <w:szCs w:val="26"/>
          <w:rtl/>
          <w:lang w:bidi="ar-EG"/>
        </w:rPr>
        <w:t xml:space="preserve"> للأوزون ومعدات التبريد وتكييف الهواء ورقابتها، شراء أربعة أجهزة لتحديد غازات التبريد، والمساعدة الفنية لتدريب المدربين على اكتشف الاتجار غير المشروع في المواد ال</w:t>
      </w:r>
      <w:r w:rsidR="003645C3">
        <w:rPr>
          <w:rFonts w:hint="cs"/>
          <w:sz w:val="26"/>
          <w:szCs w:val="26"/>
          <w:rtl/>
          <w:lang w:bidi="ar-EG"/>
        </w:rPr>
        <w:t>مستنفدة</w:t>
      </w:r>
      <w:r>
        <w:rPr>
          <w:rFonts w:hint="cs"/>
          <w:sz w:val="26"/>
          <w:szCs w:val="26"/>
          <w:rtl/>
          <w:lang w:bidi="ar-EG"/>
        </w:rPr>
        <w:t xml:space="preserve"> للأوزون (</w:t>
      </w:r>
      <w:r>
        <w:rPr>
          <w:sz w:val="26"/>
          <w:szCs w:val="26"/>
          <w:lang w:val="en-US" w:bidi="ar-EG"/>
        </w:rPr>
        <w:t>61,000</w:t>
      </w:r>
      <w:r>
        <w:rPr>
          <w:rFonts w:hint="cs"/>
          <w:sz w:val="26"/>
          <w:szCs w:val="26"/>
          <w:rtl/>
          <w:lang w:val="en-US" w:bidi="ar-EG"/>
        </w:rPr>
        <w:t xml:space="preserve"> دولار أمريكي)؛</w:t>
      </w:r>
    </w:p>
    <w:p w14:paraId="46054A85" w14:textId="5D3796AD" w:rsidR="009B4182" w:rsidRDefault="009B4182" w:rsidP="009B4182">
      <w:pPr>
        <w:pStyle w:val="StyleHeader4Para4Left0Firstline0"/>
        <w:numPr>
          <w:ilvl w:val="0"/>
          <w:numId w:val="0"/>
        </w:numPr>
        <w:tabs>
          <w:tab w:val="clear" w:pos="2880"/>
          <w:tab w:val="clear" w:pos="5760"/>
          <w:tab w:val="left" w:pos="720"/>
        </w:tabs>
        <w:bidi/>
        <w:ind w:left="1324" w:hanging="1324"/>
        <w:rPr>
          <w:sz w:val="26"/>
          <w:szCs w:val="26"/>
          <w:rtl/>
          <w:lang w:val="en-US" w:bidi="ar-EG"/>
        </w:rPr>
      </w:pPr>
      <w:r>
        <w:rPr>
          <w:sz w:val="26"/>
          <w:szCs w:val="26"/>
          <w:rtl/>
          <w:lang w:val="en-US" w:bidi="ar-EG"/>
        </w:rPr>
        <w:tab/>
      </w:r>
      <w:r>
        <w:rPr>
          <w:rFonts w:hint="cs"/>
          <w:sz w:val="26"/>
          <w:szCs w:val="26"/>
          <w:rtl/>
          <w:lang w:val="en-US" w:bidi="ar-EG"/>
        </w:rPr>
        <w:t>(ب)</w:t>
      </w:r>
      <w:r>
        <w:rPr>
          <w:sz w:val="26"/>
          <w:szCs w:val="26"/>
          <w:rtl/>
          <w:lang w:val="en-US" w:bidi="ar-EG"/>
        </w:rPr>
        <w:tab/>
      </w:r>
      <w:r>
        <w:rPr>
          <w:rFonts w:hint="cs"/>
          <w:sz w:val="26"/>
          <w:szCs w:val="26"/>
          <w:rtl/>
          <w:lang w:val="en-US" w:bidi="ar-EG"/>
        </w:rPr>
        <w:t>مساعدة قطاع التبريد وتكييف الهواء</w:t>
      </w:r>
      <w:r w:rsidR="007817AE">
        <w:rPr>
          <w:rFonts w:hint="cs"/>
          <w:sz w:val="26"/>
          <w:szCs w:val="26"/>
          <w:rtl/>
          <w:lang w:val="en-US" w:bidi="ar-EG"/>
        </w:rPr>
        <w:t>:</w:t>
      </w:r>
      <w:r>
        <w:rPr>
          <w:rFonts w:hint="cs"/>
          <w:sz w:val="26"/>
          <w:szCs w:val="26"/>
          <w:rtl/>
          <w:lang w:val="en-US" w:bidi="ar-EG"/>
        </w:rPr>
        <w:t xml:space="preserve"> سيتم اعتماد أربعة مدربين على ممارسات التبريد الجيدة والمعالجة الآمنة لغازات التبريد القابلة للاشتعال في جنوب أفريقيا، وتدريب 360 فني تبريد وتكييف هواء على أفضل ممارسات التبريد والمعالجة الآمنة لغازات التبريد القابلة للاشتعال، وشراء معدات تدريب</w:t>
      </w:r>
      <w:r w:rsidRPr="00010740">
        <w:rPr>
          <w:rStyle w:val="FootnoteReference"/>
          <w:sz w:val="26"/>
          <w:szCs w:val="26"/>
          <w:rtl/>
        </w:rPr>
        <w:footnoteReference w:id="6"/>
      </w:r>
      <w:r>
        <w:rPr>
          <w:rFonts w:hint="cs"/>
          <w:sz w:val="26"/>
          <w:szCs w:val="26"/>
          <w:rtl/>
          <w:lang w:val="en-US" w:bidi="ar-EG"/>
        </w:rPr>
        <w:t xml:space="preserve"> لأربع مؤسسات واعتماد معايير بشأن تشغيل معدات التبريد وتكييف الهواء القائمة على غازات تبريد قابلة للاشتعال، وتحديث البرنامج الدراسي للتدريب الخاص بالتبريد وتكييف الهواء</w:t>
      </w:r>
      <w:r w:rsidRPr="00010740">
        <w:rPr>
          <w:rStyle w:val="FootnoteReference"/>
          <w:sz w:val="26"/>
          <w:szCs w:val="26"/>
          <w:rtl/>
        </w:rPr>
        <w:footnoteReference w:id="7"/>
      </w:r>
      <w:r>
        <w:rPr>
          <w:rFonts w:hint="cs"/>
          <w:sz w:val="26"/>
          <w:szCs w:val="26"/>
          <w:rtl/>
          <w:lang w:val="en-US" w:bidi="ar-EG"/>
        </w:rPr>
        <w:t xml:space="preserve"> وفقا لنظام الاعتماد؛ والقيام بحملات إعلامية لتشجيع الفنيين على التسجيل لدى جمعية ليسوتو للتبريد وتكييف الهواء؛ وإقامة نظام إلزامي لاعتماد فنيي التبريد وتكييف الهواء بحلول 31 كانون الأول/ديسمبر 2023؛ وتحديد آلية لاعتماد الفنيين غير المهرة على أساس معارفهم وخبرتهم من أجل الحصول على رخصهم وتمكين الاعتماد الأولي لمائة فني تبريد وتكييف هواء؛ وتعيين خبراء فنيين لمساندة إعداد نظام الاعتماد وتحديث برنامج التدريب على التبريد وتكييف الهواء (</w:t>
      </w:r>
      <w:r>
        <w:rPr>
          <w:sz w:val="26"/>
          <w:szCs w:val="26"/>
          <w:lang w:val="en-US" w:bidi="ar-EG"/>
        </w:rPr>
        <w:t>250,000</w:t>
      </w:r>
      <w:r>
        <w:rPr>
          <w:rFonts w:hint="cs"/>
          <w:sz w:val="26"/>
          <w:szCs w:val="26"/>
          <w:rtl/>
          <w:lang w:val="en-US" w:bidi="ar-EG"/>
        </w:rPr>
        <w:t xml:space="preserve"> دولار أمريكي)؛ </w:t>
      </w:r>
    </w:p>
    <w:p w14:paraId="27030DB6" w14:textId="37E6E243" w:rsidR="009B4182" w:rsidRDefault="009B4182" w:rsidP="009B4182">
      <w:pPr>
        <w:pStyle w:val="StyleHeader4Para4Left0Firstline0"/>
        <w:numPr>
          <w:ilvl w:val="0"/>
          <w:numId w:val="0"/>
        </w:numPr>
        <w:tabs>
          <w:tab w:val="clear" w:pos="2880"/>
          <w:tab w:val="clear" w:pos="5760"/>
          <w:tab w:val="left" w:pos="720"/>
        </w:tabs>
        <w:bidi/>
        <w:ind w:left="1324" w:hanging="1324"/>
        <w:rPr>
          <w:sz w:val="26"/>
          <w:szCs w:val="26"/>
          <w:rtl/>
          <w:lang w:val="en-US" w:bidi="ar-EG"/>
        </w:rPr>
      </w:pPr>
      <w:r>
        <w:rPr>
          <w:sz w:val="26"/>
          <w:szCs w:val="26"/>
          <w:rtl/>
          <w:lang w:val="en-US" w:bidi="ar-EG"/>
        </w:rPr>
        <w:tab/>
      </w:r>
      <w:r>
        <w:rPr>
          <w:rFonts w:hint="cs"/>
          <w:sz w:val="26"/>
          <w:szCs w:val="26"/>
          <w:rtl/>
          <w:lang w:val="en-US" w:bidi="ar-EG"/>
        </w:rPr>
        <w:t>(ج)</w:t>
      </w:r>
      <w:r>
        <w:rPr>
          <w:sz w:val="26"/>
          <w:szCs w:val="26"/>
          <w:rtl/>
          <w:lang w:val="en-US" w:bidi="ar-EG"/>
        </w:rPr>
        <w:tab/>
      </w:r>
      <w:r>
        <w:rPr>
          <w:rFonts w:hint="cs"/>
          <w:sz w:val="26"/>
          <w:szCs w:val="26"/>
          <w:rtl/>
          <w:lang w:val="en-US" w:bidi="ar-EG"/>
        </w:rPr>
        <w:t>نظام الاسترداد وإعادة التدوير: تعيين خبراء فنيين لتوفير المساندة لإعداد نظام الاسترداد وإعادة التدوير؛ وإنفاذ عملية التسجيل الإلزامي ومسك السجلات السليم لواردات معدات التبريد وتكييف الهواء، وتسجيل كميات</w:t>
      </w:r>
      <w:r w:rsidR="007817AE">
        <w:rPr>
          <w:rFonts w:hint="cs"/>
          <w:sz w:val="26"/>
          <w:szCs w:val="26"/>
          <w:rtl/>
          <w:lang w:val="en-US" w:bidi="ar-EG"/>
        </w:rPr>
        <w:t xml:space="preserve"> غازات</w:t>
      </w:r>
      <w:r>
        <w:rPr>
          <w:rFonts w:hint="cs"/>
          <w:sz w:val="26"/>
          <w:szCs w:val="26"/>
          <w:rtl/>
          <w:lang w:val="en-US" w:bidi="ar-EG"/>
        </w:rPr>
        <w:t xml:space="preserve"> التبريد التي تم استردادها والإبلاغ عنها؛ وتنظيم ورشة عمل لعدد 30 مشاركا لمناقشة إجراءات تنفيذ نظام الاسترداد وإعادة التدوير؛ وتسليم 10 وحدات استرداد نقالة، و 20 أسطوانة استرداد ووحدة واحدة لمعدات إعادة التدوير (</w:t>
      </w:r>
      <w:r>
        <w:rPr>
          <w:sz w:val="26"/>
          <w:szCs w:val="26"/>
          <w:lang w:val="en-US" w:bidi="ar-EG"/>
        </w:rPr>
        <w:t>36,000</w:t>
      </w:r>
      <w:r>
        <w:rPr>
          <w:rFonts w:hint="cs"/>
          <w:sz w:val="26"/>
          <w:szCs w:val="26"/>
          <w:rtl/>
          <w:lang w:val="en-US" w:bidi="ar-EG"/>
        </w:rPr>
        <w:t xml:space="preserve"> دولار أمريكي)؛</w:t>
      </w:r>
    </w:p>
    <w:p w14:paraId="649859FF" w14:textId="2F82F530" w:rsidR="009B4182" w:rsidRDefault="009B4182" w:rsidP="009B4182">
      <w:pPr>
        <w:pStyle w:val="StyleHeader4Para4Left0Firstline0"/>
        <w:numPr>
          <w:ilvl w:val="0"/>
          <w:numId w:val="0"/>
        </w:numPr>
        <w:tabs>
          <w:tab w:val="clear" w:pos="2880"/>
          <w:tab w:val="clear" w:pos="5760"/>
          <w:tab w:val="left" w:pos="720"/>
        </w:tabs>
        <w:bidi/>
        <w:ind w:left="1324" w:hanging="1324"/>
        <w:rPr>
          <w:sz w:val="26"/>
          <w:szCs w:val="26"/>
          <w:rtl/>
          <w:lang w:val="en-US" w:bidi="ar-EG"/>
        </w:rPr>
      </w:pPr>
      <w:r>
        <w:rPr>
          <w:sz w:val="26"/>
          <w:szCs w:val="26"/>
          <w:rtl/>
          <w:lang w:val="en-US" w:bidi="ar-EG"/>
        </w:rPr>
        <w:tab/>
      </w:r>
      <w:r>
        <w:rPr>
          <w:rFonts w:hint="cs"/>
          <w:sz w:val="26"/>
          <w:szCs w:val="26"/>
          <w:rtl/>
          <w:lang w:val="en-US" w:bidi="ar-EG"/>
        </w:rPr>
        <w:t>(د)</w:t>
      </w:r>
      <w:r>
        <w:rPr>
          <w:sz w:val="26"/>
          <w:szCs w:val="26"/>
          <w:rtl/>
          <w:lang w:val="en-US" w:bidi="ar-EG"/>
        </w:rPr>
        <w:tab/>
      </w:r>
      <w:r>
        <w:rPr>
          <w:rFonts w:hint="cs"/>
          <w:sz w:val="26"/>
          <w:szCs w:val="26"/>
          <w:rtl/>
          <w:lang w:val="en-US" w:bidi="ar-EG"/>
        </w:rPr>
        <w:t>نظام الحوافز: عقد ورشة عمل للأطراف أصحاب المصلحة لوضع معايير توفير حوافز مالية للمستخدم النهائي للتشجيع على استخدام تكنولوجيا ذات إمكانية احترار عالمية منخفضة، وتصميم وتنفيذ نظام حوافز في 50 منشأة (حيث يكون ذلك ممكنا لإحلال أو إعادة تهيئة/إسقاط المعدات</w:t>
      </w:r>
      <w:r w:rsidR="002E3C27" w:rsidRPr="00010740">
        <w:rPr>
          <w:rStyle w:val="FootnoteReference"/>
          <w:sz w:val="26"/>
          <w:szCs w:val="26"/>
          <w:rtl/>
        </w:rPr>
        <w:footnoteReference w:id="8"/>
      </w:r>
      <w:r>
        <w:rPr>
          <w:rFonts w:hint="cs"/>
          <w:sz w:val="26"/>
          <w:szCs w:val="26"/>
          <w:rtl/>
          <w:lang w:val="en-US" w:bidi="ar-EG"/>
        </w:rPr>
        <w:t>، مع أفضلية الإحلال)؛ وتعيين خبير فني لإعطاء المشورة بشأن تنفيذ النظام (</w:t>
      </w:r>
      <w:r>
        <w:rPr>
          <w:sz w:val="26"/>
          <w:szCs w:val="26"/>
          <w:lang w:val="en-US" w:bidi="ar-EG"/>
        </w:rPr>
        <w:t>58,000</w:t>
      </w:r>
      <w:r>
        <w:rPr>
          <w:rFonts w:hint="cs"/>
          <w:sz w:val="26"/>
          <w:szCs w:val="26"/>
          <w:rtl/>
          <w:lang w:val="en-US" w:bidi="ar-EG"/>
        </w:rPr>
        <w:t xml:space="preserve"> دولار أمريكي)؛</w:t>
      </w:r>
    </w:p>
    <w:p w14:paraId="339136AE" w14:textId="0F8B0616" w:rsidR="009B4182" w:rsidRPr="009B4182" w:rsidRDefault="009B4182" w:rsidP="006D5D5F">
      <w:pPr>
        <w:pStyle w:val="StyleHeader4Para4Left0Firstline0"/>
        <w:keepNext/>
        <w:keepLines/>
        <w:numPr>
          <w:ilvl w:val="0"/>
          <w:numId w:val="0"/>
        </w:numPr>
        <w:tabs>
          <w:tab w:val="clear" w:pos="2880"/>
          <w:tab w:val="clear" w:pos="5760"/>
          <w:tab w:val="left" w:pos="720"/>
        </w:tabs>
        <w:bidi/>
        <w:ind w:left="1325" w:hanging="1325"/>
        <w:rPr>
          <w:sz w:val="26"/>
          <w:szCs w:val="26"/>
          <w:rtl/>
          <w:lang w:val="en-US" w:bidi="ar-EG"/>
        </w:rPr>
      </w:pPr>
      <w:r>
        <w:rPr>
          <w:sz w:val="26"/>
          <w:szCs w:val="26"/>
          <w:rtl/>
          <w:lang w:val="en-US" w:bidi="ar-EG"/>
        </w:rPr>
        <w:tab/>
      </w:r>
      <w:r>
        <w:rPr>
          <w:rFonts w:hint="cs"/>
          <w:sz w:val="26"/>
          <w:szCs w:val="26"/>
          <w:rtl/>
          <w:lang w:val="en-US" w:bidi="ar-EG"/>
        </w:rPr>
        <w:t>(هـ)</w:t>
      </w:r>
      <w:r>
        <w:rPr>
          <w:sz w:val="26"/>
          <w:szCs w:val="26"/>
          <w:rtl/>
          <w:lang w:val="en-US" w:bidi="ar-EG"/>
        </w:rPr>
        <w:tab/>
      </w:r>
      <w:bookmarkStart w:id="2" w:name="_GoBack"/>
      <w:r>
        <w:rPr>
          <w:rFonts w:hint="cs"/>
          <w:sz w:val="26"/>
          <w:szCs w:val="26"/>
          <w:rtl/>
          <w:lang w:val="en-US" w:bidi="ar-EG"/>
        </w:rPr>
        <w:t xml:space="preserve">أنشطة زيادة الوعي بشأن إزالة المواد الهيدروكلوروفلوروكربونية، ومتطلبات الترخيص، </w:t>
      </w:r>
      <w:r>
        <w:rPr>
          <w:rFonts w:hint="cs"/>
          <w:sz w:val="26"/>
          <w:szCs w:val="26"/>
          <w:rtl/>
          <w:lang w:val="en-US" w:bidi="ar-EG"/>
        </w:rPr>
        <w:lastRenderedPageBreak/>
        <w:t>والتكنولوجيات والمعدات الجديدة صديقة البيئة والمناخ المتاحة في السوق من خلال الإعلانات في وسائل الإعلام المحلية وندوات التوعية لأهم الأطراف أصحاب المصلحة (</w:t>
      </w:r>
      <w:r>
        <w:rPr>
          <w:sz w:val="26"/>
          <w:szCs w:val="26"/>
          <w:lang w:val="en-US" w:bidi="ar-EG"/>
        </w:rPr>
        <w:t>15,000</w:t>
      </w:r>
      <w:r>
        <w:rPr>
          <w:rFonts w:hint="cs"/>
          <w:sz w:val="26"/>
          <w:szCs w:val="26"/>
          <w:rtl/>
          <w:lang w:val="en-US" w:bidi="ar-EG"/>
        </w:rPr>
        <w:t xml:space="preserve"> دولار أم</w:t>
      </w:r>
      <w:bookmarkEnd w:id="2"/>
      <w:r>
        <w:rPr>
          <w:rFonts w:hint="cs"/>
          <w:sz w:val="26"/>
          <w:szCs w:val="26"/>
          <w:rtl/>
          <w:lang w:val="en-US" w:bidi="ar-EG"/>
        </w:rPr>
        <w:t>ريكي)</w:t>
      </w:r>
      <w:r w:rsidR="00312470">
        <w:rPr>
          <w:rFonts w:hint="cs"/>
          <w:sz w:val="26"/>
          <w:szCs w:val="26"/>
          <w:rtl/>
          <w:lang w:val="en-US" w:bidi="ar-EG"/>
        </w:rPr>
        <w:t>.</w:t>
      </w:r>
    </w:p>
    <w:p w14:paraId="2D7BBDC9" w14:textId="3FEFDF0B" w:rsidR="009B4182" w:rsidRPr="00312470" w:rsidRDefault="00312470" w:rsidP="00312470">
      <w:pPr>
        <w:pStyle w:val="StyleHeader4Para4Left0Firstline0"/>
        <w:keepNext/>
        <w:numPr>
          <w:ilvl w:val="0"/>
          <w:numId w:val="0"/>
        </w:numPr>
        <w:tabs>
          <w:tab w:val="clear" w:pos="2880"/>
          <w:tab w:val="clear" w:pos="5760"/>
          <w:tab w:val="left" w:pos="720"/>
        </w:tabs>
        <w:bidi/>
        <w:rPr>
          <w:i/>
          <w:iCs/>
          <w:sz w:val="26"/>
          <w:szCs w:val="26"/>
          <w:rtl/>
          <w:lang w:val="en-US" w:bidi="ar-EG"/>
        </w:rPr>
      </w:pPr>
      <w:r w:rsidRPr="00312470">
        <w:rPr>
          <w:rFonts w:hint="cs"/>
          <w:i/>
          <w:iCs/>
          <w:sz w:val="26"/>
          <w:szCs w:val="26"/>
          <w:rtl/>
          <w:lang w:val="en-US" w:bidi="ar-EG"/>
        </w:rPr>
        <w:t>تنفيذ ورصد المشروع</w:t>
      </w:r>
    </w:p>
    <w:bookmarkEnd w:id="0"/>
    <w:p w14:paraId="5D97DAFD" w14:textId="25B90EB4" w:rsidR="00312470" w:rsidRDefault="00245558" w:rsidP="00312470">
      <w:pPr>
        <w:pStyle w:val="StyleHeader4Para4Left0Firstline0"/>
        <w:numPr>
          <w:ilvl w:val="0"/>
          <w:numId w:val="0"/>
        </w:numPr>
        <w:tabs>
          <w:tab w:val="clear" w:pos="2880"/>
          <w:tab w:val="clear" w:pos="5760"/>
          <w:tab w:val="left" w:pos="720"/>
        </w:tabs>
        <w:bidi/>
        <w:rPr>
          <w:sz w:val="26"/>
          <w:szCs w:val="26"/>
          <w:rtl/>
          <w:lang w:val="en-US" w:bidi="ar-EG"/>
        </w:rPr>
      </w:pPr>
      <w:r>
        <w:rPr>
          <w:rFonts w:hint="cs"/>
          <w:sz w:val="26"/>
          <w:szCs w:val="26"/>
          <w:rtl/>
          <w:lang w:val="en-US" w:bidi="ar-EG"/>
        </w:rPr>
        <w:t>14 -</w:t>
      </w:r>
      <w:r>
        <w:rPr>
          <w:sz w:val="26"/>
          <w:szCs w:val="26"/>
          <w:rtl/>
          <w:lang w:val="en-US" w:bidi="ar-EG"/>
        </w:rPr>
        <w:tab/>
      </w:r>
      <w:r w:rsidR="00312470">
        <w:rPr>
          <w:rFonts w:hint="cs"/>
          <w:sz w:val="26"/>
          <w:szCs w:val="26"/>
          <w:rtl/>
          <w:lang w:val="en-US" w:bidi="ar-EG"/>
        </w:rPr>
        <w:t xml:space="preserve">سيستمر النظام الذي أقيم في إطار المرحلة الأولى من خطة إدارة إزالة المواد الهيدروكلوروفلوروكربونية في المرحلة الثانية، حيث ستقوم وحدة الأوزون الوطنية برصد الأنشطة والإبلاغ عن التقدم والعمل مع الأطراف أصحاب المصلحة على إزالة المواد الهيدروكلوروفلوروكربونية. وتبلغ تكلفة هذه الأنشطة في المرحلة الثانية </w:t>
      </w:r>
      <w:r w:rsidR="00312470">
        <w:rPr>
          <w:sz w:val="26"/>
          <w:szCs w:val="26"/>
          <w:lang w:val="en-US" w:bidi="ar-EG"/>
        </w:rPr>
        <w:t>50,000</w:t>
      </w:r>
      <w:r w:rsidR="00312470">
        <w:rPr>
          <w:rFonts w:hint="cs"/>
          <w:sz w:val="26"/>
          <w:szCs w:val="26"/>
          <w:rtl/>
          <w:lang w:val="en-US" w:bidi="ar-EG"/>
        </w:rPr>
        <w:t xml:space="preserve"> دولار أمريكي.</w:t>
      </w:r>
    </w:p>
    <w:p w14:paraId="09A8F337" w14:textId="29FE5DD5" w:rsidR="00A15F70" w:rsidRPr="00A15F70" w:rsidRDefault="00312470" w:rsidP="00A15F70">
      <w:pPr>
        <w:pStyle w:val="StyleHeader4Para4Left0Firstline0"/>
        <w:numPr>
          <w:ilvl w:val="0"/>
          <w:numId w:val="0"/>
        </w:numPr>
        <w:tabs>
          <w:tab w:val="clear" w:pos="2880"/>
          <w:tab w:val="clear" w:pos="5760"/>
          <w:tab w:val="left" w:pos="720"/>
        </w:tabs>
        <w:bidi/>
        <w:rPr>
          <w:sz w:val="26"/>
          <w:szCs w:val="26"/>
          <w:u w:val="single"/>
          <w:rtl/>
          <w:lang w:val="en-US" w:bidi="ar-EG"/>
        </w:rPr>
      </w:pPr>
      <w:r>
        <w:rPr>
          <w:rFonts w:hint="cs"/>
          <w:sz w:val="26"/>
          <w:szCs w:val="26"/>
          <w:u w:val="single"/>
          <w:rtl/>
          <w:lang w:val="en-US" w:bidi="ar-EG"/>
        </w:rPr>
        <w:t>تنفيذ سياسة جنسانية</w:t>
      </w:r>
      <w:r w:rsidRPr="00010740">
        <w:rPr>
          <w:rStyle w:val="FootnoteReference"/>
          <w:sz w:val="26"/>
          <w:szCs w:val="26"/>
          <w:rtl/>
        </w:rPr>
        <w:footnoteReference w:id="9"/>
      </w:r>
    </w:p>
    <w:p w14:paraId="64C410DC" w14:textId="49358BC0" w:rsidR="00245558" w:rsidRDefault="00245558" w:rsidP="00245558">
      <w:pPr>
        <w:pStyle w:val="StyleHeader4Para4Left0Firstline0"/>
        <w:numPr>
          <w:ilvl w:val="0"/>
          <w:numId w:val="0"/>
        </w:numPr>
        <w:tabs>
          <w:tab w:val="clear" w:pos="2880"/>
          <w:tab w:val="clear" w:pos="5760"/>
          <w:tab w:val="left" w:pos="720"/>
        </w:tabs>
        <w:bidi/>
        <w:rPr>
          <w:sz w:val="26"/>
          <w:szCs w:val="26"/>
          <w:rtl/>
          <w:lang w:val="en-US" w:bidi="ar-EG"/>
        </w:rPr>
      </w:pPr>
      <w:r>
        <w:rPr>
          <w:rFonts w:hint="cs"/>
          <w:sz w:val="26"/>
          <w:szCs w:val="26"/>
          <w:rtl/>
          <w:lang w:val="en-US" w:bidi="ar-EG"/>
        </w:rPr>
        <w:t>15 -</w:t>
      </w:r>
      <w:r>
        <w:rPr>
          <w:sz w:val="26"/>
          <w:szCs w:val="26"/>
          <w:rtl/>
          <w:lang w:val="en-US" w:bidi="ar-EG"/>
        </w:rPr>
        <w:tab/>
      </w:r>
      <w:r w:rsidR="00312470">
        <w:rPr>
          <w:rFonts w:hint="cs"/>
          <w:sz w:val="26"/>
          <w:szCs w:val="26"/>
          <w:rtl/>
          <w:lang w:val="en-US" w:bidi="ar-EG"/>
        </w:rPr>
        <w:t xml:space="preserve">وفقا للمقرر </w:t>
      </w:r>
      <w:r w:rsidR="00312470">
        <w:rPr>
          <w:sz w:val="26"/>
          <w:szCs w:val="26"/>
          <w:lang w:val="en-US" w:bidi="ar-EG"/>
        </w:rPr>
        <w:t>92/84</w:t>
      </w:r>
      <w:r w:rsidR="00312470">
        <w:rPr>
          <w:rFonts w:hint="cs"/>
          <w:sz w:val="26"/>
          <w:szCs w:val="26"/>
          <w:rtl/>
          <w:lang w:val="en-US" w:bidi="ar-EG"/>
        </w:rPr>
        <w:t xml:space="preserve"> (د) ستقوم حكومة ليسوتو بالتشجيع على المشاركة الكاملة للمرأة في مختلف الأنشطة التي ستنفذ في إطار المرحلة الثانية. وستقدم وحدة الأوزون الوطنية المساندة لجمع البيانات المقسمة حسب الجنسين، وتشرك الأطراف في دراسة القضايا الجنسانية وتحصل منهم على آرائهم لتحديد العقبات ووضع مؤشرات محددة وإعداد استجابة فعالة ومؤشرات للأهداف.</w:t>
      </w:r>
    </w:p>
    <w:p w14:paraId="42BF047B" w14:textId="6F3CF573" w:rsidR="00312470" w:rsidRPr="00312470" w:rsidRDefault="00312470" w:rsidP="00312470">
      <w:pPr>
        <w:pStyle w:val="StyleHeader4Para4Left0Firstline0"/>
        <w:numPr>
          <w:ilvl w:val="0"/>
          <w:numId w:val="0"/>
        </w:numPr>
        <w:tabs>
          <w:tab w:val="clear" w:pos="2880"/>
          <w:tab w:val="clear" w:pos="5760"/>
          <w:tab w:val="left" w:pos="720"/>
        </w:tabs>
        <w:bidi/>
        <w:rPr>
          <w:sz w:val="26"/>
          <w:szCs w:val="26"/>
          <w:u w:val="single"/>
          <w:rtl/>
          <w:lang w:val="en-US" w:bidi="ar-EG"/>
        </w:rPr>
      </w:pPr>
      <w:r w:rsidRPr="00312470">
        <w:rPr>
          <w:rFonts w:hint="cs"/>
          <w:sz w:val="26"/>
          <w:szCs w:val="26"/>
          <w:u w:val="single"/>
          <w:rtl/>
          <w:lang w:val="en-US" w:bidi="ar-EG"/>
        </w:rPr>
        <w:t>التكلفة الإجمالية للمرحلة الثانية من خطة إدارة إزالة المواد الهيدروكلوروفلوروكربونية</w:t>
      </w:r>
    </w:p>
    <w:p w14:paraId="40AE6560" w14:textId="19535A0C" w:rsidR="00245558" w:rsidRPr="00312470" w:rsidRDefault="00245558" w:rsidP="00A15F70">
      <w:pPr>
        <w:pStyle w:val="StyleHeader4Para4Left0Firstline0"/>
        <w:numPr>
          <w:ilvl w:val="0"/>
          <w:numId w:val="0"/>
        </w:numPr>
        <w:tabs>
          <w:tab w:val="clear" w:pos="2880"/>
          <w:tab w:val="clear" w:pos="5760"/>
          <w:tab w:val="left" w:pos="720"/>
        </w:tabs>
        <w:bidi/>
        <w:rPr>
          <w:sz w:val="26"/>
          <w:szCs w:val="26"/>
          <w:rtl/>
          <w:lang w:val="en-US" w:bidi="ar-EG"/>
        </w:rPr>
      </w:pPr>
      <w:r>
        <w:rPr>
          <w:rFonts w:hint="cs"/>
          <w:sz w:val="26"/>
          <w:szCs w:val="26"/>
          <w:rtl/>
          <w:lang w:bidi="ar-EG"/>
        </w:rPr>
        <w:t>16 -</w:t>
      </w:r>
      <w:r>
        <w:rPr>
          <w:sz w:val="26"/>
          <w:szCs w:val="26"/>
          <w:rtl/>
          <w:lang w:bidi="ar-EG"/>
        </w:rPr>
        <w:tab/>
      </w:r>
      <w:r w:rsidR="00312470">
        <w:rPr>
          <w:rFonts w:hint="cs"/>
          <w:sz w:val="26"/>
          <w:szCs w:val="26"/>
          <w:rtl/>
          <w:lang w:bidi="ar-EG"/>
        </w:rPr>
        <w:t xml:space="preserve">قدرت التكلفة الإجمالية للمرحلة الثانية من خطة إدارة إزالة المواد الهيدروكلوروفلوروكربونية لليسوتو بمبلغ </w:t>
      </w:r>
      <w:r w:rsidR="00312470">
        <w:rPr>
          <w:sz w:val="26"/>
          <w:szCs w:val="26"/>
          <w:lang w:val="en-US" w:bidi="ar-EG"/>
        </w:rPr>
        <w:t>470,000</w:t>
      </w:r>
      <w:r w:rsidR="00312470">
        <w:rPr>
          <w:rFonts w:hint="cs"/>
          <w:sz w:val="26"/>
          <w:szCs w:val="26"/>
          <w:rtl/>
          <w:lang w:val="en-US" w:bidi="ar-EG"/>
        </w:rPr>
        <w:t xml:space="preserve"> دولار أمريكي (زائد تكاليف دعم الوكالة) كما قدمت في الأصل وذلك لتحقيق الإزالة الكاملة لاستهلاك المواد الهيدروكلوروفلوروكربونية، وفقا للمقرر </w:t>
      </w:r>
      <w:r w:rsidR="00312470">
        <w:rPr>
          <w:sz w:val="26"/>
          <w:szCs w:val="26"/>
          <w:lang w:val="en-US" w:bidi="ar-EG"/>
        </w:rPr>
        <w:t>50/74</w:t>
      </w:r>
      <w:r w:rsidR="00312470">
        <w:rPr>
          <w:rFonts w:hint="cs"/>
          <w:sz w:val="26"/>
          <w:szCs w:val="26"/>
          <w:rtl/>
          <w:lang w:val="en-US" w:bidi="ar-EG"/>
        </w:rPr>
        <w:t xml:space="preserve"> (ج) (12) مع الأخذ في الاعتبار تعديل التمويل في المرحلة الأولى. وتلتزم الحكومة بخفض استهلاكها لخط الأساس لهذه المواد بنسبة 71 في المائة بحلول عام 2021، و 86 في المائة بحلول عام 2025 و 100 في المائة بحلول عام 2030.</w:t>
      </w:r>
    </w:p>
    <w:p w14:paraId="2A16A8B3" w14:textId="6410A4B9" w:rsidR="00A15F70" w:rsidRPr="00AC52D4" w:rsidRDefault="00312470" w:rsidP="00A15F70">
      <w:pPr>
        <w:pStyle w:val="StyleHeader4Para4Left0Firstline0"/>
        <w:numPr>
          <w:ilvl w:val="0"/>
          <w:numId w:val="0"/>
        </w:numPr>
        <w:tabs>
          <w:tab w:val="clear" w:pos="2880"/>
          <w:tab w:val="clear" w:pos="5760"/>
          <w:tab w:val="left" w:pos="720"/>
        </w:tabs>
        <w:bidi/>
        <w:rPr>
          <w:sz w:val="26"/>
          <w:szCs w:val="26"/>
          <w:u w:val="single"/>
          <w:rtl/>
          <w:lang w:val="en-US" w:bidi="ar-EG"/>
        </w:rPr>
      </w:pPr>
      <w:r>
        <w:rPr>
          <w:rFonts w:hint="cs"/>
          <w:sz w:val="26"/>
          <w:szCs w:val="26"/>
          <w:u w:val="single"/>
          <w:rtl/>
          <w:lang w:val="en-US" w:bidi="ar-EG"/>
        </w:rPr>
        <w:t>الأنشطة المخطط لها في الشريحة الأولى من المرحلة الثانية</w:t>
      </w:r>
    </w:p>
    <w:p w14:paraId="47FF47B7" w14:textId="1B68A0FF" w:rsidR="00245558" w:rsidRDefault="00245558" w:rsidP="00245558">
      <w:pPr>
        <w:pStyle w:val="StyleHeader4Para4Left0Firstline0"/>
        <w:numPr>
          <w:ilvl w:val="0"/>
          <w:numId w:val="0"/>
        </w:numPr>
        <w:tabs>
          <w:tab w:val="clear" w:pos="2880"/>
          <w:tab w:val="clear" w:pos="5760"/>
          <w:tab w:val="left" w:pos="720"/>
        </w:tabs>
        <w:bidi/>
        <w:rPr>
          <w:sz w:val="26"/>
          <w:szCs w:val="26"/>
          <w:rtl/>
          <w:lang w:val="en-US" w:bidi="ar-EG"/>
        </w:rPr>
      </w:pPr>
      <w:r>
        <w:rPr>
          <w:rFonts w:hint="cs"/>
          <w:sz w:val="26"/>
          <w:szCs w:val="26"/>
          <w:rtl/>
          <w:lang w:bidi="ar-EG"/>
        </w:rPr>
        <w:t>17 -</w:t>
      </w:r>
      <w:r>
        <w:rPr>
          <w:sz w:val="26"/>
          <w:szCs w:val="26"/>
          <w:rtl/>
          <w:lang w:bidi="ar-EG"/>
        </w:rPr>
        <w:tab/>
      </w:r>
      <w:r w:rsidR="00312470">
        <w:rPr>
          <w:rFonts w:hint="cs"/>
          <w:sz w:val="26"/>
          <w:szCs w:val="26"/>
          <w:rtl/>
          <w:lang w:bidi="ar-EG"/>
        </w:rPr>
        <w:t xml:space="preserve">سيتم تنفيذ شريحة التمويل الأولي من المرحلة الثانية من خطة إدارة إزالة المواد الهيدروكلوروفلوروكربونية بقيمة </w:t>
      </w:r>
      <w:r w:rsidR="00312470">
        <w:rPr>
          <w:sz w:val="26"/>
          <w:szCs w:val="26"/>
          <w:lang w:val="en-US" w:bidi="ar-EG"/>
        </w:rPr>
        <w:t>184,900</w:t>
      </w:r>
      <w:r w:rsidR="00312470">
        <w:rPr>
          <w:rFonts w:hint="cs"/>
          <w:sz w:val="26"/>
          <w:szCs w:val="26"/>
          <w:rtl/>
          <w:lang w:val="en-US" w:bidi="ar-EG"/>
        </w:rPr>
        <w:t xml:space="preserve"> دولار أمريكي ما بين شهري أيلول/سبتمبر 2021 و كانون الأول/ديسمبر 2024 وستشمل الأنشطة التالية: </w:t>
      </w:r>
    </w:p>
    <w:p w14:paraId="2DE833D7" w14:textId="54E926C1" w:rsidR="00312470" w:rsidRDefault="00312470" w:rsidP="00A8046D">
      <w:pPr>
        <w:pStyle w:val="StyleHeader4Para4Left0Firstline0"/>
        <w:numPr>
          <w:ilvl w:val="0"/>
          <w:numId w:val="0"/>
        </w:numPr>
        <w:tabs>
          <w:tab w:val="clear" w:pos="2880"/>
          <w:tab w:val="clear" w:pos="5760"/>
          <w:tab w:val="left" w:pos="720"/>
        </w:tabs>
        <w:bidi/>
        <w:ind w:left="1324" w:hanging="1324"/>
        <w:rPr>
          <w:sz w:val="26"/>
          <w:szCs w:val="26"/>
          <w:rtl/>
          <w:lang w:val="en-US" w:bidi="ar-EG"/>
        </w:rPr>
      </w:pPr>
      <w:r>
        <w:rPr>
          <w:sz w:val="26"/>
          <w:szCs w:val="26"/>
          <w:rtl/>
          <w:lang w:bidi="ar-EG"/>
        </w:rPr>
        <w:tab/>
      </w:r>
      <w:r>
        <w:rPr>
          <w:rFonts w:hint="cs"/>
          <w:sz w:val="26"/>
          <w:szCs w:val="26"/>
          <w:rtl/>
          <w:lang w:bidi="ar-EG"/>
        </w:rPr>
        <w:t>(أ)</w:t>
      </w:r>
      <w:r w:rsidRPr="00E866CD">
        <w:rPr>
          <w:sz w:val="26"/>
          <w:szCs w:val="26"/>
          <w:rtl/>
          <w:lang w:bidi="ar-EG"/>
        </w:rPr>
        <w:tab/>
      </w:r>
      <w:r>
        <w:rPr>
          <w:rFonts w:hint="cs"/>
          <w:sz w:val="26"/>
          <w:szCs w:val="26"/>
          <w:rtl/>
          <w:lang w:bidi="ar-EG"/>
        </w:rPr>
        <w:t>إنفاذ لوائح المواد ال</w:t>
      </w:r>
      <w:r w:rsidR="003645C3">
        <w:rPr>
          <w:rFonts w:hint="cs"/>
          <w:sz w:val="26"/>
          <w:szCs w:val="26"/>
          <w:rtl/>
          <w:lang w:bidi="ar-EG"/>
        </w:rPr>
        <w:t>مستنفدة</w:t>
      </w:r>
      <w:r>
        <w:rPr>
          <w:rFonts w:hint="cs"/>
          <w:sz w:val="26"/>
          <w:szCs w:val="26"/>
          <w:rtl/>
          <w:lang w:bidi="ar-EG"/>
        </w:rPr>
        <w:t xml:space="preserve"> للأوزون: تدريب </w:t>
      </w:r>
      <w:r w:rsidR="00A8046D">
        <w:rPr>
          <w:rFonts w:hint="cs"/>
          <w:sz w:val="26"/>
          <w:szCs w:val="26"/>
          <w:rtl/>
          <w:lang w:bidi="ar-EG"/>
        </w:rPr>
        <w:t>80 موظف جمارك وشراء جهاز لتحديد المواد ال</w:t>
      </w:r>
      <w:r w:rsidR="003645C3">
        <w:rPr>
          <w:rFonts w:hint="cs"/>
          <w:sz w:val="26"/>
          <w:szCs w:val="26"/>
          <w:rtl/>
          <w:lang w:bidi="ar-EG"/>
        </w:rPr>
        <w:t>مستنفدة</w:t>
      </w:r>
      <w:r w:rsidR="00A8046D">
        <w:rPr>
          <w:rFonts w:hint="cs"/>
          <w:sz w:val="26"/>
          <w:szCs w:val="26"/>
          <w:rtl/>
          <w:lang w:bidi="ar-EG"/>
        </w:rPr>
        <w:t xml:space="preserve"> للأوزون وتنفيذ أنشطة مساعدة فنية لتدريب المدربين على اكتشاف التجارة غير المشروعة في المواد ال</w:t>
      </w:r>
      <w:r w:rsidR="003645C3">
        <w:rPr>
          <w:rFonts w:hint="cs"/>
          <w:sz w:val="26"/>
          <w:szCs w:val="26"/>
          <w:rtl/>
          <w:lang w:bidi="ar-EG"/>
        </w:rPr>
        <w:t>مستنفدة</w:t>
      </w:r>
      <w:r w:rsidR="00A8046D">
        <w:rPr>
          <w:rFonts w:hint="cs"/>
          <w:sz w:val="26"/>
          <w:szCs w:val="26"/>
          <w:rtl/>
          <w:lang w:bidi="ar-EG"/>
        </w:rPr>
        <w:t xml:space="preserve"> للأوزون (</w:t>
      </w:r>
      <w:r w:rsidR="00A8046D">
        <w:rPr>
          <w:sz w:val="26"/>
          <w:szCs w:val="26"/>
          <w:lang w:val="en-US" w:bidi="ar-EG"/>
        </w:rPr>
        <w:t>22,900</w:t>
      </w:r>
      <w:r w:rsidR="00A8046D">
        <w:rPr>
          <w:rFonts w:hint="cs"/>
          <w:sz w:val="26"/>
          <w:szCs w:val="26"/>
          <w:rtl/>
          <w:lang w:val="en-US" w:bidi="ar-EG"/>
        </w:rPr>
        <w:t xml:space="preserve"> دولار أمريكي)؛</w:t>
      </w:r>
    </w:p>
    <w:p w14:paraId="6968FDB5" w14:textId="48B50979" w:rsidR="00A8046D" w:rsidRDefault="00A8046D" w:rsidP="00A8046D">
      <w:pPr>
        <w:pStyle w:val="StyleHeader4Para4Left0Firstline0"/>
        <w:numPr>
          <w:ilvl w:val="0"/>
          <w:numId w:val="0"/>
        </w:numPr>
        <w:tabs>
          <w:tab w:val="clear" w:pos="2880"/>
          <w:tab w:val="clear" w:pos="5760"/>
          <w:tab w:val="left" w:pos="720"/>
        </w:tabs>
        <w:bidi/>
        <w:ind w:left="1324" w:hanging="1324"/>
        <w:rPr>
          <w:sz w:val="26"/>
          <w:szCs w:val="26"/>
          <w:rtl/>
          <w:lang w:val="en-US" w:bidi="ar-EG"/>
        </w:rPr>
      </w:pPr>
      <w:r>
        <w:rPr>
          <w:sz w:val="26"/>
          <w:szCs w:val="26"/>
          <w:rtl/>
          <w:lang w:val="en-US" w:bidi="ar-EG"/>
        </w:rPr>
        <w:tab/>
      </w:r>
      <w:r>
        <w:rPr>
          <w:rFonts w:hint="cs"/>
          <w:sz w:val="26"/>
          <w:szCs w:val="26"/>
          <w:rtl/>
          <w:lang w:val="en-US" w:bidi="ar-EG"/>
        </w:rPr>
        <w:t>(ب)</w:t>
      </w:r>
      <w:r>
        <w:rPr>
          <w:sz w:val="26"/>
          <w:szCs w:val="26"/>
          <w:rtl/>
          <w:lang w:val="en-US" w:bidi="ar-EG"/>
        </w:rPr>
        <w:tab/>
      </w:r>
      <w:r>
        <w:rPr>
          <w:rFonts w:hint="cs"/>
          <w:sz w:val="26"/>
          <w:szCs w:val="26"/>
          <w:rtl/>
          <w:lang w:val="en-US" w:bidi="ar-EG"/>
        </w:rPr>
        <w:t>مساعدة صناعة خدمة التبريد وتكييف الهواء: تدريب اثنين من المدربين في جنوب أفريقيا على ممارسات التبريد الجيدة والمعالجة الآمنة لغازات التبريد حتى يتم اعتماده</w:t>
      </w:r>
      <w:r w:rsidR="007817AE">
        <w:rPr>
          <w:rFonts w:hint="cs"/>
          <w:sz w:val="26"/>
          <w:szCs w:val="26"/>
          <w:rtl/>
          <w:lang w:val="en-US" w:bidi="ar-EG"/>
        </w:rPr>
        <w:t>م</w:t>
      </w:r>
      <w:r>
        <w:rPr>
          <w:rFonts w:hint="cs"/>
          <w:sz w:val="26"/>
          <w:szCs w:val="26"/>
          <w:rtl/>
          <w:lang w:val="en-US" w:bidi="ar-EG"/>
        </w:rPr>
        <w:t>ا؛ وتدريب فني لعدد 150 فنيا؛ وشراء معدات تدريب لأربع مؤسسات تدريبية؛ واعتماد معايير خاصة بتشغيل معدات التبريد وتكييف الهواء القائمة على غازات تبريد قابلة للاشتعال؛ وتحديث البرنامج الدراسي لتدريب التبريد وتكييف الهواء لتوحيد التعليم وفقا لنظام الاعتماد؛ والقيام بحملات إعلامية لتشجيع الفنيين على التسجيل لدى جمعية ليسوتو للتبريد وتكييف الهواء</w:t>
      </w:r>
      <w:r w:rsidR="007817AE">
        <w:rPr>
          <w:rFonts w:hint="cs"/>
          <w:sz w:val="26"/>
          <w:szCs w:val="26"/>
          <w:rtl/>
          <w:lang w:val="en-US" w:bidi="ar-EG"/>
        </w:rPr>
        <w:t>؛</w:t>
      </w:r>
      <w:r>
        <w:rPr>
          <w:rFonts w:hint="cs"/>
          <w:sz w:val="26"/>
          <w:szCs w:val="26"/>
          <w:rtl/>
          <w:lang w:val="en-US" w:bidi="ar-EG"/>
        </w:rPr>
        <w:t xml:space="preserve"> وإقامة نظام إلزامي لاعتماد فنيي التبريد وتكييف الهواء بحلول 31 كانون الأول/ديسمبر 2023؛ وتحديد آلية لاعتماد الفنيين غير المهرة على أساس معارفهم وخبرتهم من أجل الحصول على رخصة العمل وتمكين الاعتماد الأولي لعدد 40 فني تبريد وتكييف </w:t>
      </w:r>
      <w:r>
        <w:rPr>
          <w:rFonts w:hint="cs"/>
          <w:sz w:val="26"/>
          <w:szCs w:val="26"/>
          <w:rtl/>
          <w:lang w:val="en-US" w:bidi="ar-EG"/>
        </w:rPr>
        <w:lastRenderedPageBreak/>
        <w:t xml:space="preserve">هواء وتعيين خبراء </w:t>
      </w:r>
      <w:r w:rsidR="007817AE">
        <w:rPr>
          <w:rFonts w:hint="cs"/>
          <w:sz w:val="26"/>
          <w:szCs w:val="26"/>
          <w:rtl/>
          <w:lang w:val="en-US" w:bidi="ar-EG"/>
        </w:rPr>
        <w:t>ف</w:t>
      </w:r>
      <w:r>
        <w:rPr>
          <w:rFonts w:hint="cs"/>
          <w:sz w:val="26"/>
          <w:szCs w:val="26"/>
          <w:rtl/>
          <w:lang w:val="en-US" w:bidi="ar-EG"/>
        </w:rPr>
        <w:t>نيين لمساندة وضع نظام الاعتماد وتحديث برامج التدريب في التبريد وتكييف الهواء (</w:t>
      </w:r>
      <w:r>
        <w:rPr>
          <w:sz w:val="26"/>
          <w:szCs w:val="26"/>
          <w:lang w:val="en-US" w:bidi="ar-EG"/>
        </w:rPr>
        <w:t>117,000</w:t>
      </w:r>
      <w:r>
        <w:rPr>
          <w:rFonts w:hint="cs"/>
          <w:sz w:val="26"/>
          <w:szCs w:val="26"/>
          <w:rtl/>
          <w:lang w:val="en-US" w:bidi="ar-EG"/>
        </w:rPr>
        <w:t xml:space="preserve"> دولار أمريكي)؛</w:t>
      </w:r>
    </w:p>
    <w:p w14:paraId="2B6D6F97" w14:textId="1EB5C28C" w:rsidR="00A8046D" w:rsidRDefault="00A8046D" w:rsidP="00A8046D">
      <w:pPr>
        <w:pStyle w:val="StyleHeader4Para4Left0Firstline0"/>
        <w:numPr>
          <w:ilvl w:val="0"/>
          <w:numId w:val="0"/>
        </w:numPr>
        <w:tabs>
          <w:tab w:val="clear" w:pos="2880"/>
          <w:tab w:val="clear" w:pos="5760"/>
          <w:tab w:val="left" w:pos="720"/>
        </w:tabs>
        <w:bidi/>
        <w:ind w:left="1324" w:hanging="1324"/>
        <w:rPr>
          <w:sz w:val="26"/>
          <w:szCs w:val="26"/>
          <w:rtl/>
          <w:lang w:val="en-US" w:bidi="ar-EG"/>
        </w:rPr>
      </w:pPr>
      <w:r>
        <w:rPr>
          <w:sz w:val="26"/>
          <w:szCs w:val="26"/>
          <w:rtl/>
          <w:lang w:val="en-US" w:bidi="ar-EG"/>
        </w:rPr>
        <w:tab/>
      </w:r>
      <w:r>
        <w:rPr>
          <w:rFonts w:hint="cs"/>
          <w:sz w:val="26"/>
          <w:szCs w:val="26"/>
          <w:rtl/>
          <w:lang w:val="en-US" w:bidi="ar-EG"/>
        </w:rPr>
        <w:t>(ج)</w:t>
      </w:r>
      <w:r>
        <w:rPr>
          <w:sz w:val="26"/>
          <w:szCs w:val="26"/>
          <w:rtl/>
          <w:lang w:val="en-US" w:bidi="ar-EG"/>
        </w:rPr>
        <w:tab/>
      </w:r>
      <w:r>
        <w:rPr>
          <w:rFonts w:hint="cs"/>
          <w:sz w:val="26"/>
          <w:szCs w:val="26"/>
          <w:rtl/>
          <w:lang w:val="en-US" w:bidi="ar-EG"/>
        </w:rPr>
        <w:t>نظام الاسترداد وإعادة التدوير: تعيين خبير لتوفير المساندة الفنية لإعداد نظام الاسترداد وإعادة التدوير؛ وإنفاذ التسجيل الإلزامي ومسك الدفاتر بشكل سليم لواردات معدات الاسترداد وإعادة التدوير، والإعلان عن غازات التبريد التي تم استردادها؛ وتنظيم ورشة عمل لعدد 30 مشاركا لمناقشة تنفيذ إجراءات نظام الاسترداد وإعادة التدوير وتسليم خمس وحدات استرداد و 10 أسطوانات استرداد ووحدة معدات إعادة تدوير (</w:t>
      </w:r>
      <w:r>
        <w:rPr>
          <w:sz w:val="26"/>
          <w:szCs w:val="26"/>
          <w:lang w:val="en-US" w:bidi="ar-EG"/>
        </w:rPr>
        <w:t>26,000</w:t>
      </w:r>
      <w:r>
        <w:rPr>
          <w:rFonts w:hint="cs"/>
          <w:sz w:val="26"/>
          <w:szCs w:val="26"/>
          <w:rtl/>
          <w:lang w:val="en-US" w:bidi="ar-EG"/>
        </w:rPr>
        <w:t xml:space="preserve"> دولار أمريكي)؛</w:t>
      </w:r>
    </w:p>
    <w:p w14:paraId="3DF5300E" w14:textId="64393003" w:rsidR="00A8046D" w:rsidRDefault="00A8046D" w:rsidP="00A8046D">
      <w:pPr>
        <w:pStyle w:val="StyleHeader4Para4Left0Firstline0"/>
        <w:numPr>
          <w:ilvl w:val="0"/>
          <w:numId w:val="0"/>
        </w:numPr>
        <w:tabs>
          <w:tab w:val="clear" w:pos="2880"/>
          <w:tab w:val="clear" w:pos="5760"/>
          <w:tab w:val="left" w:pos="720"/>
        </w:tabs>
        <w:bidi/>
        <w:ind w:left="1324" w:hanging="1324"/>
        <w:rPr>
          <w:sz w:val="26"/>
          <w:szCs w:val="26"/>
          <w:rtl/>
          <w:lang w:val="en-US" w:bidi="ar-EG"/>
        </w:rPr>
      </w:pPr>
      <w:r>
        <w:rPr>
          <w:sz w:val="26"/>
          <w:szCs w:val="26"/>
          <w:rtl/>
          <w:lang w:val="en-US" w:bidi="ar-EG"/>
        </w:rPr>
        <w:tab/>
      </w:r>
      <w:r>
        <w:rPr>
          <w:rFonts w:hint="cs"/>
          <w:sz w:val="26"/>
          <w:szCs w:val="26"/>
          <w:rtl/>
          <w:lang w:val="en-US" w:bidi="ar-EG"/>
        </w:rPr>
        <w:t>(د)</w:t>
      </w:r>
      <w:r>
        <w:rPr>
          <w:sz w:val="26"/>
          <w:szCs w:val="26"/>
          <w:rtl/>
          <w:lang w:val="en-US" w:bidi="ar-EG"/>
        </w:rPr>
        <w:tab/>
      </w:r>
      <w:r>
        <w:rPr>
          <w:rFonts w:hint="cs"/>
          <w:sz w:val="26"/>
          <w:szCs w:val="26"/>
          <w:rtl/>
          <w:lang w:val="en-US" w:bidi="ar-EG"/>
        </w:rPr>
        <w:t>توعية جماهيرية وتواصل بشأن إزالة المواد الهيدروكلوروفلوروكربونية ومتطلبات الترخيص والتكنولوجيات والمعدات الجديدة الصديقة للبيئة والمناخ المتاحة في السوق، وذلك من خلال الإعلان في وسائل الإعلام المح</w:t>
      </w:r>
      <w:r w:rsidR="007817AE">
        <w:rPr>
          <w:rFonts w:hint="cs"/>
          <w:sz w:val="26"/>
          <w:szCs w:val="26"/>
          <w:rtl/>
          <w:lang w:val="en-US" w:bidi="ar-EG"/>
        </w:rPr>
        <w:t>ل</w:t>
      </w:r>
      <w:r>
        <w:rPr>
          <w:rFonts w:hint="cs"/>
          <w:sz w:val="26"/>
          <w:szCs w:val="26"/>
          <w:rtl/>
          <w:lang w:val="en-US" w:bidi="ar-EG"/>
        </w:rPr>
        <w:t>ية وندوات توعية للأطراف الرئيسية (</w:t>
      </w:r>
      <w:r>
        <w:rPr>
          <w:sz w:val="26"/>
          <w:szCs w:val="26"/>
          <w:lang w:val="en-US" w:bidi="ar-EG"/>
        </w:rPr>
        <w:t>4,000</w:t>
      </w:r>
      <w:r>
        <w:rPr>
          <w:rFonts w:hint="cs"/>
          <w:sz w:val="26"/>
          <w:szCs w:val="26"/>
          <w:rtl/>
          <w:lang w:val="en-US" w:bidi="ar-EG"/>
        </w:rPr>
        <w:t xml:space="preserve"> دولار أمريكي)؛ و</w:t>
      </w:r>
    </w:p>
    <w:p w14:paraId="13ABD504" w14:textId="2D3A3045" w:rsidR="00A8046D" w:rsidRDefault="00A8046D" w:rsidP="00D11021">
      <w:pPr>
        <w:pStyle w:val="StyleHeader4Para4Left0Firstline0"/>
        <w:numPr>
          <w:ilvl w:val="0"/>
          <w:numId w:val="0"/>
        </w:numPr>
        <w:tabs>
          <w:tab w:val="clear" w:pos="2880"/>
          <w:tab w:val="clear" w:pos="5760"/>
          <w:tab w:val="left" w:pos="720"/>
        </w:tabs>
        <w:bidi/>
        <w:spacing w:after="0"/>
        <w:ind w:left="1325" w:hanging="1325"/>
        <w:rPr>
          <w:sz w:val="26"/>
          <w:szCs w:val="26"/>
          <w:lang w:val="en-US" w:bidi="ar-EG"/>
        </w:rPr>
      </w:pPr>
      <w:r>
        <w:rPr>
          <w:sz w:val="26"/>
          <w:szCs w:val="26"/>
          <w:rtl/>
          <w:lang w:val="en-US" w:bidi="ar-EG"/>
        </w:rPr>
        <w:tab/>
      </w:r>
      <w:r>
        <w:rPr>
          <w:rFonts w:hint="cs"/>
          <w:sz w:val="26"/>
          <w:szCs w:val="26"/>
          <w:rtl/>
          <w:lang w:val="en-US" w:bidi="ar-EG"/>
        </w:rPr>
        <w:t>(هـ)</w:t>
      </w:r>
      <w:r>
        <w:rPr>
          <w:sz w:val="26"/>
          <w:szCs w:val="26"/>
          <w:rtl/>
          <w:lang w:val="en-US" w:bidi="ar-EG"/>
        </w:rPr>
        <w:tab/>
      </w:r>
      <w:r>
        <w:rPr>
          <w:rFonts w:hint="cs"/>
          <w:sz w:val="26"/>
          <w:szCs w:val="26"/>
          <w:rtl/>
          <w:lang w:val="en-US" w:bidi="ar-EG"/>
        </w:rPr>
        <w:t>رصد المشروع والمساندة (</w:t>
      </w:r>
      <w:r>
        <w:rPr>
          <w:sz w:val="26"/>
          <w:szCs w:val="26"/>
          <w:lang w:val="en-US" w:bidi="ar-EG"/>
        </w:rPr>
        <w:t>10,000</w:t>
      </w:r>
      <w:r>
        <w:rPr>
          <w:rFonts w:hint="cs"/>
          <w:sz w:val="26"/>
          <w:szCs w:val="26"/>
          <w:rtl/>
          <w:lang w:val="en-US" w:bidi="ar-EG"/>
        </w:rPr>
        <w:t xml:space="preserve"> دولار أمريكي لأنشطة الرصد وجهود التنسيق وإمكانية تعيين أفراد للمساندة؛ و </w:t>
      </w:r>
      <w:r>
        <w:rPr>
          <w:sz w:val="26"/>
          <w:szCs w:val="26"/>
          <w:lang w:val="en-US" w:bidi="ar-EG"/>
        </w:rPr>
        <w:t>5,000</w:t>
      </w:r>
      <w:r>
        <w:rPr>
          <w:rFonts w:hint="cs"/>
          <w:sz w:val="26"/>
          <w:szCs w:val="26"/>
          <w:rtl/>
          <w:lang w:val="en-US" w:bidi="ar-EG"/>
        </w:rPr>
        <w:t xml:space="preserve"> دولار أمريكي للسفر).</w:t>
      </w:r>
    </w:p>
    <w:p w14:paraId="2C5AA195" w14:textId="77777777" w:rsidR="00D11021" w:rsidRPr="00A8046D" w:rsidRDefault="00D11021" w:rsidP="00D11021">
      <w:pPr>
        <w:pStyle w:val="StyleHeader4Para4Left0Firstline0"/>
        <w:numPr>
          <w:ilvl w:val="0"/>
          <w:numId w:val="0"/>
        </w:numPr>
        <w:tabs>
          <w:tab w:val="clear" w:pos="2880"/>
          <w:tab w:val="clear" w:pos="5760"/>
          <w:tab w:val="left" w:pos="720"/>
        </w:tabs>
        <w:bidi/>
        <w:spacing w:after="0"/>
        <w:ind w:left="1325" w:hanging="1325"/>
        <w:rPr>
          <w:sz w:val="26"/>
          <w:szCs w:val="26"/>
          <w:rtl/>
          <w:lang w:val="en-US" w:bidi="ar-EG"/>
        </w:rPr>
      </w:pPr>
    </w:p>
    <w:p w14:paraId="5BF20B1B" w14:textId="737873FF" w:rsidR="00BF737D" w:rsidRPr="00BF737D" w:rsidRDefault="00BF737D" w:rsidP="00D11021">
      <w:pPr>
        <w:pStyle w:val="StyleHeader4Para4Left0Firstline0"/>
        <w:numPr>
          <w:ilvl w:val="0"/>
          <w:numId w:val="0"/>
        </w:numPr>
        <w:tabs>
          <w:tab w:val="clear" w:pos="2880"/>
          <w:tab w:val="clear" w:pos="5760"/>
          <w:tab w:val="left" w:pos="720"/>
        </w:tabs>
        <w:bidi/>
        <w:spacing w:after="0"/>
        <w:ind w:left="1325" w:hanging="1325"/>
        <w:jc w:val="center"/>
        <w:rPr>
          <w:b/>
          <w:bCs/>
          <w:sz w:val="26"/>
          <w:szCs w:val="26"/>
          <w:rtl/>
          <w:lang w:val="en-US" w:bidi="ar-EG"/>
        </w:rPr>
      </w:pPr>
      <w:r w:rsidRPr="00BF737D">
        <w:rPr>
          <w:rFonts w:hint="cs"/>
          <w:b/>
          <w:bCs/>
          <w:sz w:val="26"/>
          <w:szCs w:val="26"/>
          <w:rtl/>
          <w:lang w:val="en-US" w:bidi="ar-EG"/>
        </w:rPr>
        <w:t>تعليقات الأمانة وتوصيتها</w:t>
      </w:r>
    </w:p>
    <w:p w14:paraId="498066BC" w14:textId="31A8D2F0" w:rsidR="00BF737D" w:rsidRPr="00BF737D" w:rsidRDefault="00BF737D" w:rsidP="00BF737D">
      <w:pPr>
        <w:pStyle w:val="StyleHeader4Para4Left0Firstline0"/>
        <w:numPr>
          <w:ilvl w:val="0"/>
          <w:numId w:val="0"/>
        </w:numPr>
        <w:tabs>
          <w:tab w:val="clear" w:pos="2880"/>
          <w:tab w:val="clear" w:pos="5760"/>
          <w:tab w:val="left" w:pos="720"/>
        </w:tabs>
        <w:bidi/>
        <w:ind w:left="1324" w:hanging="1324"/>
        <w:rPr>
          <w:b/>
          <w:bCs/>
          <w:sz w:val="26"/>
          <w:szCs w:val="26"/>
          <w:rtl/>
          <w:lang w:val="en-US" w:bidi="ar-EG"/>
        </w:rPr>
      </w:pPr>
      <w:r w:rsidRPr="00BF737D">
        <w:rPr>
          <w:rFonts w:hint="cs"/>
          <w:b/>
          <w:bCs/>
          <w:sz w:val="26"/>
          <w:szCs w:val="26"/>
          <w:rtl/>
          <w:lang w:val="en-US" w:bidi="ar-EG"/>
        </w:rPr>
        <w:t>التعليقات</w:t>
      </w:r>
    </w:p>
    <w:p w14:paraId="34B10214" w14:textId="00F3C0C1" w:rsidR="00BF737D" w:rsidRDefault="00A8046D" w:rsidP="00BF737D">
      <w:pPr>
        <w:pStyle w:val="StyleHeader4Para4Left0Firstline0"/>
        <w:numPr>
          <w:ilvl w:val="0"/>
          <w:numId w:val="0"/>
        </w:numPr>
        <w:tabs>
          <w:tab w:val="clear" w:pos="2880"/>
          <w:tab w:val="clear" w:pos="5760"/>
          <w:tab w:val="left" w:pos="720"/>
        </w:tabs>
        <w:bidi/>
        <w:rPr>
          <w:sz w:val="26"/>
          <w:szCs w:val="26"/>
          <w:rtl/>
          <w:lang w:val="en-US" w:bidi="ar-EG"/>
        </w:rPr>
      </w:pPr>
      <w:r>
        <w:rPr>
          <w:rFonts w:hint="cs"/>
          <w:sz w:val="26"/>
          <w:szCs w:val="26"/>
          <w:rtl/>
          <w:lang w:val="en-US" w:bidi="ar-EG"/>
        </w:rPr>
        <w:t>18</w:t>
      </w:r>
      <w:r w:rsidR="00BF737D">
        <w:rPr>
          <w:rFonts w:hint="cs"/>
          <w:sz w:val="26"/>
          <w:szCs w:val="26"/>
          <w:rtl/>
          <w:lang w:val="en-US" w:bidi="ar-EG"/>
        </w:rPr>
        <w:t xml:space="preserve"> -</w:t>
      </w:r>
      <w:r w:rsidR="00BF737D">
        <w:rPr>
          <w:sz w:val="26"/>
          <w:szCs w:val="26"/>
          <w:rtl/>
          <w:lang w:val="en-US" w:bidi="ar-EG"/>
        </w:rPr>
        <w:tab/>
      </w:r>
      <w:r>
        <w:rPr>
          <w:rFonts w:hint="cs"/>
          <w:sz w:val="26"/>
          <w:szCs w:val="26"/>
          <w:rtl/>
          <w:lang w:val="en-US" w:bidi="ar-EG"/>
        </w:rPr>
        <w:t>استعرضت الأمانة المرحلة الثانية من خطة إدارة إزالة المواد الهيدروكلوروفلوروكربونية على ضوء المرحلة الأولى، والسياسات والخطوط التوجيهية للصندوق متعدد الأطراف بما في ذلك معايير ت</w:t>
      </w:r>
      <w:r w:rsidR="002E3C27">
        <w:rPr>
          <w:rFonts w:hint="cs"/>
          <w:sz w:val="26"/>
          <w:szCs w:val="26"/>
          <w:rtl/>
          <w:lang w:val="en-US" w:bidi="ar-EG"/>
        </w:rPr>
        <w:t xml:space="preserve">مويل إزالة المواد الهيدروكلوروفلوروكربونية في قطاع الاستهلاك للمرحلة الثانية من الخطة (المقرر </w:t>
      </w:r>
      <w:r w:rsidR="002E3C27">
        <w:rPr>
          <w:sz w:val="26"/>
          <w:szCs w:val="26"/>
          <w:lang w:val="en-US" w:bidi="ar-EG"/>
        </w:rPr>
        <w:t>50/74</w:t>
      </w:r>
      <w:r w:rsidR="002E3C27">
        <w:rPr>
          <w:rFonts w:hint="cs"/>
          <w:sz w:val="26"/>
          <w:szCs w:val="26"/>
          <w:rtl/>
          <w:lang w:val="en-US" w:bidi="ar-EG"/>
        </w:rPr>
        <w:t xml:space="preserve">) وخطة أعمال الفترة 2021-2023 للصندوق متعدد الأطراف. </w:t>
      </w:r>
    </w:p>
    <w:p w14:paraId="102B8D16" w14:textId="1448859C" w:rsidR="00E011FB" w:rsidRPr="00E011FB" w:rsidRDefault="002E3C27" w:rsidP="00E011FB">
      <w:pPr>
        <w:pStyle w:val="StyleHeader4Para4Left0Firstline0"/>
        <w:numPr>
          <w:ilvl w:val="0"/>
          <w:numId w:val="0"/>
        </w:numPr>
        <w:tabs>
          <w:tab w:val="clear" w:pos="2880"/>
          <w:tab w:val="clear" w:pos="5760"/>
          <w:tab w:val="left" w:pos="720"/>
        </w:tabs>
        <w:bidi/>
        <w:rPr>
          <w:sz w:val="26"/>
          <w:szCs w:val="26"/>
          <w:u w:val="single"/>
          <w:rtl/>
          <w:lang w:val="en-US" w:bidi="ar-EG"/>
        </w:rPr>
      </w:pPr>
      <w:r>
        <w:rPr>
          <w:rFonts w:hint="cs"/>
          <w:sz w:val="26"/>
          <w:szCs w:val="26"/>
          <w:u w:val="single"/>
          <w:rtl/>
          <w:lang w:val="en-US" w:bidi="ar-EG"/>
        </w:rPr>
        <w:t>الاستراتيجية الشاملة</w:t>
      </w:r>
    </w:p>
    <w:p w14:paraId="57ACEC65" w14:textId="0C38464A" w:rsidR="00E011FB" w:rsidRDefault="002E3C27" w:rsidP="00E011FB">
      <w:pPr>
        <w:pStyle w:val="StyleHeader4Para4Left0Firstline0"/>
        <w:numPr>
          <w:ilvl w:val="0"/>
          <w:numId w:val="0"/>
        </w:numPr>
        <w:tabs>
          <w:tab w:val="clear" w:pos="2880"/>
          <w:tab w:val="clear" w:pos="5760"/>
          <w:tab w:val="left" w:pos="720"/>
        </w:tabs>
        <w:bidi/>
        <w:rPr>
          <w:sz w:val="26"/>
          <w:szCs w:val="26"/>
          <w:rtl/>
          <w:lang w:val="en-US" w:bidi="ar-EG"/>
        </w:rPr>
      </w:pPr>
      <w:r>
        <w:rPr>
          <w:rFonts w:hint="cs"/>
          <w:sz w:val="26"/>
          <w:szCs w:val="26"/>
          <w:rtl/>
          <w:lang w:val="en-US" w:bidi="ar-EG"/>
        </w:rPr>
        <w:t>19</w:t>
      </w:r>
      <w:r w:rsidR="00E011FB">
        <w:rPr>
          <w:rFonts w:hint="cs"/>
          <w:sz w:val="26"/>
          <w:szCs w:val="26"/>
          <w:rtl/>
          <w:lang w:val="en-US" w:bidi="ar-EG"/>
        </w:rPr>
        <w:t xml:space="preserve"> -</w:t>
      </w:r>
      <w:r w:rsidR="00E011FB">
        <w:rPr>
          <w:sz w:val="26"/>
          <w:szCs w:val="26"/>
          <w:rtl/>
          <w:lang w:val="en-US" w:bidi="ar-EG"/>
        </w:rPr>
        <w:tab/>
      </w:r>
      <w:r>
        <w:rPr>
          <w:rFonts w:hint="cs"/>
          <w:sz w:val="26"/>
          <w:szCs w:val="26"/>
          <w:rtl/>
          <w:lang w:val="en-US" w:bidi="ar-EG"/>
        </w:rPr>
        <w:t>تقترح حكومة ليسوتو تحقيق نسبة خفض 100 في المائة من استهلاك خط أساس المواد الهيدروكلوروفلوروكربونية بحلول عام 2030 والحفاظ على أقصى استهلاك سنوي لهذه المواد من عام 2030 والحفاظ على أقصى استهلاك سنوي لهذه المواد من عام 2030 إلى عام 2040 متسقا والمادة 5، الفقرة 8 ثالثا (هـ) (ط) من بروتوكول مونتريال</w:t>
      </w:r>
      <w:r w:rsidRPr="00010740">
        <w:rPr>
          <w:rStyle w:val="FootnoteReference"/>
          <w:sz w:val="26"/>
          <w:szCs w:val="26"/>
          <w:rtl/>
        </w:rPr>
        <w:footnoteReference w:id="10"/>
      </w:r>
      <w:r>
        <w:rPr>
          <w:rFonts w:hint="cs"/>
          <w:sz w:val="26"/>
          <w:szCs w:val="26"/>
          <w:rtl/>
          <w:lang w:val="en-US" w:bidi="ar-EG"/>
        </w:rPr>
        <w:t>.</w:t>
      </w:r>
      <w:r w:rsidR="00E937A1">
        <w:rPr>
          <w:rFonts w:hint="cs"/>
          <w:sz w:val="26"/>
          <w:szCs w:val="26"/>
          <w:rtl/>
          <w:lang w:val="en-US" w:bidi="ar-EG"/>
        </w:rPr>
        <w:t xml:space="preserve"> كما تلتزم الحكومة أيضا بالاستمرار في وضع معايير صارمة في إطار نظام الترخيص لرقابة مستويات الواردات واستخدام المواد الهيدروكلوروفلوروكربونية خلال تلك الفترة لضمان أنها محدودة في الشروط التي حددها بروتوكول مونتريال.</w:t>
      </w:r>
    </w:p>
    <w:p w14:paraId="63626AD9" w14:textId="2236618A" w:rsidR="0094473F" w:rsidRDefault="00E937A1" w:rsidP="0094473F">
      <w:pPr>
        <w:pStyle w:val="StyleHeader4Para4Left0Firstline0"/>
        <w:numPr>
          <w:ilvl w:val="0"/>
          <w:numId w:val="0"/>
        </w:numPr>
        <w:tabs>
          <w:tab w:val="clear" w:pos="2880"/>
          <w:tab w:val="clear" w:pos="5760"/>
          <w:tab w:val="left" w:pos="720"/>
        </w:tabs>
        <w:bidi/>
        <w:rPr>
          <w:sz w:val="26"/>
          <w:szCs w:val="26"/>
          <w:rtl/>
          <w:lang w:val="en-US" w:bidi="ar-EG"/>
        </w:rPr>
      </w:pPr>
      <w:r>
        <w:rPr>
          <w:rFonts w:hint="cs"/>
          <w:sz w:val="26"/>
          <w:szCs w:val="26"/>
          <w:rtl/>
          <w:lang w:val="en-US" w:bidi="ar-EG"/>
        </w:rPr>
        <w:t>20</w:t>
      </w:r>
      <w:r w:rsidR="0094473F">
        <w:rPr>
          <w:rFonts w:hint="cs"/>
          <w:sz w:val="26"/>
          <w:szCs w:val="26"/>
          <w:rtl/>
          <w:lang w:val="en-US" w:bidi="ar-EG"/>
        </w:rPr>
        <w:t xml:space="preserve"> -</w:t>
      </w:r>
      <w:r w:rsidR="0094473F">
        <w:rPr>
          <w:sz w:val="26"/>
          <w:szCs w:val="26"/>
          <w:rtl/>
          <w:lang w:val="en-US" w:bidi="ar-EG"/>
        </w:rPr>
        <w:tab/>
      </w:r>
      <w:r>
        <w:rPr>
          <w:rFonts w:hint="cs"/>
          <w:sz w:val="26"/>
          <w:szCs w:val="26"/>
          <w:rtl/>
          <w:lang w:val="en-US" w:bidi="ar-EG"/>
        </w:rPr>
        <w:t xml:space="preserve">وفقا للمقرر </w:t>
      </w:r>
      <w:r>
        <w:rPr>
          <w:sz w:val="26"/>
          <w:szCs w:val="26"/>
          <w:lang w:val="en-US" w:bidi="ar-EG"/>
        </w:rPr>
        <w:t>51/86</w:t>
      </w:r>
      <w:r>
        <w:rPr>
          <w:rFonts w:hint="cs"/>
          <w:sz w:val="26"/>
          <w:szCs w:val="26"/>
          <w:rtl/>
          <w:lang w:val="en-US" w:bidi="ar-EG"/>
        </w:rPr>
        <w:t xml:space="preserve"> بشأن هذا الموضوع للسماح بدراسة الشريحة الأخيرة من المرحلة الثانية من خطة إدارة إزالة المواد الهيدروكلوروفلوروكربونية، وافقت حكومة ليسوتو على تقديم وصف تفصيلي للإطار التنظيمي والخاص بالسياسة الموجود لتنفيذ تدابير تهدف لضمان أن استهلاك هذه المواد سيكون ممتثلا بالفقرة 8 ثالثا (هـ) (ط) من المادة 5 من بروتوكول مونتريال للفترة 2030-2040، واستهلاك المواد الهيدروكلوروفلوروكربونية المتوقع في ليسوتو </w:t>
      </w:r>
      <w:r w:rsidR="007817AE">
        <w:rPr>
          <w:rFonts w:hint="cs"/>
          <w:sz w:val="26"/>
          <w:szCs w:val="26"/>
          <w:rtl/>
          <w:lang w:val="en-US" w:bidi="ar-EG"/>
        </w:rPr>
        <w:t>ل</w:t>
      </w:r>
      <w:r>
        <w:rPr>
          <w:rFonts w:hint="cs"/>
          <w:sz w:val="26"/>
          <w:szCs w:val="26"/>
          <w:rtl/>
          <w:lang w:val="en-US" w:bidi="ar-EG"/>
        </w:rPr>
        <w:t>لفترة 2030-2040.</w:t>
      </w:r>
    </w:p>
    <w:p w14:paraId="7E59A782" w14:textId="3F808985" w:rsidR="00E937A1" w:rsidRPr="00E937A1" w:rsidRDefault="00E937A1" w:rsidP="00E937A1">
      <w:pPr>
        <w:pStyle w:val="StyleHeader4Para4Left0Firstline0"/>
        <w:numPr>
          <w:ilvl w:val="0"/>
          <w:numId w:val="0"/>
        </w:numPr>
        <w:tabs>
          <w:tab w:val="clear" w:pos="2880"/>
          <w:tab w:val="clear" w:pos="5760"/>
          <w:tab w:val="left" w:pos="720"/>
        </w:tabs>
        <w:bidi/>
        <w:rPr>
          <w:sz w:val="26"/>
          <w:szCs w:val="26"/>
          <w:u w:val="single"/>
          <w:rtl/>
          <w:lang w:val="en-US" w:bidi="ar-EG"/>
        </w:rPr>
      </w:pPr>
      <w:r w:rsidRPr="00E937A1">
        <w:rPr>
          <w:rFonts w:hint="cs"/>
          <w:sz w:val="26"/>
          <w:szCs w:val="26"/>
          <w:u w:val="single"/>
          <w:rtl/>
          <w:lang w:val="en-US" w:bidi="ar-EG"/>
        </w:rPr>
        <w:lastRenderedPageBreak/>
        <w:t>لوائح لمساندة إزالة المواد الهيدروكلوروفلوروكربونية</w:t>
      </w:r>
    </w:p>
    <w:p w14:paraId="2A417B02" w14:textId="7BFBB2B5" w:rsidR="0094473F" w:rsidRDefault="00E937A1" w:rsidP="0094473F">
      <w:pPr>
        <w:pStyle w:val="StyleHeader4Para4Left0Firstline0"/>
        <w:numPr>
          <w:ilvl w:val="0"/>
          <w:numId w:val="0"/>
        </w:numPr>
        <w:tabs>
          <w:tab w:val="clear" w:pos="2880"/>
          <w:tab w:val="clear" w:pos="5760"/>
          <w:tab w:val="left" w:pos="720"/>
        </w:tabs>
        <w:bidi/>
        <w:rPr>
          <w:sz w:val="26"/>
          <w:szCs w:val="26"/>
          <w:rtl/>
          <w:lang w:val="en-US" w:bidi="ar-EG"/>
        </w:rPr>
      </w:pPr>
      <w:r>
        <w:rPr>
          <w:rFonts w:hint="cs"/>
          <w:sz w:val="26"/>
          <w:szCs w:val="26"/>
          <w:rtl/>
          <w:lang w:val="en-US" w:bidi="ar-EG"/>
        </w:rPr>
        <w:t>21</w:t>
      </w:r>
      <w:r w:rsidR="0094473F">
        <w:rPr>
          <w:rFonts w:hint="cs"/>
          <w:sz w:val="26"/>
          <w:szCs w:val="26"/>
          <w:rtl/>
          <w:lang w:val="en-US" w:bidi="ar-EG"/>
        </w:rPr>
        <w:t xml:space="preserve"> -</w:t>
      </w:r>
      <w:r w:rsidR="0094473F">
        <w:rPr>
          <w:sz w:val="26"/>
          <w:szCs w:val="26"/>
          <w:rtl/>
          <w:lang w:val="en-US" w:bidi="ar-EG"/>
        </w:rPr>
        <w:tab/>
      </w:r>
      <w:r>
        <w:rPr>
          <w:rFonts w:hint="cs"/>
          <w:sz w:val="26"/>
          <w:szCs w:val="26"/>
          <w:rtl/>
          <w:lang w:val="en-US" w:bidi="ar-EG"/>
        </w:rPr>
        <w:t>تصدر الحكومة حاليا عددا أقل من تصاريح الاستيراد للمعدات القائمة على المواد الهيدروكلوروفلوروكربونية للحد من واردات هذه المعدات. وناقشت الأمانة مع حكومة ألمانيا إمكانية أ</w:t>
      </w:r>
      <w:r w:rsidR="007817AE">
        <w:rPr>
          <w:rFonts w:hint="cs"/>
          <w:sz w:val="26"/>
          <w:szCs w:val="26"/>
          <w:rtl/>
          <w:lang w:val="en-US" w:bidi="ar-EG"/>
        </w:rPr>
        <w:t>ن</w:t>
      </w:r>
      <w:r>
        <w:rPr>
          <w:rFonts w:hint="cs"/>
          <w:sz w:val="26"/>
          <w:szCs w:val="26"/>
          <w:rtl/>
          <w:lang w:val="en-US" w:bidi="ar-EG"/>
        </w:rPr>
        <w:t xml:space="preserve"> تحظر حكومة ليسوتو استيراد معدات التبريد وتكييف الهواء. وردا على ذلك أشير إلى أن التصريح بواردات المعدات على أساس كل حالة على حدة كان النهج المختار. واقترحت الأمانة إمكانية أن يتم على الأقل حظر المعدات المستعملة نظرا لأن المعدات القديمة تتطلب خدمة بصورة أكثر تواترا. وقال</w:t>
      </w:r>
      <w:r w:rsidR="007817AE">
        <w:rPr>
          <w:rFonts w:hint="cs"/>
          <w:sz w:val="26"/>
          <w:szCs w:val="26"/>
          <w:rtl/>
          <w:lang w:val="en-US" w:bidi="ar-EG"/>
        </w:rPr>
        <w:t>ت</w:t>
      </w:r>
      <w:r>
        <w:rPr>
          <w:rFonts w:hint="cs"/>
          <w:sz w:val="26"/>
          <w:szCs w:val="26"/>
          <w:rtl/>
          <w:lang w:val="en-US" w:bidi="ar-EG"/>
        </w:rPr>
        <w:t xml:space="preserve"> حك</w:t>
      </w:r>
      <w:r w:rsidR="007817AE">
        <w:rPr>
          <w:rFonts w:hint="cs"/>
          <w:sz w:val="26"/>
          <w:szCs w:val="26"/>
          <w:rtl/>
          <w:lang w:val="en-US" w:bidi="ar-EG"/>
        </w:rPr>
        <w:t>و</w:t>
      </w:r>
      <w:r>
        <w:rPr>
          <w:rFonts w:hint="cs"/>
          <w:sz w:val="26"/>
          <w:szCs w:val="26"/>
          <w:rtl/>
          <w:lang w:val="en-US" w:bidi="ar-EG"/>
        </w:rPr>
        <w:t xml:space="preserve">مة ألمانيا إنها سوف تناقش الأمر مع حكومة ليسوتو. ولم يصل الرد </w:t>
      </w:r>
      <w:r w:rsidR="007817AE">
        <w:rPr>
          <w:rFonts w:hint="cs"/>
          <w:sz w:val="26"/>
          <w:szCs w:val="26"/>
          <w:rtl/>
          <w:lang w:val="en-US" w:bidi="ar-EG"/>
        </w:rPr>
        <w:t xml:space="preserve">بعد </w:t>
      </w:r>
      <w:r>
        <w:rPr>
          <w:rFonts w:hint="cs"/>
          <w:sz w:val="26"/>
          <w:szCs w:val="26"/>
          <w:rtl/>
          <w:lang w:val="en-US" w:bidi="ar-EG"/>
        </w:rPr>
        <w:t>حتى إعداد هذه الوثيقة.</w:t>
      </w:r>
    </w:p>
    <w:p w14:paraId="2078D458" w14:textId="0203C025" w:rsidR="0094473F" w:rsidRPr="0094473F" w:rsidRDefault="00E937A1" w:rsidP="0094473F">
      <w:pPr>
        <w:pStyle w:val="StyleHeader4Para4Left0Firstline0"/>
        <w:numPr>
          <w:ilvl w:val="0"/>
          <w:numId w:val="0"/>
        </w:numPr>
        <w:tabs>
          <w:tab w:val="clear" w:pos="2880"/>
          <w:tab w:val="clear" w:pos="5760"/>
          <w:tab w:val="left" w:pos="720"/>
        </w:tabs>
        <w:bidi/>
        <w:rPr>
          <w:sz w:val="26"/>
          <w:szCs w:val="26"/>
          <w:u w:val="single"/>
          <w:rtl/>
          <w:lang w:val="en-US" w:bidi="ar-EG"/>
        </w:rPr>
      </w:pPr>
      <w:r>
        <w:rPr>
          <w:rFonts w:hint="cs"/>
          <w:sz w:val="26"/>
          <w:szCs w:val="26"/>
          <w:u w:val="single"/>
          <w:rtl/>
          <w:lang w:val="en-US" w:bidi="ar-EG"/>
        </w:rPr>
        <w:t xml:space="preserve">مسائل فنية </w:t>
      </w:r>
      <w:r w:rsidR="007817AE">
        <w:rPr>
          <w:rFonts w:hint="cs"/>
          <w:sz w:val="26"/>
          <w:szCs w:val="26"/>
          <w:u w:val="single"/>
          <w:rtl/>
          <w:lang w:val="en-US" w:bidi="ar-EG"/>
        </w:rPr>
        <w:t>و</w:t>
      </w:r>
      <w:r>
        <w:rPr>
          <w:rFonts w:hint="cs"/>
          <w:sz w:val="26"/>
          <w:szCs w:val="26"/>
          <w:u w:val="single"/>
          <w:rtl/>
          <w:lang w:val="en-US" w:bidi="ar-EG"/>
        </w:rPr>
        <w:t>متصلة بالتكلفة</w:t>
      </w:r>
    </w:p>
    <w:p w14:paraId="3C28DC50" w14:textId="2ED09883" w:rsidR="0094473F" w:rsidRDefault="00E937A1" w:rsidP="0094473F">
      <w:pPr>
        <w:pStyle w:val="StyleHeader4Para4Left0Firstline0"/>
        <w:numPr>
          <w:ilvl w:val="0"/>
          <w:numId w:val="0"/>
        </w:numPr>
        <w:tabs>
          <w:tab w:val="clear" w:pos="2880"/>
          <w:tab w:val="clear" w:pos="5760"/>
          <w:tab w:val="left" w:pos="720"/>
        </w:tabs>
        <w:bidi/>
        <w:rPr>
          <w:sz w:val="26"/>
          <w:szCs w:val="26"/>
          <w:rtl/>
          <w:lang w:val="en-US" w:bidi="ar-EG"/>
        </w:rPr>
      </w:pPr>
      <w:r>
        <w:rPr>
          <w:rFonts w:hint="cs"/>
          <w:sz w:val="26"/>
          <w:szCs w:val="26"/>
          <w:rtl/>
          <w:lang w:val="en-US" w:bidi="ar-EG"/>
        </w:rPr>
        <w:t>22</w:t>
      </w:r>
      <w:r w:rsidR="0094473F">
        <w:rPr>
          <w:rFonts w:hint="cs"/>
          <w:sz w:val="26"/>
          <w:szCs w:val="26"/>
          <w:rtl/>
          <w:lang w:val="en-US" w:bidi="ar-EG"/>
        </w:rPr>
        <w:t xml:space="preserve"> -</w:t>
      </w:r>
      <w:r w:rsidR="0094473F">
        <w:rPr>
          <w:sz w:val="26"/>
          <w:szCs w:val="26"/>
          <w:rtl/>
          <w:lang w:val="en-US" w:bidi="ar-EG"/>
        </w:rPr>
        <w:tab/>
      </w:r>
      <w:r>
        <w:rPr>
          <w:rFonts w:hint="cs"/>
          <w:sz w:val="26"/>
          <w:szCs w:val="26"/>
          <w:rtl/>
          <w:lang w:val="en-US" w:bidi="ar-EG"/>
        </w:rPr>
        <w:t>اقترحت الأمانة أن تساعد حكومة ألمانيا البلد على إعداد نموذج أعمال بشأن نظام استرداد وإعادة تدوير غاز التبريد لإيضاح جدواه الفنية فيما يتعلق بكميات المواد الهيدروكلوروفلوروكربونية التي سيتم استردادها وإعادة استخدامها، وجدواه المالية وإجراءات التشغيل لهذا النظام؛ وأن تقدم طلب نظام الاسترداد وإعادة التدوير في إطار شريحة قادمة، عندما يتم التأكد من جدواه وإمكانية استدامته. وفي حالة ما إذا لم يكن نظام الاسترداد وإعادة التدوير قابلا للاستمرار، يمكن اقتراح أنشطة أخرى للإزالة. تبعا لذلك، قبلت الحكومة هذا النهج؛ ونقلت ميزانية معدات الاسترداد وإعادة التدوير (</w:t>
      </w:r>
      <w:r>
        <w:rPr>
          <w:sz w:val="26"/>
          <w:szCs w:val="26"/>
          <w:lang w:val="en-US" w:bidi="ar-EG"/>
        </w:rPr>
        <w:t>16,000</w:t>
      </w:r>
      <w:r>
        <w:rPr>
          <w:rFonts w:hint="cs"/>
          <w:sz w:val="26"/>
          <w:szCs w:val="26"/>
          <w:rtl/>
          <w:lang w:val="en-US" w:bidi="ar-EG"/>
        </w:rPr>
        <w:t xml:space="preserve"> دولار أمريكي) من الشريحة الأولى إلى الثانية، وسيتم استخدام المبلغ المتبقي </w:t>
      </w:r>
      <w:r>
        <w:rPr>
          <w:sz w:val="26"/>
          <w:szCs w:val="26"/>
          <w:lang w:val="en-US" w:bidi="ar-EG"/>
        </w:rPr>
        <w:t>10,000</w:t>
      </w:r>
      <w:r>
        <w:rPr>
          <w:rFonts w:hint="cs"/>
          <w:sz w:val="26"/>
          <w:szCs w:val="26"/>
          <w:rtl/>
          <w:lang w:val="en-US" w:bidi="ar-EG"/>
        </w:rPr>
        <w:t xml:space="preserve"> دولار أمريكي في إعداد نظام الاسترداد وإعادة التدوير، </w:t>
      </w:r>
      <w:r w:rsidR="00FC66F0">
        <w:rPr>
          <w:rFonts w:hint="cs"/>
          <w:sz w:val="26"/>
          <w:szCs w:val="26"/>
          <w:rtl/>
          <w:lang w:val="en-US" w:bidi="ar-EG"/>
        </w:rPr>
        <w:t>وإنفاذ التسجيل الإجباري ومسك الدفاتر الخاصة بالواردات من معدات التبريد وتكييف الهواء وتسجيل غازات التبريد التي تم استردادها والإبلاغ عنها، وتنظيم ورشة عمل لمناقشة تنفيذ إجراءات نظام الاسترداد وإعادة التدوير.</w:t>
      </w:r>
    </w:p>
    <w:p w14:paraId="1064067F" w14:textId="2BEF5C47" w:rsidR="00DD2A74" w:rsidRDefault="00FC66F0" w:rsidP="00DD2A74">
      <w:pPr>
        <w:pStyle w:val="StyleHeader4Para4Left0Firstline0"/>
        <w:numPr>
          <w:ilvl w:val="0"/>
          <w:numId w:val="0"/>
        </w:numPr>
        <w:tabs>
          <w:tab w:val="clear" w:pos="2880"/>
          <w:tab w:val="clear" w:pos="5760"/>
          <w:tab w:val="left" w:pos="720"/>
        </w:tabs>
        <w:bidi/>
        <w:rPr>
          <w:sz w:val="26"/>
          <w:szCs w:val="26"/>
          <w:rtl/>
          <w:lang w:val="en-US" w:bidi="ar-EG"/>
        </w:rPr>
      </w:pPr>
      <w:r>
        <w:rPr>
          <w:rFonts w:hint="cs"/>
          <w:sz w:val="26"/>
          <w:szCs w:val="26"/>
          <w:rtl/>
          <w:lang w:val="en-US" w:bidi="ar-EG"/>
        </w:rPr>
        <w:t>23</w:t>
      </w:r>
      <w:r w:rsidR="00DD2A74">
        <w:rPr>
          <w:rFonts w:hint="cs"/>
          <w:sz w:val="26"/>
          <w:szCs w:val="26"/>
          <w:rtl/>
          <w:lang w:val="en-US" w:bidi="ar-EG"/>
        </w:rPr>
        <w:t xml:space="preserve"> -</w:t>
      </w:r>
      <w:r w:rsidR="00DD2A74">
        <w:rPr>
          <w:sz w:val="26"/>
          <w:szCs w:val="26"/>
          <w:rtl/>
          <w:lang w:val="en-US" w:bidi="ar-EG"/>
        </w:rPr>
        <w:tab/>
      </w:r>
      <w:r>
        <w:rPr>
          <w:rFonts w:hint="cs"/>
          <w:sz w:val="26"/>
          <w:szCs w:val="26"/>
          <w:rtl/>
          <w:lang w:val="en-US" w:bidi="ar-EG"/>
        </w:rPr>
        <w:t xml:space="preserve">دخلت بدائل المواد الهيدروكلوروفلوروكربونية (أساسا من غازات تبريد الهيدروفلوروكربون) إلى سوق ليسوتو، وقد تزايد استيرادها واستهلاكها تدريجيا على مر السنين. وبالرغم من أن أسعار غازات تبريد الهيدروفلوروكربون ما زالت أعلى من الهيدروكلوروفلوروكربون-22، فإن السوق بدأ بسرعة في تغيير اتجاهه بسبب إتاحة معدات جديدة قائمة على الهيدروفلوروكربون والهيدروكربون القادمة من جنوب أفريقيا. إلا أن بعض مالكي المعدات القائمة على المواد الهيدروكلوروفلوروكربونية يمكن أن يعترضوا على إحلال جميع معداتهم التي ما زالت تعمل. ويهدف نظام الحوافز المقترح في إطار المرحلة الثانية إلى مساندة مالكي تلك المعدات لاعتماد معدات بديلة ذات إمكانية احترار عالمية منخفضة. </w:t>
      </w:r>
    </w:p>
    <w:p w14:paraId="58CAC45E" w14:textId="1377AB31" w:rsidR="00DD2A74" w:rsidRDefault="00FC66F0" w:rsidP="00FC66F0">
      <w:pPr>
        <w:pStyle w:val="StyleHeader4Para4Left0Firstline0"/>
        <w:numPr>
          <w:ilvl w:val="0"/>
          <w:numId w:val="0"/>
        </w:numPr>
        <w:tabs>
          <w:tab w:val="clear" w:pos="2880"/>
          <w:tab w:val="clear" w:pos="5760"/>
          <w:tab w:val="left" w:pos="720"/>
        </w:tabs>
        <w:bidi/>
        <w:rPr>
          <w:sz w:val="26"/>
          <w:szCs w:val="26"/>
          <w:rtl/>
          <w:lang w:val="en-US" w:bidi="ar-EG"/>
        </w:rPr>
      </w:pPr>
      <w:r>
        <w:rPr>
          <w:rFonts w:hint="cs"/>
          <w:sz w:val="26"/>
          <w:szCs w:val="26"/>
          <w:rtl/>
          <w:lang w:val="en-US" w:bidi="ar-EG"/>
        </w:rPr>
        <w:t>24</w:t>
      </w:r>
      <w:r w:rsidR="00DD2A74">
        <w:rPr>
          <w:rFonts w:hint="cs"/>
          <w:sz w:val="26"/>
          <w:szCs w:val="26"/>
          <w:rtl/>
          <w:lang w:val="en-US" w:bidi="ar-EG"/>
        </w:rPr>
        <w:t xml:space="preserve"> -</w:t>
      </w:r>
      <w:r w:rsidR="00DD2A74">
        <w:rPr>
          <w:sz w:val="26"/>
          <w:szCs w:val="26"/>
          <w:rtl/>
          <w:lang w:val="en-US" w:bidi="ar-EG"/>
        </w:rPr>
        <w:tab/>
      </w:r>
      <w:r>
        <w:rPr>
          <w:rFonts w:hint="cs"/>
          <w:sz w:val="26"/>
          <w:szCs w:val="26"/>
          <w:rtl/>
          <w:lang w:val="en-US" w:bidi="ar-EG"/>
        </w:rPr>
        <w:t xml:space="preserve">بالنسبة لنظام الحوافز الخاص بإعادة تهيئة/إحلال المعدات القائمة على المواد الهيدروكلوروفلوروكربونية ببدائل ذات إمكانية احترار عالمية منخفضة والمساعدة الفنية للمستخدم النهائي، طلبت الأمانة معلومات بشأن الظروف المواتية (بما في ذلك السوق والإطار التنظيمي) لضمان إحلال مستدام لتكنولوجيا المواد الهيدروكلوروفلوروكربونية بتكنولوجيا ذات إمكانية احترار عالمية منخفض. كما ذكرت الأمانة بالمقررات </w:t>
      </w:r>
      <w:r>
        <w:rPr>
          <w:sz w:val="26"/>
          <w:szCs w:val="26"/>
          <w:lang w:val="en-US" w:bidi="ar-EG"/>
        </w:rPr>
        <w:t>41/72</w:t>
      </w:r>
      <w:r>
        <w:rPr>
          <w:rFonts w:hint="cs"/>
          <w:sz w:val="26"/>
          <w:szCs w:val="26"/>
          <w:rtl/>
          <w:lang w:val="en-US" w:bidi="ar-EG"/>
        </w:rPr>
        <w:t xml:space="preserve"> و </w:t>
      </w:r>
      <w:r>
        <w:rPr>
          <w:sz w:val="26"/>
          <w:szCs w:val="26"/>
          <w:lang w:val="en-US" w:bidi="ar-EG"/>
        </w:rPr>
        <w:t>17/72</w:t>
      </w:r>
      <w:r>
        <w:rPr>
          <w:rFonts w:hint="cs"/>
          <w:sz w:val="26"/>
          <w:szCs w:val="26"/>
          <w:rtl/>
          <w:lang w:val="en-US" w:bidi="ar-EG"/>
        </w:rPr>
        <w:t xml:space="preserve"> و </w:t>
      </w:r>
      <w:r>
        <w:rPr>
          <w:sz w:val="26"/>
          <w:szCs w:val="26"/>
          <w:lang w:val="en-US" w:bidi="ar-EG"/>
        </w:rPr>
        <w:t>34/73</w:t>
      </w:r>
      <w:r>
        <w:rPr>
          <w:rFonts w:hint="cs"/>
          <w:sz w:val="26"/>
          <w:szCs w:val="26"/>
          <w:rtl/>
          <w:lang w:val="en-US" w:bidi="ar-EG"/>
        </w:rPr>
        <w:t>. وردا على ذلك أبلغت حكومية ألمانيا أن اعتماد معايير الأمن التي تسمح لمعدات التبريد وتكييف الهواء بالعمل على أساس غازات تبريد قابلة للاشتعال من المتوقع أن يتم بحلول كانون الأول/ديسمبر 2022. وشرحت حكومة ألمانيا أن غاز الهيدروفلوروكربون-</w:t>
      </w:r>
      <w:r>
        <w:rPr>
          <w:sz w:val="26"/>
          <w:szCs w:val="26"/>
          <w:lang w:val="en-US" w:bidi="ar-EG"/>
        </w:rPr>
        <w:t>a134</w:t>
      </w:r>
      <w:r>
        <w:rPr>
          <w:rFonts w:hint="cs"/>
          <w:sz w:val="26"/>
          <w:szCs w:val="26"/>
          <w:rtl/>
          <w:lang w:val="en-US" w:bidi="ar-EG"/>
        </w:rPr>
        <w:t xml:space="preserve"> هو ثاني غاز تبريد أكثر انتشارا؛ ونظرا لأن التكنولوجيات ذات إمكانية احترار عالمية منخفضة ليست متاحة محليا باستثناء بعض نظم التبريد الصغيرة (معدات منزلية وتجارية قائمة بحد ذاتها) فإن نظام الحوافز سوف يوضح خيارات لإحلال أو إعادة تهيئة غرف التبريد ووحدات التكثيف وثلاجات العرض. وأبلغت الأمانة أنه عند تقديم الشريحة الثانية سيتطلب الأمر معلومات تفصيلية بشأن نظام الحوافز لإعادة التهيئة/الإحلال المخطط له بالامتثال الكامل لمتطلبات المقرر </w:t>
      </w:r>
      <w:r>
        <w:rPr>
          <w:sz w:val="26"/>
          <w:szCs w:val="26"/>
          <w:lang w:val="en-US" w:bidi="ar-EG"/>
        </w:rPr>
        <w:t>84/84</w:t>
      </w:r>
      <w:r>
        <w:rPr>
          <w:rFonts w:hint="cs"/>
          <w:sz w:val="26"/>
          <w:szCs w:val="26"/>
          <w:rtl/>
          <w:lang w:val="en-US" w:bidi="ar-EG"/>
        </w:rPr>
        <w:t>.</w:t>
      </w:r>
    </w:p>
    <w:p w14:paraId="0DAF966B" w14:textId="77777777" w:rsidR="00D11021" w:rsidRDefault="00D11021">
      <w:pPr>
        <w:jc w:val="left"/>
        <w:rPr>
          <w:sz w:val="26"/>
          <w:szCs w:val="26"/>
          <w:u w:val="single"/>
          <w:rtl/>
          <w:lang w:val="en-US" w:bidi="ar-EG"/>
        </w:rPr>
      </w:pPr>
      <w:r>
        <w:rPr>
          <w:sz w:val="26"/>
          <w:szCs w:val="26"/>
          <w:u w:val="single"/>
          <w:rtl/>
          <w:lang w:val="en-US" w:bidi="ar-EG"/>
        </w:rPr>
        <w:br w:type="page"/>
      </w:r>
    </w:p>
    <w:p w14:paraId="755A8DD9" w14:textId="50F62328" w:rsidR="00FC66F0" w:rsidRPr="00FC66F0" w:rsidRDefault="00FC66F0" w:rsidP="00FC66F0">
      <w:pPr>
        <w:pStyle w:val="StyleHeader4Para4Left0Firstline0"/>
        <w:keepNext/>
        <w:numPr>
          <w:ilvl w:val="0"/>
          <w:numId w:val="0"/>
        </w:numPr>
        <w:tabs>
          <w:tab w:val="clear" w:pos="2880"/>
          <w:tab w:val="clear" w:pos="5760"/>
          <w:tab w:val="left" w:pos="720"/>
        </w:tabs>
        <w:bidi/>
        <w:rPr>
          <w:sz w:val="26"/>
          <w:szCs w:val="26"/>
          <w:u w:val="single"/>
          <w:rtl/>
          <w:lang w:val="en-US" w:bidi="ar-EG"/>
        </w:rPr>
      </w:pPr>
      <w:r w:rsidRPr="00FC66F0">
        <w:rPr>
          <w:rFonts w:hint="cs"/>
          <w:sz w:val="26"/>
          <w:szCs w:val="26"/>
          <w:u w:val="single"/>
          <w:rtl/>
          <w:lang w:val="en-US" w:bidi="ar-EG"/>
        </w:rPr>
        <w:lastRenderedPageBreak/>
        <w:t>التكلفة الإجمالية للمشروع</w:t>
      </w:r>
    </w:p>
    <w:p w14:paraId="75BBA6AE" w14:textId="70EF22DB" w:rsidR="009A7284" w:rsidRDefault="00FC66F0" w:rsidP="009A7284">
      <w:pPr>
        <w:pStyle w:val="StyleHeader4Para4Left0Firstline0"/>
        <w:numPr>
          <w:ilvl w:val="0"/>
          <w:numId w:val="0"/>
        </w:numPr>
        <w:tabs>
          <w:tab w:val="clear" w:pos="2880"/>
          <w:tab w:val="clear" w:pos="5760"/>
          <w:tab w:val="left" w:pos="720"/>
        </w:tabs>
        <w:bidi/>
        <w:rPr>
          <w:sz w:val="26"/>
          <w:szCs w:val="26"/>
          <w:rtl/>
          <w:lang w:val="en-US" w:bidi="ar-EG"/>
        </w:rPr>
      </w:pPr>
      <w:r>
        <w:rPr>
          <w:rFonts w:hint="cs"/>
          <w:sz w:val="26"/>
          <w:szCs w:val="26"/>
          <w:rtl/>
          <w:lang w:val="en-US" w:bidi="ar-EG"/>
        </w:rPr>
        <w:t>25</w:t>
      </w:r>
      <w:r w:rsidR="009A7284">
        <w:rPr>
          <w:rFonts w:hint="cs"/>
          <w:sz w:val="26"/>
          <w:szCs w:val="26"/>
          <w:rtl/>
          <w:lang w:val="en-US" w:bidi="ar-EG"/>
        </w:rPr>
        <w:t xml:space="preserve"> -</w:t>
      </w:r>
      <w:r w:rsidR="009A7284">
        <w:rPr>
          <w:sz w:val="26"/>
          <w:szCs w:val="26"/>
          <w:rtl/>
          <w:lang w:val="en-US" w:bidi="ar-EG"/>
        </w:rPr>
        <w:tab/>
      </w:r>
      <w:r>
        <w:rPr>
          <w:rFonts w:hint="cs"/>
          <w:sz w:val="26"/>
          <w:szCs w:val="26"/>
          <w:rtl/>
          <w:lang w:val="en-US" w:bidi="ar-EG"/>
        </w:rPr>
        <w:t xml:space="preserve">تبلغ التكلفة الإجمالية للمرحلة الثانية من خطة إدارة إزالة المواد الهيدروكلوروفلوروكربونية </w:t>
      </w:r>
      <w:r>
        <w:rPr>
          <w:sz w:val="26"/>
          <w:szCs w:val="26"/>
          <w:lang w:val="en-US" w:bidi="ar-EG"/>
        </w:rPr>
        <w:t>470,000</w:t>
      </w:r>
      <w:r w:rsidR="00685F6C">
        <w:rPr>
          <w:rFonts w:hint="cs"/>
          <w:sz w:val="26"/>
          <w:szCs w:val="26"/>
          <w:rtl/>
          <w:lang w:val="en-US" w:bidi="ar-EG"/>
        </w:rPr>
        <w:t xml:space="preserve"> دولار أمريكي على أساس المقرر </w:t>
      </w:r>
      <w:r w:rsidR="00685F6C">
        <w:rPr>
          <w:sz w:val="26"/>
          <w:szCs w:val="26"/>
          <w:lang w:val="en-US" w:bidi="ar-EG"/>
        </w:rPr>
        <w:t>50/74</w:t>
      </w:r>
      <w:r w:rsidR="00685F6C">
        <w:rPr>
          <w:rFonts w:hint="cs"/>
          <w:sz w:val="26"/>
          <w:szCs w:val="26"/>
          <w:rtl/>
          <w:lang w:val="en-US" w:bidi="ar-EG"/>
        </w:rPr>
        <w:t xml:space="preserve"> (ج) (12) (</w:t>
      </w:r>
      <w:r w:rsidR="00685F6C">
        <w:rPr>
          <w:sz w:val="26"/>
          <w:szCs w:val="26"/>
          <w:lang w:val="en-US" w:bidi="ar-EG"/>
        </w:rPr>
        <w:t>750,000</w:t>
      </w:r>
      <w:r w:rsidR="00685F6C">
        <w:rPr>
          <w:rFonts w:hint="cs"/>
          <w:sz w:val="26"/>
          <w:szCs w:val="26"/>
          <w:rtl/>
          <w:lang w:val="en-US" w:bidi="ar-EG"/>
        </w:rPr>
        <w:t xml:space="preserve"> دولار أمريكي للإزالة الكاملة ناقص </w:t>
      </w:r>
      <w:r w:rsidR="00685F6C">
        <w:rPr>
          <w:sz w:val="26"/>
          <w:szCs w:val="26"/>
          <w:lang w:val="en-US" w:bidi="ar-EG"/>
        </w:rPr>
        <w:t>280,000</w:t>
      </w:r>
      <w:r w:rsidR="00685F6C">
        <w:rPr>
          <w:rFonts w:hint="cs"/>
          <w:sz w:val="26"/>
          <w:szCs w:val="26"/>
          <w:rtl/>
          <w:lang w:val="en-US" w:bidi="ar-EG"/>
        </w:rPr>
        <w:t xml:space="preserve"> دولار أمريكي تمت الموافقة عليها للخفض بنسب</w:t>
      </w:r>
      <w:r w:rsidR="00E91BF1">
        <w:rPr>
          <w:rFonts w:hint="cs"/>
          <w:sz w:val="26"/>
          <w:szCs w:val="26"/>
          <w:rtl/>
          <w:lang w:val="en-US" w:bidi="ar-EG"/>
        </w:rPr>
        <w:t>ة</w:t>
      </w:r>
      <w:r w:rsidR="00685F6C">
        <w:rPr>
          <w:rFonts w:hint="cs"/>
          <w:sz w:val="26"/>
          <w:szCs w:val="26"/>
          <w:rtl/>
          <w:lang w:val="en-US" w:bidi="ar-EG"/>
        </w:rPr>
        <w:t xml:space="preserve"> 35 في المائة عام 2020).</w:t>
      </w:r>
    </w:p>
    <w:p w14:paraId="1587FCB2" w14:textId="36FD368C" w:rsidR="009A7284" w:rsidRDefault="00685F6C" w:rsidP="009A7284">
      <w:pPr>
        <w:pStyle w:val="StyleHeader4Para4Left0Firstline0"/>
        <w:numPr>
          <w:ilvl w:val="0"/>
          <w:numId w:val="0"/>
        </w:numPr>
        <w:tabs>
          <w:tab w:val="clear" w:pos="2880"/>
          <w:tab w:val="clear" w:pos="5760"/>
          <w:tab w:val="left" w:pos="720"/>
        </w:tabs>
        <w:bidi/>
        <w:rPr>
          <w:sz w:val="26"/>
          <w:szCs w:val="26"/>
          <w:rtl/>
          <w:lang w:val="en-US" w:bidi="ar-EG"/>
        </w:rPr>
      </w:pPr>
      <w:r>
        <w:rPr>
          <w:rFonts w:hint="cs"/>
          <w:sz w:val="26"/>
          <w:szCs w:val="26"/>
          <w:rtl/>
          <w:lang w:val="en-US" w:bidi="ar-EG"/>
        </w:rPr>
        <w:t>26</w:t>
      </w:r>
      <w:r w:rsidR="009A7284">
        <w:rPr>
          <w:rFonts w:hint="cs"/>
          <w:sz w:val="26"/>
          <w:szCs w:val="26"/>
          <w:rtl/>
          <w:lang w:val="en-US" w:bidi="ar-EG"/>
        </w:rPr>
        <w:t>-</w:t>
      </w:r>
      <w:r w:rsidR="009A7284">
        <w:rPr>
          <w:sz w:val="26"/>
          <w:szCs w:val="26"/>
          <w:rtl/>
          <w:lang w:val="en-US" w:bidi="ar-EG"/>
        </w:rPr>
        <w:tab/>
      </w:r>
      <w:r>
        <w:rPr>
          <w:rFonts w:hint="cs"/>
          <w:sz w:val="26"/>
          <w:szCs w:val="26"/>
          <w:rtl/>
          <w:lang w:val="en-US" w:bidi="ar-EG"/>
        </w:rPr>
        <w:t>ناقشت الأمانة أيضا مع حكومة ألمانيا التوزيع المقترح للشرائح للمرحلة الثانية مع ملاحظة أهمية ضمان التوزيع المتوازن وفقا لاحتياجات البلد. وعلى أساس هذه المشاورات، تم الاتفاق على توزيع الشرائح المنقح، كما يبين الجدول 3.</w:t>
      </w:r>
    </w:p>
    <w:p w14:paraId="2B22783F" w14:textId="49BDB8C1" w:rsidR="00685F6C" w:rsidRPr="00685F6C" w:rsidRDefault="00685F6C" w:rsidP="00685F6C">
      <w:pPr>
        <w:pStyle w:val="StyleHeader4Para4Left0Firstline0"/>
        <w:numPr>
          <w:ilvl w:val="0"/>
          <w:numId w:val="0"/>
        </w:numPr>
        <w:tabs>
          <w:tab w:val="clear" w:pos="2880"/>
          <w:tab w:val="clear" w:pos="5760"/>
          <w:tab w:val="left" w:pos="720"/>
        </w:tabs>
        <w:bidi/>
        <w:rPr>
          <w:b/>
          <w:bCs/>
          <w:sz w:val="26"/>
          <w:szCs w:val="26"/>
          <w:rtl/>
          <w:lang w:val="en-US" w:bidi="ar-EG"/>
        </w:rPr>
      </w:pPr>
      <w:r w:rsidRPr="00685F6C">
        <w:rPr>
          <w:rFonts w:hint="cs"/>
          <w:b/>
          <w:bCs/>
          <w:sz w:val="26"/>
          <w:szCs w:val="26"/>
          <w:rtl/>
          <w:lang w:val="en-US" w:bidi="ar-EG"/>
        </w:rPr>
        <w:t xml:space="preserve">الجدول 3 </w:t>
      </w:r>
      <w:r w:rsidRPr="00685F6C">
        <w:rPr>
          <w:b/>
          <w:bCs/>
          <w:sz w:val="26"/>
          <w:szCs w:val="26"/>
          <w:rtl/>
          <w:lang w:val="en-US" w:bidi="ar-EG"/>
        </w:rPr>
        <w:t>–</w:t>
      </w:r>
      <w:r w:rsidRPr="00685F6C">
        <w:rPr>
          <w:rFonts w:hint="cs"/>
          <w:b/>
          <w:bCs/>
          <w:sz w:val="26"/>
          <w:szCs w:val="26"/>
          <w:rtl/>
          <w:lang w:val="en-US" w:bidi="ar-EG"/>
        </w:rPr>
        <w:t xml:space="preserve"> توزيع شرائح التمويل المنقح للمرحلة الثانية من خطة إدارة إزالة المواد الهيدروكلوروفلوروكربونية لليسوتو</w:t>
      </w:r>
    </w:p>
    <w:tbl>
      <w:tblPr>
        <w:tblStyle w:val="TableGrid"/>
        <w:bidiVisual/>
        <w:tblW w:w="9355" w:type="dxa"/>
        <w:tblLayout w:type="fixed"/>
        <w:tblCellMar>
          <w:left w:w="115" w:type="dxa"/>
          <w:right w:w="115" w:type="dxa"/>
        </w:tblCellMar>
        <w:tblLook w:val="04A0" w:firstRow="1" w:lastRow="0" w:firstColumn="1" w:lastColumn="0" w:noHBand="0" w:noVBand="1"/>
      </w:tblPr>
      <w:tblGrid>
        <w:gridCol w:w="2405"/>
        <w:gridCol w:w="992"/>
        <w:gridCol w:w="993"/>
        <w:gridCol w:w="993"/>
        <w:gridCol w:w="993"/>
        <w:gridCol w:w="993"/>
        <w:gridCol w:w="993"/>
        <w:gridCol w:w="993"/>
      </w:tblGrid>
      <w:tr w:rsidR="00685F6C" w:rsidRPr="000F4708" w14:paraId="2B96D064" w14:textId="77777777" w:rsidTr="00685F6C">
        <w:tc>
          <w:tcPr>
            <w:tcW w:w="2405" w:type="dxa"/>
            <w:shd w:val="clear" w:color="auto" w:fill="auto"/>
            <w:noWrap/>
            <w:tcMar>
              <w:left w:w="72" w:type="dxa"/>
              <w:right w:w="72" w:type="dxa"/>
            </w:tcMar>
            <w:vAlign w:val="center"/>
          </w:tcPr>
          <w:p w14:paraId="56A77416" w14:textId="7FD0C178" w:rsidR="00685F6C" w:rsidRPr="00685F6C" w:rsidRDefault="00685F6C" w:rsidP="00685F6C">
            <w:pPr>
              <w:bidi/>
              <w:jc w:val="left"/>
              <w:rPr>
                <w:bCs/>
                <w:sz w:val="20"/>
                <w:lang w:val="en-CA"/>
              </w:rPr>
            </w:pPr>
            <w:r w:rsidRPr="00685F6C">
              <w:rPr>
                <w:rFonts w:hint="cs"/>
                <w:bCs/>
                <w:sz w:val="20"/>
                <w:rtl/>
                <w:lang w:val="en-CA"/>
              </w:rPr>
              <w:t>التمويل (دولار أمريكي)</w:t>
            </w:r>
          </w:p>
        </w:tc>
        <w:tc>
          <w:tcPr>
            <w:tcW w:w="992" w:type="dxa"/>
            <w:shd w:val="clear" w:color="auto" w:fill="auto"/>
            <w:noWrap/>
            <w:tcMar>
              <w:left w:w="0" w:type="dxa"/>
              <w:right w:w="0" w:type="dxa"/>
            </w:tcMar>
          </w:tcPr>
          <w:p w14:paraId="711D5D9C" w14:textId="77777777" w:rsidR="00685F6C" w:rsidRPr="000F4708" w:rsidRDefault="00685F6C" w:rsidP="00685F6C">
            <w:pPr>
              <w:bidi/>
              <w:jc w:val="center"/>
              <w:rPr>
                <w:b/>
                <w:sz w:val="20"/>
                <w:lang w:val="en-CA"/>
              </w:rPr>
            </w:pPr>
            <w:r w:rsidRPr="000F4708">
              <w:rPr>
                <w:b/>
                <w:sz w:val="20"/>
                <w:lang w:val="en-CA"/>
              </w:rPr>
              <w:t>2021</w:t>
            </w:r>
          </w:p>
        </w:tc>
        <w:tc>
          <w:tcPr>
            <w:tcW w:w="993" w:type="dxa"/>
            <w:shd w:val="clear" w:color="auto" w:fill="auto"/>
            <w:tcMar>
              <w:left w:w="0" w:type="dxa"/>
              <w:right w:w="0" w:type="dxa"/>
            </w:tcMar>
          </w:tcPr>
          <w:p w14:paraId="0E9D1FE9" w14:textId="30032A3B" w:rsidR="00685F6C" w:rsidRPr="000F4708" w:rsidRDefault="00685F6C" w:rsidP="00685F6C">
            <w:pPr>
              <w:bidi/>
              <w:jc w:val="center"/>
              <w:rPr>
                <w:b/>
                <w:sz w:val="20"/>
                <w:lang w:val="en-CA"/>
              </w:rPr>
            </w:pPr>
            <w:r w:rsidRPr="000F4708">
              <w:rPr>
                <w:b/>
                <w:sz w:val="20"/>
                <w:lang w:val="en-CA"/>
              </w:rPr>
              <w:t>202</w:t>
            </w:r>
            <w:r>
              <w:rPr>
                <w:b/>
                <w:sz w:val="20"/>
                <w:lang w:val="en-CA"/>
              </w:rPr>
              <w:t>3</w:t>
            </w:r>
            <w:r w:rsidRPr="000F4708">
              <w:rPr>
                <w:b/>
                <w:sz w:val="20"/>
                <w:lang w:val="en-CA"/>
              </w:rPr>
              <w:t>-202</w:t>
            </w:r>
            <w:r>
              <w:rPr>
                <w:b/>
                <w:sz w:val="20"/>
                <w:lang w:val="en-CA"/>
              </w:rPr>
              <w:t>2</w:t>
            </w:r>
          </w:p>
        </w:tc>
        <w:tc>
          <w:tcPr>
            <w:tcW w:w="993" w:type="dxa"/>
            <w:shd w:val="clear" w:color="auto" w:fill="auto"/>
            <w:tcMar>
              <w:left w:w="0" w:type="dxa"/>
              <w:right w:w="0" w:type="dxa"/>
            </w:tcMar>
          </w:tcPr>
          <w:p w14:paraId="3CDDF966" w14:textId="77777777" w:rsidR="00685F6C" w:rsidRPr="000F4708" w:rsidRDefault="00685F6C" w:rsidP="00685F6C">
            <w:pPr>
              <w:bidi/>
              <w:jc w:val="center"/>
              <w:rPr>
                <w:b/>
                <w:sz w:val="20"/>
                <w:lang w:val="en-CA"/>
              </w:rPr>
            </w:pPr>
            <w:r w:rsidRPr="000F4708">
              <w:rPr>
                <w:b/>
                <w:sz w:val="20"/>
                <w:lang w:val="en-CA"/>
              </w:rPr>
              <w:t>2024</w:t>
            </w:r>
          </w:p>
        </w:tc>
        <w:tc>
          <w:tcPr>
            <w:tcW w:w="993" w:type="dxa"/>
            <w:shd w:val="clear" w:color="auto" w:fill="auto"/>
            <w:tcMar>
              <w:left w:w="0" w:type="dxa"/>
              <w:right w:w="0" w:type="dxa"/>
            </w:tcMar>
          </w:tcPr>
          <w:p w14:paraId="2AB58A09" w14:textId="4B3552C9" w:rsidR="00685F6C" w:rsidRPr="000F4708" w:rsidRDefault="00685F6C" w:rsidP="00685F6C">
            <w:pPr>
              <w:bidi/>
              <w:jc w:val="center"/>
              <w:rPr>
                <w:b/>
                <w:sz w:val="20"/>
                <w:lang w:val="en-CA"/>
              </w:rPr>
            </w:pPr>
            <w:r w:rsidRPr="000F4708">
              <w:rPr>
                <w:b/>
                <w:sz w:val="20"/>
                <w:lang w:val="en-CA"/>
              </w:rPr>
              <w:t>202</w:t>
            </w:r>
            <w:r>
              <w:rPr>
                <w:b/>
                <w:sz w:val="20"/>
                <w:lang w:val="en-CA"/>
              </w:rPr>
              <w:t>6</w:t>
            </w:r>
            <w:r w:rsidRPr="000F4708">
              <w:rPr>
                <w:b/>
                <w:sz w:val="20"/>
                <w:lang w:val="en-CA"/>
              </w:rPr>
              <w:t>-202</w:t>
            </w:r>
            <w:r>
              <w:rPr>
                <w:b/>
                <w:sz w:val="20"/>
                <w:lang w:val="en-CA"/>
              </w:rPr>
              <w:t>5</w:t>
            </w:r>
          </w:p>
        </w:tc>
        <w:tc>
          <w:tcPr>
            <w:tcW w:w="993" w:type="dxa"/>
            <w:shd w:val="clear" w:color="auto" w:fill="auto"/>
            <w:tcMar>
              <w:left w:w="0" w:type="dxa"/>
              <w:right w:w="0" w:type="dxa"/>
            </w:tcMar>
          </w:tcPr>
          <w:p w14:paraId="117D35CB" w14:textId="77777777" w:rsidR="00685F6C" w:rsidRPr="000F4708" w:rsidRDefault="00685F6C" w:rsidP="00685F6C">
            <w:pPr>
              <w:bidi/>
              <w:jc w:val="center"/>
              <w:rPr>
                <w:b/>
                <w:sz w:val="20"/>
                <w:lang w:val="en-CA"/>
              </w:rPr>
            </w:pPr>
            <w:r w:rsidRPr="000F4708">
              <w:rPr>
                <w:b/>
                <w:sz w:val="20"/>
                <w:lang w:val="en-CA"/>
              </w:rPr>
              <w:t>2027</w:t>
            </w:r>
          </w:p>
        </w:tc>
        <w:tc>
          <w:tcPr>
            <w:tcW w:w="993" w:type="dxa"/>
            <w:shd w:val="clear" w:color="auto" w:fill="auto"/>
            <w:tcMar>
              <w:left w:w="0" w:type="dxa"/>
              <w:right w:w="0" w:type="dxa"/>
            </w:tcMar>
          </w:tcPr>
          <w:p w14:paraId="0B855AE8" w14:textId="65953FE8" w:rsidR="00685F6C" w:rsidRPr="000F4708" w:rsidRDefault="00685F6C" w:rsidP="00685F6C">
            <w:pPr>
              <w:bidi/>
              <w:jc w:val="center"/>
              <w:rPr>
                <w:b/>
                <w:sz w:val="20"/>
                <w:lang w:val="en-CA"/>
              </w:rPr>
            </w:pPr>
            <w:r w:rsidRPr="000F4708">
              <w:rPr>
                <w:b/>
                <w:sz w:val="20"/>
                <w:lang w:val="en-CA"/>
              </w:rPr>
              <w:t>202</w:t>
            </w:r>
            <w:r>
              <w:rPr>
                <w:b/>
                <w:sz w:val="20"/>
                <w:lang w:val="en-CA"/>
              </w:rPr>
              <w:t>9</w:t>
            </w:r>
            <w:r w:rsidRPr="000F4708">
              <w:rPr>
                <w:b/>
                <w:sz w:val="20"/>
                <w:lang w:val="en-CA"/>
              </w:rPr>
              <w:t>-202</w:t>
            </w:r>
            <w:r>
              <w:rPr>
                <w:b/>
                <w:sz w:val="20"/>
                <w:lang w:val="en-CA"/>
              </w:rPr>
              <w:t>8</w:t>
            </w:r>
          </w:p>
        </w:tc>
        <w:tc>
          <w:tcPr>
            <w:tcW w:w="993" w:type="dxa"/>
            <w:shd w:val="clear" w:color="auto" w:fill="auto"/>
            <w:noWrap/>
            <w:tcMar>
              <w:left w:w="0" w:type="dxa"/>
              <w:right w:w="0" w:type="dxa"/>
            </w:tcMar>
          </w:tcPr>
          <w:p w14:paraId="15FD2590" w14:textId="77777777" w:rsidR="00685F6C" w:rsidRPr="000F4708" w:rsidRDefault="00685F6C" w:rsidP="00685F6C">
            <w:pPr>
              <w:bidi/>
              <w:jc w:val="center"/>
              <w:rPr>
                <w:b/>
                <w:sz w:val="20"/>
                <w:lang w:val="en-CA"/>
              </w:rPr>
            </w:pPr>
            <w:r w:rsidRPr="000F4708">
              <w:rPr>
                <w:b/>
                <w:sz w:val="20"/>
                <w:lang w:val="en-CA"/>
              </w:rPr>
              <w:t>2030</w:t>
            </w:r>
          </w:p>
        </w:tc>
      </w:tr>
      <w:tr w:rsidR="00685F6C" w:rsidRPr="000F4708" w14:paraId="195D6945" w14:textId="77777777" w:rsidTr="00685F6C">
        <w:tc>
          <w:tcPr>
            <w:tcW w:w="2405" w:type="dxa"/>
            <w:shd w:val="clear" w:color="auto" w:fill="auto"/>
            <w:noWrap/>
            <w:tcMar>
              <w:left w:w="72" w:type="dxa"/>
              <w:right w:w="72" w:type="dxa"/>
            </w:tcMar>
          </w:tcPr>
          <w:p w14:paraId="53C56651" w14:textId="2DB5E0A2" w:rsidR="00685F6C" w:rsidRPr="000F4708" w:rsidRDefault="00E91BF1" w:rsidP="00685F6C">
            <w:pPr>
              <w:bidi/>
              <w:jc w:val="left"/>
              <w:rPr>
                <w:sz w:val="20"/>
                <w:rtl/>
                <w:lang w:val="en-CA" w:bidi="ar-EG"/>
              </w:rPr>
            </w:pPr>
            <w:r>
              <w:rPr>
                <w:rFonts w:hint="cs"/>
                <w:sz w:val="20"/>
                <w:rtl/>
                <w:lang w:val="en-CA" w:bidi="ar-EG"/>
              </w:rPr>
              <w:t>التمويل كما قدم</w:t>
            </w:r>
          </w:p>
        </w:tc>
        <w:tc>
          <w:tcPr>
            <w:tcW w:w="992" w:type="dxa"/>
            <w:shd w:val="clear" w:color="auto" w:fill="auto"/>
            <w:noWrap/>
            <w:tcMar>
              <w:left w:w="72" w:type="dxa"/>
              <w:right w:w="72" w:type="dxa"/>
            </w:tcMar>
          </w:tcPr>
          <w:p w14:paraId="56F31109" w14:textId="77777777" w:rsidR="00685F6C" w:rsidRPr="000F4708" w:rsidRDefault="00685F6C" w:rsidP="007817AE">
            <w:pPr>
              <w:jc w:val="right"/>
              <w:rPr>
                <w:sz w:val="20"/>
                <w:lang w:val="en-CA"/>
              </w:rPr>
            </w:pPr>
            <w:r w:rsidRPr="000F4708">
              <w:rPr>
                <w:color w:val="000000"/>
                <w:sz w:val="20"/>
                <w:lang w:val="en-CA" w:eastAsia="en-CA"/>
              </w:rPr>
              <w:t>184,900</w:t>
            </w:r>
          </w:p>
        </w:tc>
        <w:tc>
          <w:tcPr>
            <w:tcW w:w="993" w:type="dxa"/>
            <w:shd w:val="clear" w:color="auto" w:fill="auto"/>
            <w:tcMar>
              <w:left w:w="72" w:type="dxa"/>
              <w:right w:w="72" w:type="dxa"/>
            </w:tcMar>
          </w:tcPr>
          <w:p w14:paraId="45E1576B" w14:textId="77777777" w:rsidR="00685F6C" w:rsidRPr="000F4708" w:rsidRDefault="00685F6C" w:rsidP="007817AE">
            <w:pPr>
              <w:jc w:val="right"/>
              <w:rPr>
                <w:sz w:val="20"/>
                <w:lang w:val="en-CA"/>
              </w:rPr>
            </w:pPr>
            <w:r w:rsidRPr="000F4708">
              <w:rPr>
                <w:sz w:val="20"/>
                <w:lang w:val="en-CA"/>
              </w:rPr>
              <w:t>0</w:t>
            </w:r>
          </w:p>
        </w:tc>
        <w:tc>
          <w:tcPr>
            <w:tcW w:w="993" w:type="dxa"/>
            <w:shd w:val="clear" w:color="auto" w:fill="auto"/>
            <w:tcMar>
              <w:left w:w="72" w:type="dxa"/>
              <w:right w:w="72" w:type="dxa"/>
            </w:tcMar>
          </w:tcPr>
          <w:p w14:paraId="70E372D8" w14:textId="77777777" w:rsidR="00685F6C" w:rsidRPr="000F4708" w:rsidRDefault="00685F6C" w:rsidP="007817AE">
            <w:pPr>
              <w:jc w:val="right"/>
              <w:rPr>
                <w:sz w:val="20"/>
                <w:lang w:val="en-CA"/>
              </w:rPr>
            </w:pPr>
            <w:r w:rsidRPr="000F4708">
              <w:rPr>
                <w:color w:val="000000"/>
                <w:sz w:val="20"/>
                <w:lang w:val="en-CA" w:eastAsia="en-CA"/>
              </w:rPr>
              <w:t>146,400</w:t>
            </w:r>
          </w:p>
        </w:tc>
        <w:tc>
          <w:tcPr>
            <w:tcW w:w="993" w:type="dxa"/>
            <w:shd w:val="clear" w:color="auto" w:fill="auto"/>
            <w:tcMar>
              <w:left w:w="72" w:type="dxa"/>
              <w:right w:w="72" w:type="dxa"/>
            </w:tcMar>
          </w:tcPr>
          <w:p w14:paraId="60B9B38A" w14:textId="77777777" w:rsidR="00685F6C" w:rsidRPr="000F4708" w:rsidRDefault="00685F6C" w:rsidP="007817AE">
            <w:pPr>
              <w:jc w:val="right"/>
              <w:rPr>
                <w:sz w:val="20"/>
                <w:lang w:val="en-CA"/>
              </w:rPr>
            </w:pPr>
            <w:r w:rsidRPr="000F4708">
              <w:rPr>
                <w:sz w:val="20"/>
                <w:lang w:val="en-CA"/>
              </w:rPr>
              <w:t>0</w:t>
            </w:r>
          </w:p>
        </w:tc>
        <w:tc>
          <w:tcPr>
            <w:tcW w:w="993" w:type="dxa"/>
            <w:shd w:val="clear" w:color="auto" w:fill="auto"/>
            <w:tcMar>
              <w:left w:w="72" w:type="dxa"/>
              <w:right w:w="72" w:type="dxa"/>
            </w:tcMar>
          </w:tcPr>
          <w:p w14:paraId="4F29A4B3" w14:textId="77777777" w:rsidR="00685F6C" w:rsidRPr="000F4708" w:rsidRDefault="00685F6C" w:rsidP="007817AE">
            <w:pPr>
              <w:jc w:val="right"/>
              <w:rPr>
                <w:sz w:val="20"/>
                <w:lang w:val="en-CA"/>
              </w:rPr>
            </w:pPr>
            <w:r w:rsidRPr="000F4708">
              <w:rPr>
                <w:color w:val="000000"/>
                <w:sz w:val="20"/>
                <w:lang w:val="en-CA" w:eastAsia="en-CA"/>
              </w:rPr>
              <w:t xml:space="preserve"> 91,200</w:t>
            </w:r>
          </w:p>
        </w:tc>
        <w:tc>
          <w:tcPr>
            <w:tcW w:w="993" w:type="dxa"/>
            <w:shd w:val="clear" w:color="auto" w:fill="auto"/>
            <w:tcMar>
              <w:left w:w="72" w:type="dxa"/>
              <w:right w:w="72" w:type="dxa"/>
            </w:tcMar>
          </w:tcPr>
          <w:p w14:paraId="0BA052A1" w14:textId="77777777" w:rsidR="00685F6C" w:rsidRPr="000F4708" w:rsidRDefault="00685F6C" w:rsidP="007817AE">
            <w:pPr>
              <w:jc w:val="right"/>
              <w:rPr>
                <w:sz w:val="20"/>
                <w:lang w:val="en-CA"/>
              </w:rPr>
            </w:pPr>
            <w:r w:rsidRPr="000F4708">
              <w:rPr>
                <w:sz w:val="20"/>
                <w:lang w:val="en-CA"/>
              </w:rPr>
              <w:t>0</w:t>
            </w:r>
          </w:p>
        </w:tc>
        <w:tc>
          <w:tcPr>
            <w:tcW w:w="993" w:type="dxa"/>
            <w:shd w:val="clear" w:color="auto" w:fill="auto"/>
            <w:noWrap/>
            <w:tcMar>
              <w:left w:w="72" w:type="dxa"/>
              <w:right w:w="72" w:type="dxa"/>
            </w:tcMar>
          </w:tcPr>
          <w:p w14:paraId="208E97AC" w14:textId="77777777" w:rsidR="00685F6C" w:rsidRPr="000F4708" w:rsidRDefault="00685F6C" w:rsidP="007817AE">
            <w:pPr>
              <w:jc w:val="right"/>
              <w:rPr>
                <w:sz w:val="20"/>
                <w:lang w:val="en-CA"/>
              </w:rPr>
            </w:pPr>
            <w:r w:rsidRPr="000F4708">
              <w:rPr>
                <w:color w:val="000000"/>
                <w:sz w:val="20"/>
                <w:lang w:val="en-CA" w:eastAsia="en-CA"/>
              </w:rPr>
              <w:t>47,500</w:t>
            </w:r>
          </w:p>
        </w:tc>
      </w:tr>
      <w:tr w:rsidR="00685F6C" w:rsidRPr="000F4708" w14:paraId="15E53581" w14:textId="77777777" w:rsidTr="00685F6C">
        <w:tc>
          <w:tcPr>
            <w:tcW w:w="2405" w:type="dxa"/>
            <w:shd w:val="clear" w:color="auto" w:fill="auto"/>
            <w:noWrap/>
            <w:tcMar>
              <w:left w:w="72" w:type="dxa"/>
              <w:right w:w="72" w:type="dxa"/>
            </w:tcMar>
          </w:tcPr>
          <w:p w14:paraId="2F9C2FFE" w14:textId="3EF5E39E" w:rsidR="00685F6C" w:rsidRPr="000F4708" w:rsidRDefault="00685F6C" w:rsidP="00685F6C">
            <w:pPr>
              <w:bidi/>
              <w:jc w:val="left"/>
              <w:rPr>
                <w:sz w:val="20"/>
                <w:lang w:val="en-CA"/>
              </w:rPr>
            </w:pPr>
            <w:r>
              <w:rPr>
                <w:rFonts w:hint="cs"/>
                <w:sz w:val="20"/>
                <w:rtl/>
                <w:lang w:val="en-CA"/>
              </w:rPr>
              <w:t>التمويل المنقح</w:t>
            </w:r>
          </w:p>
        </w:tc>
        <w:tc>
          <w:tcPr>
            <w:tcW w:w="992" w:type="dxa"/>
            <w:shd w:val="clear" w:color="auto" w:fill="auto"/>
            <w:noWrap/>
            <w:tcMar>
              <w:left w:w="72" w:type="dxa"/>
              <w:right w:w="72" w:type="dxa"/>
            </w:tcMar>
          </w:tcPr>
          <w:p w14:paraId="15E9F865" w14:textId="77777777" w:rsidR="00685F6C" w:rsidRPr="000F4708" w:rsidRDefault="00685F6C" w:rsidP="007817AE">
            <w:pPr>
              <w:jc w:val="right"/>
              <w:rPr>
                <w:kern w:val="28"/>
                <w:sz w:val="20"/>
                <w:lang w:val="en-CA"/>
              </w:rPr>
            </w:pPr>
            <w:r w:rsidRPr="000F4708">
              <w:rPr>
                <w:color w:val="000000"/>
                <w:sz w:val="20"/>
                <w:lang w:val="en-CA" w:eastAsia="en-CA"/>
              </w:rPr>
              <w:t>168,900</w:t>
            </w:r>
          </w:p>
        </w:tc>
        <w:tc>
          <w:tcPr>
            <w:tcW w:w="993" w:type="dxa"/>
            <w:shd w:val="clear" w:color="auto" w:fill="auto"/>
            <w:tcMar>
              <w:left w:w="72" w:type="dxa"/>
              <w:right w:w="72" w:type="dxa"/>
            </w:tcMar>
          </w:tcPr>
          <w:p w14:paraId="4BEAFB5B" w14:textId="77777777" w:rsidR="00685F6C" w:rsidRPr="000F4708" w:rsidRDefault="00685F6C" w:rsidP="007817AE">
            <w:pPr>
              <w:jc w:val="right"/>
              <w:rPr>
                <w:sz w:val="20"/>
                <w:lang w:val="en-CA"/>
              </w:rPr>
            </w:pPr>
            <w:r w:rsidRPr="000F4708">
              <w:rPr>
                <w:sz w:val="20"/>
                <w:lang w:val="en-CA"/>
              </w:rPr>
              <w:t>0</w:t>
            </w:r>
          </w:p>
        </w:tc>
        <w:tc>
          <w:tcPr>
            <w:tcW w:w="993" w:type="dxa"/>
            <w:shd w:val="clear" w:color="auto" w:fill="auto"/>
            <w:tcMar>
              <w:left w:w="72" w:type="dxa"/>
              <w:right w:w="72" w:type="dxa"/>
            </w:tcMar>
          </w:tcPr>
          <w:p w14:paraId="10B9A289" w14:textId="77777777" w:rsidR="00685F6C" w:rsidRPr="000F4708" w:rsidRDefault="00685F6C" w:rsidP="007817AE">
            <w:pPr>
              <w:jc w:val="right"/>
              <w:rPr>
                <w:sz w:val="20"/>
                <w:lang w:val="en-CA"/>
              </w:rPr>
            </w:pPr>
            <w:r w:rsidRPr="000F4708">
              <w:rPr>
                <w:color w:val="000000"/>
                <w:sz w:val="20"/>
                <w:lang w:val="en-CA" w:eastAsia="en-CA"/>
              </w:rPr>
              <w:t>162,400</w:t>
            </w:r>
          </w:p>
        </w:tc>
        <w:tc>
          <w:tcPr>
            <w:tcW w:w="993" w:type="dxa"/>
            <w:shd w:val="clear" w:color="auto" w:fill="auto"/>
            <w:tcMar>
              <w:left w:w="72" w:type="dxa"/>
              <w:right w:w="72" w:type="dxa"/>
            </w:tcMar>
          </w:tcPr>
          <w:p w14:paraId="3C9D1865" w14:textId="77777777" w:rsidR="00685F6C" w:rsidRPr="000F4708" w:rsidRDefault="00685F6C" w:rsidP="007817AE">
            <w:pPr>
              <w:jc w:val="right"/>
              <w:rPr>
                <w:sz w:val="20"/>
                <w:lang w:val="en-CA"/>
              </w:rPr>
            </w:pPr>
            <w:r w:rsidRPr="000F4708">
              <w:rPr>
                <w:sz w:val="20"/>
                <w:lang w:val="en-CA"/>
              </w:rPr>
              <w:t>0</w:t>
            </w:r>
          </w:p>
        </w:tc>
        <w:tc>
          <w:tcPr>
            <w:tcW w:w="993" w:type="dxa"/>
            <w:shd w:val="clear" w:color="auto" w:fill="auto"/>
            <w:tcMar>
              <w:left w:w="72" w:type="dxa"/>
              <w:right w:w="72" w:type="dxa"/>
            </w:tcMar>
          </w:tcPr>
          <w:p w14:paraId="71BD9E20" w14:textId="77777777" w:rsidR="00685F6C" w:rsidRPr="000F4708" w:rsidRDefault="00685F6C" w:rsidP="007817AE">
            <w:pPr>
              <w:jc w:val="right"/>
              <w:rPr>
                <w:kern w:val="28"/>
                <w:sz w:val="20"/>
                <w:lang w:val="en-CA"/>
              </w:rPr>
            </w:pPr>
            <w:r w:rsidRPr="000F4708">
              <w:rPr>
                <w:color w:val="000000"/>
                <w:sz w:val="20"/>
                <w:lang w:val="en-CA" w:eastAsia="en-CA"/>
              </w:rPr>
              <w:t xml:space="preserve"> 91,200</w:t>
            </w:r>
          </w:p>
        </w:tc>
        <w:tc>
          <w:tcPr>
            <w:tcW w:w="993" w:type="dxa"/>
            <w:shd w:val="clear" w:color="auto" w:fill="auto"/>
            <w:tcMar>
              <w:left w:w="72" w:type="dxa"/>
              <w:right w:w="72" w:type="dxa"/>
            </w:tcMar>
          </w:tcPr>
          <w:p w14:paraId="12681DC0" w14:textId="77777777" w:rsidR="00685F6C" w:rsidRPr="000F4708" w:rsidRDefault="00685F6C" w:rsidP="007817AE">
            <w:pPr>
              <w:jc w:val="right"/>
              <w:rPr>
                <w:sz w:val="20"/>
                <w:lang w:val="en-CA"/>
              </w:rPr>
            </w:pPr>
            <w:r w:rsidRPr="000F4708">
              <w:rPr>
                <w:sz w:val="20"/>
                <w:lang w:val="en-CA"/>
              </w:rPr>
              <w:t>0</w:t>
            </w:r>
          </w:p>
        </w:tc>
        <w:tc>
          <w:tcPr>
            <w:tcW w:w="993" w:type="dxa"/>
            <w:shd w:val="clear" w:color="auto" w:fill="auto"/>
            <w:noWrap/>
            <w:tcMar>
              <w:left w:w="72" w:type="dxa"/>
              <w:right w:w="72" w:type="dxa"/>
            </w:tcMar>
          </w:tcPr>
          <w:p w14:paraId="3F4A066C" w14:textId="77777777" w:rsidR="00685F6C" w:rsidRPr="000F4708" w:rsidRDefault="00685F6C" w:rsidP="007817AE">
            <w:pPr>
              <w:jc w:val="right"/>
              <w:rPr>
                <w:sz w:val="20"/>
                <w:lang w:val="en-CA"/>
              </w:rPr>
            </w:pPr>
            <w:r w:rsidRPr="000F4708">
              <w:rPr>
                <w:color w:val="000000"/>
                <w:sz w:val="20"/>
                <w:lang w:val="en-CA" w:eastAsia="en-CA"/>
              </w:rPr>
              <w:t>47,500</w:t>
            </w:r>
          </w:p>
        </w:tc>
      </w:tr>
    </w:tbl>
    <w:p w14:paraId="36564F7E" w14:textId="77777777" w:rsidR="00685F6C" w:rsidRDefault="00685F6C" w:rsidP="009A7284">
      <w:pPr>
        <w:pStyle w:val="StyleHeader4Para4Left0Firstline0"/>
        <w:numPr>
          <w:ilvl w:val="0"/>
          <w:numId w:val="0"/>
        </w:numPr>
        <w:tabs>
          <w:tab w:val="clear" w:pos="2880"/>
          <w:tab w:val="clear" w:pos="5760"/>
          <w:tab w:val="left" w:pos="720"/>
        </w:tabs>
        <w:bidi/>
        <w:rPr>
          <w:sz w:val="26"/>
          <w:szCs w:val="26"/>
          <w:rtl/>
          <w:lang w:val="en-US" w:bidi="ar-EG"/>
        </w:rPr>
      </w:pPr>
    </w:p>
    <w:p w14:paraId="280C49E8" w14:textId="29801E97" w:rsidR="009A7284" w:rsidRDefault="00685F6C" w:rsidP="00685F6C">
      <w:pPr>
        <w:pStyle w:val="StyleHeader4Para4Left0Firstline0"/>
        <w:numPr>
          <w:ilvl w:val="0"/>
          <w:numId w:val="0"/>
        </w:numPr>
        <w:tabs>
          <w:tab w:val="clear" w:pos="2880"/>
          <w:tab w:val="clear" w:pos="5760"/>
          <w:tab w:val="left" w:pos="720"/>
        </w:tabs>
        <w:bidi/>
        <w:rPr>
          <w:sz w:val="26"/>
          <w:szCs w:val="26"/>
          <w:rtl/>
          <w:lang w:val="en-US" w:bidi="ar-EG"/>
        </w:rPr>
      </w:pPr>
      <w:r>
        <w:rPr>
          <w:rFonts w:hint="cs"/>
          <w:sz w:val="26"/>
          <w:szCs w:val="26"/>
          <w:rtl/>
          <w:lang w:val="en-US" w:bidi="ar-EG"/>
        </w:rPr>
        <w:t>27</w:t>
      </w:r>
      <w:r w:rsidR="009A7284">
        <w:rPr>
          <w:rFonts w:hint="cs"/>
          <w:sz w:val="26"/>
          <w:szCs w:val="26"/>
          <w:rtl/>
          <w:lang w:val="en-US" w:bidi="ar-EG"/>
        </w:rPr>
        <w:t xml:space="preserve"> -</w:t>
      </w:r>
      <w:r w:rsidR="009A7284">
        <w:rPr>
          <w:sz w:val="26"/>
          <w:szCs w:val="26"/>
          <w:rtl/>
          <w:lang w:val="en-US" w:bidi="ar-EG"/>
        </w:rPr>
        <w:tab/>
      </w:r>
      <w:r>
        <w:rPr>
          <w:rFonts w:hint="cs"/>
          <w:sz w:val="26"/>
          <w:szCs w:val="26"/>
          <w:rtl/>
          <w:lang w:val="en-US" w:bidi="ar-EG"/>
        </w:rPr>
        <w:t>تم الاتفاق على تغيير تمويل الشريحة الأولى لنظام الاسترداد وإعادة التدوير مما أدى إلى ما يلي: تقييم الأنشطة الحالية للاسترداد وإعادة التدوير، تعيين خبراء فنيين لتوفير المساندة في إعداد نظام الاسترداد وإعادة التدوير، وإنفاذ التسجيل الإلزامي ومسك دفاتر واردات معدات التبريد وتكييف الهواء بشكل سليم والإعلان عن غازات التبريد التي تم استردادها، وتنظيم ورشة عمل لمناقشة إجراءات تنفيذ نظام الاسترداد وإعادة التدوير وإعداد نموذج أعمال يقدم مع الشريحة الثانية (</w:t>
      </w:r>
      <w:r>
        <w:rPr>
          <w:sz w:val="26"/>
          <w:szCs w:val="26"/>
          <w:lang w:val="en-US" w:bidi="ar-EG"/>
        </w:rPr>
        <w:t>10,000</w:t>
      </w:r>
      <w:r>
        <w:rPr>
          <w:rFonts w:hint="cs"/>
          <w:sz w:val="26"/>
          <w:szCs w:val="26"/>
          <w:rtl/>
          <w:lang w:val="en-US" w:bidi="ar-EG"/>
        </w:rPr>
        <w:t xml:space="preserve"> دولار أمريكي).</w:t>
      </w:r>
    </w:p>
    <w:p w14:paraId="33225109" w14:textId="14C240EA" w:rsidR="00685F6C" w:rsidRPr="00685F6C" w:rsidRDefault="00685F6C" w:rsidP="00685F6C">
      <w:pPr>
        <w:pStyle w:val="StyleHeader4Para4Left0Firstline0"/>
        <w:numPr>
          <w:ilvl w:val="0"/>
          <w:numId w:val="0"/>
        </w:numPr>
        <w:tabs>
          <w:tab w:val="clear" w:pos="2880"/>
          <w:tab w:val="clear" w:pos="5760"/>
          <w:tab w:val="left" w:pos="720"/>
        </w:tabs>
        <w:bidi/>
        <w:rPr>
          <w:sz w:val="26"/>
          <w:szCs w:val="26"/>
          <w:u w:val="single"/>
          <w:rtl/>
          <w:lang w:val="en-US" w:bidi="ar-EG"/>
        </w:rPr>
      </w:pPr>
      <w:r w:rsidRPr="00685F6C">
        <w:rPr>
          <w:rFonts w:hint="cs"/>
          <w:sz w:val="26"/>
          <w:szCs w:val="26"/>
          <w:u w:val="single"/>
          <w:rtl/>
          <w:lang w:val="en-US" w:bidi="ar-EG"/>
        </w:rPr>
        <w:t>الأثر على المناخ</w:t>
      </w:r>
    </w:p>
    <w:p w14:paraId="1D861301" w14:textId="159671E0" w:rsidR="009A7284" w:rsidRDefault="00685F6C" w:rsidP="009A7284">
      <w:pPr>
        <w:pStyle w:val="StyleHeader4Para4Left0Firstline0"/>
        <w:numPr>
          <w:ilvl w:val="0"/>
          <w:numId w:val="0"/>
        </w:numPr>
        <w:tabs>
          <w:tab w:val="clear" w:pos="2880"/>
          <w:tab w:val="clear" w:pos="5760"/>
          <w:tab w:val="left" w:pos="720"/>
        </w:tabs>
        <w:bidi/>
        <w:rPr>
          <w:sz w:val="26"/>
          <w:szCs w:val="26"/>
          <w:rtl/>
          <w:lang w:val="en-US" w:bidi="ar-EG"/>
        </w:rPr>
      </w:pPr>
      <w:r>
        <w:rPr>
          <w:rFonts w:hint="cs"/>
          <w:sz w:val="26"/>
          <w:szCs w:val="26"/>
          <w:rtl/>
          <w:lang w:val="en-US" w:bidi="ar-EG"/>
        </w:rPr>
        <w:t>28</w:t>
      </w:r>
      <w:r w:rsidR="009A7284">
        <w:rPr>
          <w:rFonts w:hint="cs"/>
          <w:sz w:val="26"/>
          <w:szCs w:val="26"/>
          <w:rtl/>
          <w:lang w:val="en-US" w:bidi="ar-EG"/>
        </w:rPr>
        <w:t xml:space="preserve"> -</w:t>
      </w:r>
      <w:r w:rsidR="009A7284">
        <w:rPr>
          <w:sz w:val="26"/>
          <w:szCs w:val="26"/>
          <w:rtl/>
          <w:lang w:val="en-US" w:bidi="ar-EG"/>
        </w:rPr>
        <w:tab/>
      </w:r>
      <w:r>
        <w:rPr>
          <w:rFonts w:hint="cs"/>
          <w:sz w:val="26"/>
          <w:szCs w:val="26"/>
          <w:rtl/>
          <w:lang w:val="en-US" w:bidi="ar-EG"/>
        </w:rPr>
        <w:t xml:space="preserve">ستؤدي الأنشطة المقترحة في قطاع الخدمة، والتي تشمل احتواء أفضل لغازات التبريد من خلال التدريب وتوفير المعدات، إلى خفض كمية الهيدروكلوروفلوروكربون-22 المستخدم لخدمة التبريد وتكييف الهواء. ويؤدي كل كيلوغرام من الهيدروكلوروفلوروكربون-22 الذي لم ينبعث بسبب ممارسات تبريد أفضل إلى وفورات تبلغ تقريبا </w:t>
      </w:r>
      <w:r>
        <w:rPr>
          <w:sz w:val="26"/>
          <w:szCs w:val="26"/>
          <w:lang w:val="en-US" w:bidi="ar-EG"/>
        </w:rPr>
        <w:t>1.8</w:t>
      </w:r>
      <w:r>
        <w:rPr>
          <w:rFonts w:hint="cs"/>
          <w:sz w:val="26"/>
          <w:szCs w:val="26"/>
          <w:rtl/>
          <w:lang w:val="en-US" w:bidi="ar-EG"/>
        </w:rPr>
        <w:t xml:space="preserve"> </w:t>
      </w:r>
      <w:r w:rsidR="00E91BF1">
        <w:rPr>
          <w:rFonts w:hint="cs"/>
          <w:sz w:val="26"/>
          <w:szCs w:val="26"/>
          <w:rtl/>
          <w:lang w:val="en-US" w:bidi="ar-EG"/>
        </w:rPr>
        <w:t>مكافئ</w:t>
      </w:r>
      <w:r>
        <w:rPr>
          <w:rFonts w:hint="cs"/>
          <w:sz w:val="26"/>
          <w:szCs w:val="26"/>
          <w:rtl/>
          <w:lang w:val="en-US" w:bidi="ar-EG"/>
        </w:rPr>
        <w:t xml:space="preserve"> ثاني أكسيد الكربون. وبالرغم من أن حساب الأثر على المناخ لم يكن جزءا من خطة إدارة إزالة المواد الهيدروكلوروفلوروكربونية، فإن الأنشطة التي خططت لها ليسوتوا بما في ذلك جهودها للترويج لبدائل ذات إمكانية احترار عالمية منخفضة، بالإضافة إلى استرداد غاز التبريد وإعادة استخدامه واعتماد الفنيين يشير إلى أن تنفيذ الخطة سوف يقلل من انبعاثات غازات التبريد إلى الجو، مما يؤدي إلى مزايا مناخية.</w:t>
      </w:r>
    </w:p>
    <w:p w14:paraId="64261E1C" w14:textId="5B62118F" w:rsidR="00685F6C" w:rsidRPr="00685F6C" w:rsidRDefault="00685F6C" w:rsidP="00685F6C">
      <w:pPr>
        <w:pStyle w:val="StyleHeader4Para4Left0Firstline0"/>
        <w:numPr>
          <w:ilvl w:val="0"/>
          <w:numId w:val="0"/>
        </w:numPr>
        <w:tabs>
          <w:tab w:val="clear" w:pos="2880"/>
          <w:tab w:val="clear" w:pos="5760"/>
          <w:tab w:val="left" w:pos="720"/>
        </w:tabs>
        <w:bidi/>
        <w:rPr>
          <w:b/>
          <w:bCs/>
          <w:sz w:val="26"/>
          <w:szCs w:val="26"/>
          <w:rtl/>
          <w:lang w:val="en-US" w:bidi="ar-EG"/>
        </w:rPr>
      </w:pPr>
      <w:r w:rsidRPr="00685F6C">
        <w:rPr>
          <w:rFonts w:hint="cs"/>
          <w:b/>
          <w:bCs/>
          <w:sz w:val="26"/>
          <w:szCs w:val="26"/>
          <w:rtl/>
          <w:lang w:val="en-US" w:bidi="ar-EG"/>
        </w:rPr>
        <w:t>التمويل المشترك</w:t>
      </w:r>
    </w:p>
    <w:p w14:paraId="5F3A6D51" w14:textId="3C0B15C8" w:rsidR="00CF24C1" w:rsidRDefault="00685F6C" w:rsidP="00CF24C1">
      <w:pPr>
        <w:pStyle w:val="StyleHeader4Para4Left0Firstline0"/>
        <w:numPr>
          <w:ilvl w:val="0"/>
          <w:numId w:val="0"/>
        </w:numPr>
        <w:tabs>
          <w:tab w:val="clear" w:pos="2880"/>
          <w:tab w:val="clear" w:pos="5760"/>
          <w:tab w:val="left" w:pos="720"/>
        </w:tabs>
        <w:bidi/>
        <w:rPr>
          <w:sz w:val="26"/>
          <w:szCs w:val="26"/>
          <w:rtl/>
          <w:lang w:val="en-US" w:bidi="ar-EG"/>
        </w:rPr>
      </w:pPr>
      <w:r>
        <w:rPr>
          <w:rFonts w:hint="cs"/>
          <w:sz w:val="26"/>
          <w:szCs w:val="26"/>
          <w:rtl/>
          <w:lang w:val="en-US" w:bidi="ar-EG"/>
        </w:rPr>
        <w:t>29 -</w:t>
      </w:r>
      <w:r>
        <w:rPr>
          <w:sz w:val="26"/>
          <w:szCs w:val="26"/>
          <w:rtl/>
          <w:lang w:val="en-US" w:bidi="ar-EG"/>
        </w:rPr>
        <w:tab/>
      </w:r>
      <w:r>
        <w:rPr>
          <w:rFonts w:hint="cs"/>
          <w:sz w:val="26"/>
          <w:szCs w:val="26"/>
          <w:rtl/>
          <w:lang w:val="en-US" w:bidi="ar-EG"/>
        </w:rPr>
        <w:t>سوف تستمر حكومة ليسوتو في توفير المساندة نوعا وجهدا مثل توفير الموظفين والأماكن والمساندة اللوجستية. فضل</w:t>
      </w:r>
      <w:r w:rsidR="00E91BF1">
        <w:rPr>
          <w:rFonts w:hint="cs"/>
          <w:sz w:val="26"/>
          <w:szCs w:val="26"/>
          <w:rtl/>
          <w:lang w:val="en-US" w:bidi="ar-EG"/>
        </w:rPr>
        <w:t>ا</w:t>
      </w:r>
      <w:r>
        <w:rPr>
          <w:rFonts w:hint="cs"/>
          <w:sz w:val="26"/>
          <w:szCs w:val="26"/>
          <w:rtl/>
          <w:lang w:val="en-US" w:bidi="ar-EG"/>
        </w:rPr>
        <w:t xml:space="preserve"> عن ذلك تتوقع الحكومة مساهمات في التمويل المشترك من المؤسسات الخاصة المشاركة في نظام الحوافز </w:t>
      </w:r>
      <w:r w:rsidR="00E91BF1">
        <w:rPr>
          <w:rFonts w:hint="cs"/>
          <w:sz w:val="26"/>
          <w:szCs w:val="26"/>
          <w:rtl/>
          <w:lang w:val="en-US" w:bidi="ar-EG"/>
        </w:rPr>
        <w:t xml:space="preserve">لإعادة تهيئة </w:t>
      </w:r>
      <w:r>
        <w:rPr>
          <w:rFonts w:hint="cs"/>
          <w:sz w:val="26"/>
          <w:szCs w:val="26"/>
          <w:rtl/>
          <w:lang w:val="en-US" w:bidi="ar-EG"/>
        </w:rPr>
        <w:t xml:space="preserve">وإحلال معداتها القائمة على المواد الهيدروكلوروفلوروكربونية </w:t>
      </w:r>
      <w:r w:rsidR="002C25F0">
        <w:rPr>
          <w:rFonts w:hint="cs"/>
          <w:sz w:val="26"/>
          <w:szCs w:val="26"/>
          <w:rtl/>
          <w:lang w:val="en-US" w:bidi="ar-EG"/>
        </w:rPr>
        <w:t>ببدائل ذات إمكانية احترار عالمية منخفضة.</w:t>
      </w:r>
    </w:p>
    <w:p w14:paraId="18C96AA7" w14:textId="77777777" w:rsidR="00D11021" w:rsidRDefault="00D11021">
      <w:pPr>
        <w:jc w:val="left"/>
        <w:rPr>
          <w:b/>
          <w:bCs/>
          <w:sz w:val="26"/>
          <w:szCs w:val="26"/>
          <w:rtl/>
          <w:lang w:val="en-US" w:bidi="ar-EG"/>
        </w:rPr>
      </w:pPr>
      <w:r>
        <w:rPr>
          <w:b/>
          <w:bCs/>
          <w:sz w:val="26"/>
          <w:szCs w:val="26"/>
          <w:rtl/>
          <w:lang w:val="en-US" w:bidi="ar-EG"/>
        </w:rPr>
        <w:br w:type="page"/>
      </w:r>
    </w:p>
    <w:p w14:paraId="40C448AB" w14:textId="5846376E" w:rsidR="002C25F0" w:rsidRPr="002C25F0" w:rsidRDefault="002C25F0" w:rsidP="002C25F0">
      <w:pPr>
        <w:pStyle w:val="StyleHeader4Para4Left0Firstline0"/>
        <w:numPr>
          <w:ilvl w:val="0"/>
          <w:numId w:val="0"/>
        </w:numPr>
        <w:tabs>
          <w:tab w:val="clear" w:pos="2880"/>
          <w:tab w:val="clear" w:pos="5760"/>
          <w:tab w:val="left" w:pos="720"/>
        </w:tabs>
        <w:bidi/>
        <w:rPr>
          <w:b/>
          <w:bCs/>
          <w:sz w:val="26"/>
          <w:szCs w:val="26"/>
          <w:rtl/>
          <w:lang w:val="en-US" w:bidi="ar-EG"/>
        </w:rPr>
      </w:pPr>
      <w:r w:rsidRPr="002C25F0">
        <w:rPr>
          <w:rFonts w:hint="cs"/>
          <w:b/>
          <w:bCs/>
          <w:sz w:val="26"/>
          <w:szCs w:val="26"/>
          <w:rtl/>
          <w:lang w:val="en-US" w:bidi="ar-EG"/>
        </w:rPr>
        <w:lastRenderedPageBreak/>
        <w:t>مشروع خطة أعمال 2021-2023 للصندوق متعدد الطراف</w:t>
      </w:r>
    </w:p>
    <w:p w14:paraId="044442D9" w14:textId="4E8CBF67" w:rsidR="00CF24C1" w:rsidRDefault="002C25F0" w:rsidP="00CF24C1">
      <w:pPr>
        <w:pStyle w:val="StyleHeader4Para4Left0Firstline0"/>
        <w:numPr>
          <w:ilvl w:val="0"/>
          <w:numId w:val="0"/>
        </w:numPr>
        <w:tabs>
          <w:tab w:val="clear" w:pos="2880"/>
          <w:tab w:val="clear" w:pos="5760"/>
          <w:tab w:val="left" w:pos="720"/>
        </w:tabs>
        <w:bidi/>
        <w:rPr>
          <w:sz w:val="26"/>
          <w:szCs w:val="26"/>
          <w:rtl/>
          <w:lang w:val="en-US" w:bidi="ar-EG"/>
        </w:rPr>
      </w:pPr>
      <w:r>
        <w:rPr>
          <w:rFonts w:hint="cs"/>
          <w:sz w:val="26"/>
          <w:szCs w:val="26"/>
          <w:rtl/>
          <w:lang w:val="en-US" w:bidi="ar-EG"/>
        </w:rPr>
        <w:t>30</w:t>
      </w:r>
      <w:r w:rsidR="00CF24C1">
        <w:rPr>
          <w:rFonts w:hint="cs"/>
          <w:sz w:val="26"/>
          <w:szCs w:val="26"/>
          <w:rtl/>
          <w:lang w:val="en-US" w:bidi="ar-EG"/>
        </w:rPr>
        <w:t xml:space="preserve"> -</w:t>
      </w:r>
      <w:r w:rsidR="00CF24C1">
        <w:rPr>
          <w:sz w:val="26"/>
          <w:szCs w:val="26"/>
          <w:rtl/>
          <w:lang w:val="en-US" w:bidi="ar-EG"/>
        </w:rPr>
        <w:tab/>
      </w:r>
      <w:r>
        <w:rPr>
          <w:rFonts w:hint="cs"/>
          <w:sz w:val="26"/>
          <w:szCs w:val="26"/>
          <w:rtl/>
          <w:lang w:val="en-US" w:bidi="ar-EG"/>
        </w:rPr>
        <w:t xml:space="preserve">تطلب حكومة ألمانيا مبلغ </w:t>
      </w:r>
      <w:r>
        <w:rPr>
          <w:sz w:val="26"/>
          <w:szCs w:val="26"/>
          <w:lang w:val="en-US" w:bidi="ar-EG"/>
        </w:rPr>
        <w:t>470,000</w:t>
      </w:r>
      <w:r>
        <w:rPr>
          <w:rFonts w:hint="cs"/>
          <w:sz w:val="26"/>
          <w:szCs w:val="26"/>
          <w:rtl/>
          <w:lang w:val="en-US" w:bidi="ar-EG"/>
        </w:rPr>
        <w:t xml:space="preserve"> دولار أمريكي زائد تكاليف دعم الوكالة لتنفيذ المرحلة الثانية من خطة إدارة إزالة المواد الهيدروكلوروفلوروكربونية لليسوتو. وتقدر القيمة الإجمالية المطلوبة وهي </w:t>
      </w:r>
      <w:r>
        <w:rPr>
          <w:sz w:val="26"/>
          <w:szCs w:val="26"/>
          <w:lang w:val="en-US" w:bidi="ar-EG"/>
        </w:rPr>
        <w:t>190,857</w:t>
      </w:r>
      <w:r>
        <w:rPr>
          <w:rFonts w:hint="cs"/>
          <w:sz w:val="26"/>
          <w:szCs w:val="26"/>
          <w:rtl/>
          <w:lang w:val="en-US" w:bidi="ar-EG"/>
        </w:rPr>
        <w:t xml:space="preserve"> دولار أمريكي شاملة تكاليف دعم الوكالة للفترة 2021-2023</w:t>
      </w:r>
      <w:r>
        <w:rPr>
          <w:sz w:val="26"/>
          <w:szCs w:val="26"/>
          <w:lang w:val="en-US" w:bidi="ar-EG"/>
        </w:rPr>
        <w:t xml:space="preserve"> </w:t>
      </w:r>
      <w:r>
        <w:rPr>
          <w:rFonts w:hint="cs"/>
          <w:sz w:val="26"/>
          <w:szCs w:val="26"/>
          <w:rtl/>
          <w:lang w:val="en-US" w:bidi="ar-EG"/>
        </w:rPr>
        <w:t xml:space="preserve"> أقل بمقدار </w:t>
      </w:r>
      <w:r>
        <w:rPr>
          <w:sz w:val="26"/>
          <w:szCs w:val="26"/>
          <w:lang w:val="en-US" w:bidi="ar-EG"/>
        </w:rPr>
        <w:t>2,373</w:t>
      </w:r>
      <w:r>
        <w:rPr>
          <w:rFonts w:hint="cs"/>
          <w:sz w:val="26"/>
          <w:szCs w:val="26"/>
          <w:rtl/>
          <w:lang w:val="en-US" w:bidi="ar-EG"/>
        </w:rPr>
        <w:t xml:space="preserve"> دولار أمريكي عن المبلغ الوارد في خطة الأعمال.</w:t>
      </w:r>
    </w:p>
    <w:p w14:paraId="7BE78ADE" w14:textId="400708C6" w:rsidR="00CF24C1" w:rsidRPr="002C25F0" w:rsidRDefault="002C25F0" w:rsidP="002C25F0">
      <w:pPr>
        <w:pStyle w:val="StyleHeader4Para4Left0Firstline0"/>
        <w:keepNext/>
        <w:numPr>
          <w:ilvl w:val="0"/>
          <w:numId w:val="0"/>
        </w:numPr>
        <w:tabs>
          <w:tab w:val="clear" w:pos="2880"/>
          <w:tab w:val="clear" w:pos="5760"/>
          <w:tab w:val="left" w:pos="720"/>
        </w:tabs>
        <w:bidi/>
        <w:rPr>
          <w:b/>
          <w:bCs/>
          <w:sz w:val="26"/>
          <w:szCs w:val="26"/>
          <w:rtl/>
          <w:lang w:val="en-US" w:bidi="ar-EG"/>
        </w:rPr>
      </w:pPr>
      <w:r w:rsidRPr="002C25F0">
        <w:rPr>
          <w:rFonts w:hint="cs"/>
          <w:b/>
          <w:bCs/>
          <w:sz w:val="26"/>
          <w:szCs w:val="26"/>
          <w:rtl/>
          <w:lang w:val="en-US" w:bidi="ar-EG"/>
        </w:rPr>
        <w:t>مشروع الاتفاق</w:t>
      </w:r>
    </w:p>
    <w:p w14:paraId="4D28B3A7" w14:textId="2816D135" w:rsidR="00CF24C1" w:rsidRDefault="002C25F0" w:rsidP="00CF24C1">
      <w:pPr>
        <w:pStyle w:val="StyleHeader4Para4Left0Firstline0"/>
        <w:numPr>
          <w:ilvl w:val="0"/>
          <w:numId w:val="0"/>
        </w:numPr>
        <w:tabs>
          <w:tab w:val="clear" w:pos="2880"/>
          <w:tab w:val="clear" w:pos="5760"/>
          <w:tab w:val="left" w:pos="720"/>
        </w:tabs>
        <w:bidi/>
        <w:rPr>
          <w:sz w:val="26"/>
          <w:szCs w:val="26"/>
          <w:rtl/>
          <w:lang w:val="en-US" w:bidi="ar-EG"/>
        </w:rPr>
      </w:pPr>
      <w:r>
        <w:rPr>
          <w:rFonts w:hint="cs"/>
          <w:sz w:val="26"/>
          <w:szCs w:val="26"/>
          <w:rtl/>
          <w:lang w:val="en-US" w:bidi="ar-EG"/>
        </w:rPr>
        <w:t>31 -</w:t>
      </w:r>
      <w:r>
        <w:rPr>
          <w:sz w:val="26"/>
          <w:szCs w:val="26"/>
          <w:rtl/>
          <w:lang w:val="en-US" w:bidi="ar-EG"/>
        </w:rPr>
        <w:tab/>
      </w:r>
      <w:r>
        <w:rPr>
          <w:rFonts w:hint="cs"/>
          <w:sz w:val="26"/>
          <w:szCs w:val="26"/>
          <w:rtl/>
          <w:lang w:val="en-US" w:bidi="ar-EG"/>
        </w:rPr>
        <w:t>يرد مشروع الاتفاق بين حكومة ليسوتو واللجنة التنفيذية لإزالة المواد الهيدروكلوروفلوروكربونية في المرحلة الثانية من الخطة في المرفق الثاني من هذه الوثيقة.</w:t>
      </w:r>
    </w:p>
    <w:p w14:paraId="0E64B6D3" w14:textId="768AEDC6" w:rsidR="002C25F0" w:rsidRPr="002C25F0" w:rsidRDefault="002C25F0" w:rsidP="002C25F0">
      <w:pPr>
        <w:pStyle w:val="StyleHeader4Para4Left0Firstline0"/>
        <w:numPr>
          <w:ilvl w:val="0"/>
          <w:numId w:val="0"/>
        </w:numPr>
        <w:tabs>
          <w:tab w:val="clear" w:pos="2880"/>
          <w:tab w:val="clear" w:pos="5760"/>
          <w:tab w:val="left" w:pos="720"/>
        </w:tabs>
        <w:bidi/>
        <w:rPr>
          <w:b/>
          <w:bCs/>
          <w:sz w:val="26"/>
          <w:szCs w:val="26"/>
          <w:rtl/>
          <w:lang w:val="en-US" w:bidi="ar-EG"/>
        </w:rPr>
      </w:pPr>
      <w:r w:rsidRPr="002C25F0">
        <w:rPr>
          <w:rFonts w:hint="cs"/>
          <w:b/>
          <w:bCs/>
          <w:sz w:val="26"/>
          <w:szCs w:val="26"/>
          <w:rtl/>
          <w:lang w:val="en-US" w:bidi="ar-EG"/>
        </w:rPr>
        <w:t>التوصية</w:t>
      </w:r>
    </w:p>
    <w:p w14:paraId="196B1B71" w14:textId="08F6DBB1" w:rsidR="00CF24C1" w:rsidRDefault="002C25F0" w:rsidP="00CF24C1">
      <w:pPr>
        <w:pStyle w:val="StyleHeader4Para4Left0Firstline0"/>
        <w:numPr>
          <w:ilvl w:val="0"/>
          <w:numId w:val="0"/>
        </w:numPr>
        <w:tabs>
          <w:tab w:val="clear" w:pos="2880"/>
          <w:tab w:val="clear" w:pos="5760"/>
          <w:tab w:val="left" w:pos="720"/>
        </w:tabs>
        <w:bidi/>
        <w:rPr>
          <w:sz w:val="26"/>
          <w:szCs w:val="26"/>
          <w:rtl/>
          <w:lang w:val="en-US" w:bidi="ar-EG"/>
        </w:rPr>
      </w:pPr>
      <w:r>
        <w:rPr>
          <w:rFonts w:hint="cs"/>
          <w:sz w:val="26"/>
          <w:szCs w:val="26"/>
          <w:rtl/>
          <w:lang w:val="en-US" w:bidi="ar-EG"/>
        </w:rPr>
        <w:t>32</w:t>
      </w:r>
      <w:r w:rsidR="00CF24C1">
        <w:rPr>
          <w:rFonts w:hint="cs"/>
          <w:sz w:val="26"/>
          <w:szCs w:val="26"/>
          <w:rtl/>
          <w:lang w:val="en-US" w:bidi="ar-EG"/>
        </w:rPr>
        <w:t xml:space="preserve"> -</w:t>
      </w:r>
      <w:r w:rsidR="00CF24C1">
        <w:rPr>
          <w:sz w:val="26"/>
          <w:szCs w:val="26"/>
          <w:rtl/>
          <w:lang w:val="en-US" w:bidi="ar-EG"/>
        </w:rPr>
        <w:tab/>
      </w:r>
      <w:r w:rsidR="00CF24C1">
        <w:rPr>
          <w:rFonts w:hint="cs"/>
          <w:sz w:val="26"/>
          <w:szCs w:val="26"/>
          <w:rtl/>
          <w:lang w:val="en-US" w:bidi="ar-EG"/>
        </w:rPr>
        <w:t xml:space="preserve">قد ترغب اللجنة التنفيذية </w:t>
      </w:r>
      <w:r w:rsidR="00E91BF1">
        <w:rPr>
          <w:rFonts w:hint="cs"/>
          <w:sz w:val="26"/>
          <w:szCs w:val="26"/>
          <w:rtl/>
          <w:lang w:val="en-US" w:bidi="ar-EG"/>
        </w:rPr>
        <w:t>في أن تنظر في أن</w:t>
      </w:r>
      <w:r w:rsidR="00CF24C1">
        <w:rPr>
          <w:rFonts w:hint="cs"/>
          <w:sz w:val="26"/>
          <w:szCs w:val="26"/>
          <w:rtl/>
          <w:lang w:val="en-US" w:bidi="ar-EG"/>
        </w:rPr>
        <w:t xml:space="preserve">: </w:t>
      </w:r>
    </w:p>
    <w:p w14:paraId="52FE6022" w14:textId="0156D179" w:rsidR="00CF24C1" w:rsidRDefault="00CF24C1" w:rsidP="00CF24C1">
      <w:pPr>
        <w:pStyle w:val="StyleHeader4Para4Left0Firstline0"/>
        <w:numPr>
          <w:ilvl w:val="0"/>
          <w:numId w:val="0"/>
        </w:numPr>
        <w:tabs>
          <w:tab w:val="clear" w:pos="2880"/>
          <w:tab w:val="clear" w:pos="5760"/>
          <w:tab w:val="left" w:pos="720"/>
        </w:tabs>
        <w:bidi/>
        <w:ind w:left="1324" w:hanging="1324"/>
        <w:rPr>
          <w:sz w:val="26"/>
          <w:szCs w:val="26"/>
          <w:rtl/>
          <w:lang w:val="en-US" w:bidi="ar-EG"/>
        </w:rPr>
      </w:pPr>
      <w:r w:rsidRPr="00CF24C1">
        <w:rPr>
          <w:sz w:val="26"/>
          <w:szCs w:val="26"/>
          <w:rtl/>
          <w:lang w:bidi="ar-EG"/>
        </w:rPr>
        <w:tab/>
      </w:r>
      <w:r w:rsidRPr="00CF24C1">
        <w:rPr>
          <w:rFonts w:hint="cs"/>
          <w:sz w:val="26"/>
          <w:szCs w:val="26"/>
          <w:rtl/>
          <w:lang w:bidi="ar-EG"/>
        </w:rPr>
        <w:t>(أ)</w:t>
      </w:r>
      <w:r w:rsidRPr="00CF24C1">
        <w:rPr>
          <w:sz w:val="26"/>
          <w:szCs w:val="26"/>
          <w:rtl/>
          <w:lang w:bidi="ar-EG"/>
        </w:rPr>
        <w:tab/>
      </w:r>
      <w:r>
        <w:rPr>
          <w:rFonts w:hint="cs"/>
          <w:sz w:val="26"/>
          <w:szCs w:val="26"/>
          <w:rtl/>
          <w:lang w:bidi="ar-EG"/>
        </w:rPr>
        <w:t xml:space="preserve">توافق من حيث المبدأ على المرحلة الثانية من خطة إدارة إزالة المواد الهيدروكلوروفلوروكربونية </w:t>
      </w:r>
      <w:r w:rsidR="002C25F0">
        <w:rPr>
          <w:rFonts w:hint="cs"/>
          <w:sz w:val="26"/>
          <w:szCs w:val="26"/>
          <w:rtl/>
          <w:lang w:bidi="ar-EG"/>
        </w:rPr>
        <w:t>لليسوتو</w:t>
      </w:r>
      <w:r>
        <w:rPr>
          <w:rFonts w:hint="cs"/>
          <w:sz w:val="26"/>
          <w:szCs w:val="26"/>
          <w:rtl/>
          <w:lang w:bidi="ar-EG"/>
        </w:rPr>
        <w:t xml:space="preserve"> للفترة من عام 2021 إلى عام 2030 للإزالة الكاملة لاستهلاك هذه المواد بمبلغ </w:t>
      </w:r>
      <w:r>
        <w:rPr>
          <w:sz w:val="26"/>
          <w:szCs w:val="26"/>
          <w:lang w:val="en-US" w:bidi="ar-EG"/>
        </w:rPr>
        <w:t>4</w:t>
      </w:r>
      <w:r w:rsidR="002C25F0">
        <w:rPr>
          <w:sz w:val="26"/>
          <w:szCs w:val="26"/>
          <w:lang w:val="en-US" w:bidi="ar-EG"/>
        </w:rPr>
        <w:t>70</w:t>
      </w:r>
      <w:r>
        <w:rPr>
          <w:sz w:val="26"/>
          <w:szCs w:val="26"/>
          <w:lang w:val="en-US" w:bidi="ar-EG"/>
        </w:rPr>
        <w:t>,</w:t>
      </w:r>
      <w:r w:rsidR="002C25F0">
        <w:rPr>
          <w:sz w:val="26"/>
          <w:szCs w:val="26"/>
          <w:lang w:val="en-US" w:bidi="ar-EG"/>
        </w:rPr>
        <w:t>00</w:t>
      </w:r>
      <w:r>
        <w:rPr>
          <w:sz w:val="26"/>
          <w:szCs w:val="26"/>
          <w:lang w:val="en-US" w:bidi="ar-EG"/>
        </w:rPr>
        <w:t>0</w:t>
      </w:r>
      <w:r>
        <w:rPr>
          <w:rFonts w:hint="cs"/>
          <w:sz w:val="26"/>
          <w:szCs w:val="26"/>
          <w:rtl/>
          <w:lang w:val="en-US" w:bidi="ar-EG"/>
        </w:rPr>
        <w:t xml:space="preserve"> دولار أمريكي زائد تكاليف دعم الوكالة البالغة </w:t>
      </w:r>
      <w:r>
        <w:rPr>
          <w:sz w:val="26"/>
          <w:szCs w:val="26"/>
          <w:lang w:val="en-US" w:bidi="ar-EG"/>
        </w:rPr>
        <w:t>6</w:t>
      </w:r>
      <w:r w:rsidR="002C25F0">
        <w:rPr>
          <w:sz w:val="26"/>
          <w:szCs w:val="26"/>
          <w:lang w:val="en-US" w:bidi="ar-EG"/>
        </w:rPr>
        <w:t>1</w:t>
      </w:r>
      <w:r>
        <w:rPr>
          <w:sz w:val="26"/>
          <w:szCs w:val="26"/>
          <w:lang w:val="en-US" w:bidi="ar-EG"/>
        </w:rPr>
        <w:t>,</w:t>
      </w:r>
      <w:r w:rsidR="002C25F0">
        <w:rPr>
          <w:sz w:val="26"/>
          <w:szCs w:val="26"/>
          <w:lang w:val="en-US" w:bidi="ar-EG"/>
        </w:rPr>
        <w:t>00</w:t>
      </w:r>
      <w:r>
        <w:rPr>
          <w:sz w:val="26"/>
          <w:szCs w:val="26"/>
          <w:lang w:val="en-US" w:bidi="ar-EG"/>
        </w:rPr>
        <w:t>0</w:t>
      </w:r>
      <w:r>
        <w:rPr>
          <w:rFonts w:hint="cs"/>
          <w:sz w:val="26"/>
          <w:szCs w:val="26"/>
          <w:rtl/>
          <w:lang w:val="en-US" w:bidi="ar-EG"/>
        </w:rPr>
        <w:t xml:space="preserve"> دولار أمريكي </w:t>
      </w:r>
      <w:r w:rsidR="002C25F0">
        <w:rPr>
          <w:rFonts w:hint="cs"/>
          <w:sz w:val="26"/>
          <w:szCs w:val="26"/>
          <w:rtl/>
          <w:lang w:val="en-US" w:bidi="ar-EG"/>
        </w:rPr>
        <w:t>لحكومة ألمانيا</w:t>
      </w:r>
      <w:r>
        <w:rPr>
          <w:rFonts w:hint="cs"/>
          <w:sz w:val="26"/>
          <w:szCs w:val="26"/>
          <w:rtl/>
          <w:lang w:val="en-US" w:bidi="ar-EG"/>
        </w:rPr>
        <w:t>، على أساس أن</w:t>
      </w:r>
      <w:r w:rsidR="002C25F0">
        <w:rPr>
          <w:rFonts w:hint="cs"/>
          <w:sz w:val="26"/>
          <w:szCs w:val="26"/>
          <w:rtl/>
          <w:lang w:val="en-US" w:bidi="ar-EG"/>
        </w:rPr>
        <w:t>ه لن يتم توفير أي تمويل</w:t>
      </w:r>
      <w:r>
        <w:rPr>
          <w:rFonts w:hint="cs"/>
          <w:sz w:val="26"/>
          <w:szCs w:val="26"/>
          <w:rtl/>
          <w:lang w:val="en-US" w:bidi="ar-EG"/>
        </w:rPr>
        <w:t xml:space="preserve"> إضافي لإزالة المواد الهيدروكلوروفلوروكربونية؛</w:t>
      </w:r>
    </w:p>
    <w:p w14:paraId="1ACEDFE1" w14:textId="27F342EE" w:rsidR="00CF24C1" w:rsidRDefault="00CF24C1" w:rsidP="00CF24C1">
      <w:pPr>
        <w:pStyle w:val="StyleHeader4Para4Left0Firstline0"/>
        <w:numPr>
          <w:ilvl w:val="0"/>
          <w:numId w:val="0"/>
        </w:numPr>
        <w:tabs>
          <w:tab w:val="clear" w:pos="2880"/>
          <w:tab w:val="clear" w:pos="5760"/>
          <w:tab w:val="left" w:pos="720"/>
        </w:tabs>
        <w:bidi/>
        <w:ind w:left="1324" w:hanging="1324"/>
        <w:rPr>
          <w:sz w:val="26"/>
          <w:szCs w:val="26"/>
          <w:rtl/>
          <w:lang w:val="en-US" w:bidi="ar-EG"/>
        </w:rPr>
      </w:pPr>
      <w:r>
        <w:rPr>
          <w:sz w:val="26"/>
          <w:szCs w:val="26"/>
          <w:rtl/>
          <w:lang w:val="en-US" w:bidi="ar-EG"/>
        </w:rPr>
        <w:tab/>
      </w:r>
      <w:r>
        <w:rPr>
          <w:rFonts w:hint="cs"/>
          <w:sz w:val="26"/>
          <w:szCs w:val="26"/>
          <w:rtl/>
          <w:lang w:val="en-US" w:bidi="ar-EG"/>
        </w:rPr>
        <w:t>(ب)</w:t>
      </w:r>
      <w:r>
        <w:rPr>
          <w:sz w:val="26"/>
          <w:szCs w:val="26"/>
          <w:rtl/>
          <w:lang w:val="en-US" w:bidi="ar-EG"/>
        </w:rPr>
        <w:tab/>
      </w:r>
      <w:r w:rsidR="002C25F0">
        <w:rPr>
          <w:rFonts w:hint="cs"/>
          <w:sz w:val="26"/>
          <w:szCs w:val="26"/>
          <w:rtl/>
          <w:lang w:val="en-US" w:bidi="ar-EG"/>
        </w:rPr>
        <w:t>تأخذ علما بالتزام حكومة ليسوتو بما يلي</w:t>
      </w:r>
      <w:r>
        <w:rPr>
          <w:rFonts w:hint="cs"/>
          <w:sz w:val="26"/>
          <w:szCs w:val="26"/>
          <w:rtl/>
          <w:lang w:val="en-US" w:bidi="ar-EG"/>
        </w:rPr>
        <w:t>:</w:t>
      </w:r>
    </w:p>
    <w:p w14:paraId="312DC3EA" w14:textId="501A390A" w:rsidR="00CF24C1" w:rsidRDefault="00CF24C1" w:rsidP="00CF24C1">
      <w:pPr>
        <w:pStyle w:val="StyleHeader4Para4Left0Firstline0"/>
        <w:numPr>
          <w:ilvl w:val="0"/>
          <w:numId w:val="0"/>
        </w:numPr>
        <w:tabs>
          <w:tab w:val="clear" w:pos="2880"/>
          <w:tab w:val="clear" w:pos="5760"/>
          <w:tab w:val="left" w:pos="1350"/>
        </w:tabs>
        <w:bidi/>
        <w:ind w:left="1980" w:hanging="2340"/>
        <w:rPr>
          <w:sz w:val="26"/>
          <w:szCs w:val="26"/>
          <w:rtl/>
          <w:lang w:val="en-US" w:bidi="ar-EG"/>
        </w:rPr>
      </w:pPr>
      <w:r>
        <w:rPr>
          <w:sz w:val="26"/>
          <w:szCs w:val="26"/>
          <w:rtl/>
          <w:lang w:val="en-US" w:bidi="ar-EG"/>
        </w:rPr>
        <w:tab/>
      </w:r>
      <w:r>
        <w:rPr>
          <w:rFonts w:hint="cs"/>
          <w:sz w:val="26"/>
          <w:szCs w:val="26"/>
          <w:rtl/>
          <w:lang w:val="en-US" w:bidi="ar-EG"/>
        </w:rPr>
        <w:t>(1)</w:t>
      </w:r>
      <w:r>
        <w:rPr>
          <w:sz w:val="26"/>
          <w:szCs w:val="26"/>
          <w:rtl/>
          <w:lang w:val="en-US" w:bidi="ar-EG"/>
        </w:rPr>
        <w:tab/>
      </w:r>
      <w:r w:rsidR="002C25F0">
        <w:rPr>
          <w:rFonts w:hint="cs"/>
          <w:sz w:val="26"/>
          <w:szCs w:val="26"/>
          <w:rtl/>
          <w:lang w:val="en-US" w:bidi="ar-EG"/>
        </w:rPr>
        <w:t xml:space="preserve">تحقيق </w:t>
      </w:r>
      <w:r>
        <w:rPr>
          <w:rFonts w:hint="cs"/>
          <w:sz w:val="26"/>
          <w:szCs w:val="26"/>
          <w:rtl/>
          <w:lang w:val="en-US" w:bidi="ar-EG"/>
        </w:rPr>
        <w:t xml:space="preserve">خفض </w:t>
      </w:r>
      <w:r w:rsidR="002C25F0">
        <w:rPr>
          <w:rFonts w:hint="cs"/>
          <w:sz w:val="26"/>
          <w:szCs w:val="26"/>
          <w:rtl/>
          <w:lang w:val="en-US" w:bidi="ar-EG"/>
        </w:rPr>
        <w:t>71 في المائة من خط الأساس لاستهلاك المواد الهيدروكلوروفلوروكربونية بحلول عام 2021، و 86 في المائة بحلول عام 2025 والإزالة الكاملة لهذه المواد بحلول أول كانون الثاني/يناير 2030، وأن تصرح فقط باستيراد المواد الهيدروكلوروفلوروكربونية لفترة خدمة ما بين عامي 2030 و 2040، حسب الاقتضاء، مما يتسق وأحكام بروتوكول مونتريال؛</w:t>
      </w:r>
    </w:p>
    <w:p w14:paraId="54FA4203" w14:textId="524E7E56" w:rsidR="00CF24C1" w:rsidRDefault="00CF24C1" w:rsidP="00CF24C1">
      <w:pPr>
        <w:pStyle w:val="StyleHeader4Para4Left0Firstline0"/>
        <w:numPr>
          <w:ilvl w:val="0"/>
          <w:numId w:val="0"/>
        </w:numPr>
        <w:tabs>
          <w:tab w:val="clear" w:pos="2880"/>
          <w:tab w:val="clear" w:pos="5760"/>
          <w:tab w:val="left" w:pos="1350"/>
        </w:tabs>
        <w:bidi/>
        <w:ind w:left="1980" w:hanging="2340"/>
        <w:rPr>
          <w:sz w:val="26"/>
          <w:szCs w:val="26"/>
          <w:rtl/>
          <w:lang w:val="en-US" w:bidi="ar-EG"/>
        </w:rPr>
      </w:pPr>
      <w:r>
        <w:rPr>
          <w:sz w:val="26"/>
          <w:szCs w:val="26"/>
          <w:rtl/>
          <w:lang w:val="en-US" w:bidi="ar-EG"/>
        </w:rPr>
        <w:tab/>
      </w:r>
      <w:r>
        <w:rPr>
          <w:rFonts w:hint="cs"/>
          <w:sz w:val="26"/>
          <w:szCs w:val="26"/>
          <w:rtl/>
          <w:lang w:val="en-US" w:bidi="ar-EG"/>
        </w:rPr>
        <w:t>(2)</w:t>
      </w:r>
      <w:r>
        <w:rPr>
          <w:sz w:val="26"/>
          <w:szCs w:val="26"/>
          <w:rtl/>
          <w:lang w:val="en-US" w:bidi="ar-EG"/>
        </w:rPr>
        <w:tab/>
      </w:r>
      <w:r w:rsidR="002C25F0">
        <w:rPr>
          <w:rFonts w:hint="cs"/>
          <w:sz w:val="26"/>
          <w:szCs w:val="26"/>
          <w:rtl/>
          <w:lang w:val="en-US" w:bidi="ar-EG"/>
        </w:rPr>
        <w:t>اعتماد معايير أمن لغازات التبريد القابلة للاشتعال بحلول 31 كانون الأول/ديسمبر 2022؛</w:t>
      </w:r>
    </w:p>
    <w:p w14:paraId="28518A0D" w14:textId="602A20A6" w:rsidR="002C25F0" w:rsidRDefault="002C25F0" w:rsidP="002C25F0">
      <w:pPr>
        <w:pStyle w:val="StyleHeader4Para4Left0Firstline0"/>
        <w:numPr>
          <w:ilvl w:val="0"/>
          <w:numId w:val="0"/>
        </w:numPr>
        <w:tabs>
          <w:tab w:val="clear" w:pos="2880"/>
          <w:tab w:val="clear" w:pos="5760"/>
          <w:tab w:val="left" w:pos="1350"/>
        </w:tabs>
        <w:bidi/>
        <w:ind w:left="1980" w:hanging="2340"/>
        <w:rPr>
          <w:sz w:val="26"/>
          <w:szCs w:val="26"/>
          <w:rtl/>
          <w:lang w:val="en-US" w:bidi="ar-EG"/>
        </w:rPr>
      </w:pPr>
      <w:r>
        <w:rPr>
          <w:sz w:val="26"/>
          <w:szCs w:val="26"/>
          <w:rtl/>
          <w:lang w:val="en-US" w:bidi="ar-EG"/>
        </w:rPr>
        <w:tab/>
      </w:r>
      <w:r>
        <w:rPr>
          <w:rFonts w:hint="cs"/>
          <w:sz w:val="26"/>
          <w:szCs w:val="26"/>
          <w:rtl/>
          <w:lang w:val="en-US" w:bidi="ar-EG"/>
        </w:rPr>
        <w:t>(3)</w:t>
      </w:r>
      <w:r>
        <w:rPr>
          <w:sz w:val="26"/>
          <w:szCs w:val="26"/>
          <w:rtl/>
          <w:lang w:val="en-US" w:bidi="ar-EG"/>
        </w:rPr>
        <w:tab/>
      </w:r>
      <w:r>
        <w:rPr>
          <w:rFonts w:hint="cs"/>
          <w:sz w:val="26"/>
          <w:szCs w:val="26"/>
          <w:rtl/>
          <w:lang w:val="en-US" w:bidi="ar-EG"/>
        </w:rPr>
        <w:t>إقامة نظام اعتماد إلزامي للفنيين بحلول 31 كانون الأول/ديسمبر 2023.</w:t>
      </w:r>
    </w:p>
    <w:p w14:paraId="28F69947" w14:textId="6007F059" w:rsidR="00CF24C1" w:rsidRDefault="00CF24C1" w:rsidP="00CF24C1">
      <w:pPr>
        <w:pStyle w:val="StyleHeader4Para4Left0Firstline0"/>
        <w:numPr>
          <w:ilvl w:val="0"/>
          <w:numId w:val="0"/>
        </w:numPr>
        <w:tabs>
          <w:tab w:val="clear" w:pos="2880"/>
          <w:tab w:val="clear" w:pos="5760"/>
          <w:tab w:val="left" w:pos="720"/>
        </w:tabs>
        <w:bidi/>
        <w:ind w:left="1324" w:hanging="1324"/>
        <w:rPr>
          <w:sz w:val="26"/>
          <w:szCs w:val="26"/>
          <w:rtl/>
          <w:lang w:val="en-US" w:bidi="ar-EG"/>
        </w:rPr>
      </w:pPr>
      <w:r>
        <w:rPr>
          <w:sz w:val="26"/>
          <w:szCs w:val="26"/>
          <w:rtl/>
          <w:lang w:val="en-US" w:bidi="ar-EG"/>
        </w:rPr>
        <w:tab/>
      </w:r>
      <w:r>
        <w:rPr>
          <w:rFonts w:hint="cs"/>
          <w:sz w:val="26"/>
          <w:szCs w:val="26"/>
          <w:rtl/>
          <w:lang w:val="en-US" w:bidi="ar-EG"/>
        </w:rPr>
        <w:t>(ج)</w:t>
      </w:r>
      <w:r>
        <w:rPr>
          <w:sz w:val="26"/>
          <w:szCs w:val="26"/>
          <w:rtl/>
          <w:lang w:val="en-US" w:bidi="ar-EG"/>
        </w:rPr>
        <w:tab/>
      </w:r>
      <w:r>
        <w:rPr>
          <w:rFonts w:hint="cs"/>
          <w:sz w:val="26"/>
          <w:szCs w:val="26"/>
          <w:rtl/>
          <w:lang w:val="en-US" w:bidi="ar-EG"/>
        </w:rPr>
        <w:t xml:space="preserve">خصم </w:t>
      </w:r>
      <w:r w:rsidR="002C25F0">
        <w:rPr>
          <w:sz w:val="26"/>
          <w:szCs w:val="26"/>
          <w:lang w:val="en-US" w:bidi="ar-EG"/>
        </w:rPr>
        <w:t>1.00</w:t>
      </w:r>
      <w:r>
        <w:rPr>
          <w:rFonts w:hint="cs"/>
          <w:sz w:val="26"/>
          <w:szCs w:val="26"/>
          <w:rtl/>
          <w:lang w:val="en-US" w:bidi="ar-EG"/>
        </w:rPr>
        <w:t xml:space="preserve"> طن من قدرات استنفاد الأوزون من المواد الهيدروكلوروفلوروكربونية من الاستهلاك المتبقي المؤهل للتمويل؛</w:t>
      </w:r>
    </w:p>
    <w:p w14:paraId="5CB4B076" w14:textId="605D15D7" w:rsidR="00CF24C1" w:rsidRDefault="00CF24C1" w:rsidP="00CF24C1">
      <w:pPr>
        <w:pStyle w:val="StyleHeader4Para4Left0Firstline0"/>
        <w:numPr>
          <w:ilvl w:val="0"/>
          <w:numId w:val="0"/>
        </w:numPr>
        <w:tabs>
          <w:tab w:val="clear" w:pos="2880"/>
          <w:tab w:val="clear" w:pos="5760"/>
          <w:tab w:val="left" w:pos="720"/>
        </w:tabs>
        <w:bidi/>
        <w:ind w:left="1324" w:hanging="1324"/>
        <w:rPr>
          <w:sz w:val="26"/>
          <w:szCs w:val="26"/>
          <w:rtl/>
          <w:lang w:val="en-US" w:bidi="ar-EG"/>
        </w:rPr>
      </w:pPr>
      <w:r>
        <w:rPr>
          <w:sz w:val="26"/>
          <w:szCs w:val="26"/>
          <w:rtl/>
          <w:lang w:val="en-US" w:bidi="ar-EG"/>
        </w:rPr>
        <w:tab/>
      </w:r>
      <w:r>
        <w:rPr>
          <w:rFonts w:hint="cs"/>
          <w:sz w:val="26"/>
          <w:szCs w:val="26"/>
          <w:rtl/>
          <w:lang w:val="en-US" w:bidi="ar-EG"/>
        </w:rPr>
        <w:t>(د)</w:t>
      </w:r>
      <w:r>
        <w:rPr>
          <w:sz w:val="26"/>
          <w:szCs w:val="26"/>
          <w:rtl/>
          <w:lang w:val="en-US" w:bidi="ar-EG"/>
        </w:rPr>
        <w:tab/>
      </w:r>
      <w:r w:rsidR="002C25F0">
        <w:rPr>
          <w:rFonts w:hint="cs"/>
          <w:sz w:val="26"/>
          <w:szCs w:val="26"/>
          <w:rtl/>
          <w:lang w:val="en-US" w:bidi="ar-EG"/>
        </w:rPr>
        <w:t xml:space="preserve">الموافقة على مشروع </w:t>
      </w:r>
      <w:r>
        <w:rPr>
          <w:rFonts w:hint="cs"/>
          <w:sz w:val="26"/>
          <w:szCs w:val="26"/>
          <w:rtl/>
          <w:lang w:val="en-US" w:bidi="ar-EG"/>
        </w:rPr>
        <w:t xml:space="preserve">الاتفاق بين حكومة </w:t>
      </w:r>
      <w:r w:rsidR="002C25F0">
        <w:rPr>
          <w:rFonts w:hint="cs"/>
          <w:sz w:val="26"/>
          <w:szCs w:val="26"/>
          <w:rtl/>
          <w:lang w:val="en-US" w:bidi="ar-EG"/>
        </w:rPr>
        <w:t>ليسوتو</w:t>
      </w:r>
      <w:r>
        <w:rPr>
          <w:rFonts w:hint="cs"/>
          <w:sz w:val="26"/>
          <w:szCs w:val="26"/>
          <w:rtl/>
          <w:lang w:val="en-US" w:bidi="ar-EG"/>
        </w:rPr>
        <w:t xml:space="preserve"> واللجنة التنفيذية لخفض استهلاك المواد الهيدروكلوروفلوروكربونية وفقا للمرحلة الثانية من الخطة والوارد في المرفق الأول من هذه الوثيقة؛</w:t>
      </w:r>
    </w:p>
    <w:p w14:paraId="0F2B46E5" w14:textId="785DBAC1" w:rsidR="00CF24C1" w:rsidRDefault="00CF24C1" w:rsidP="00CF24C1">
      <w:pPr>
        <w:pStyle w:val="StyleHeader4Para4Left0Firstline0"/>
        <w:numPr>
          <w:ilvl w:val="0"/>
          <w:numId w:val="0"/>
        </w:numPr>
        <w:tabs>
          <w:tab w:val="clear" w:pos="2880"/>
          <w:tab w:val="clear" w:pos="5760"/>
          <w:tab w:val="left" w:pos="720"/>
        </w:tabs>
        <w:bidi/>
        <w:ind w:left="1324" w:hanging="1324"/>
        <w:rPr>
          <w:sz w:val="26"/>
          <w:szCs w:val="26"/>
          <w:rtl/>
          <w:lang w:val="en-US" w:bidi="ar-EG"/>
        </w:rPr>
      </w:pPr>
      <w:r>
        <w:rPr>
          <w:sz w:val="26"/>
          <w:szCs w:val="26"/>
          <w:rtl/>
          <w:lang w:val="en-US" w:bidi="ar-EG"/>
        </w:rPr>
        <w:tab/>
      </w:r>
      <w:r>
        <w:rPr>
          <w:rFonts w:hint="cs"/>
          <w:sz w:val="26"/>
          <w:szCs w:val="26"/>
          <w:rtl/>
          <w:lang w:val="en-US" w:bidi="ar-EG"/>
        </w:rPr>
        <w:t>(هـ)</w:t>
      </w:r>
      <w:r>
        <w:rPr>
          <w:sz w:val="26"/>
          <w:szCs w:val="26"/>
          <w:rtl/>
          <w:lang w:val="en-US" w:bidi="ar-EG"/>
        </w:rPr>
        <w:tab/>
      </w:r>
      <w:r w:rsidR="002C25F0">
        <w:rPr>
          <w:rFonts w:hint="cs"/>
          <w:sz w:val="26"/>
          <w:szCs w:val="26"/>
          <w:rtl/>
          <w:lang w:val="en-US" w:bidi="ar-EG"/>
        </w:rPr>
        <w:t xml:space="preserve">لكي يتم السماح </w:t>
      </w:r>
      <w:r>
        <w:rPr>
          <w:rFonts w:hint="cs"/>
          <w:sz w:val="26"/>
          <w:szCs w:val="26"/>
          <w:rtl/>
          <w:lang w:val="en-US" w:bidi="ar-EG"/>
        </w:rPr>
        <w:t xml:space="preserve">بدراسة الشريحة الأخيرة من خطة إدارة إزالة المواد الهيدروكلوروفلوروكربونية على حكومة </w:t>
      </w:r>
      <w:r w:rsidR="002C25F0">
        <w:rPr>
          <w:rFonts w:hint="cs"/>
          <w:sz w:val="26"/>
          <w:szCs w:val="26"/>
          <w:rtl/>
          <w:lang w:val="en-US" w:bidi="ar-EG"/>
        </w:rPr>
        <w:t>ليسوتو</w:t>
      </w:r>
      <w:r>
        <w:rPr>
          <w:rFonts w:hint="cs"/>
          <w:sz w:val="26"/>
          <w:szCs w:val="26"/>
          <w:rtl/>
          <w:lang w:val="en-US" w:bidi="ar-EG"/>
        </w:rPr>
        <w:t xml:space="preserve"> أن تقدم ما يلي:</w:t>
      </w:r>
    </w:p>
    <w:p w14:paraId="70782F58" w14:textId="10078EF7" w:rsidR="00D11021" w:rsidRDefault="00CF24C1" w:rsidP="00CF24C1">
      <w:pPr>
        <w:pStyle w:val="StyleHeader4Para4Left0Firstline0"/>
        <w:numPr>
          <w:ilvl w:val="0"/>
          <w:numId w:val="0"/>
        </w:numPr>
        <w:tabs>
          <w:tab w:val="clear" w:pos="2880"/>
          <w:tab w:val="clear" w:pos="5760"/>
          <w:tab w:val="left" w:pos="1350"/>
        </w:tabs>
        <w:bidi/>
        <w:ind w:left="1980" w:hanging="2340"/>
        <w:rPr>
          <w:sz w:val="26"/>
          <w:szCs w:val="26"/>
          <w:rtl/>
          <w:lang w:val="en-US" w:bidi="ar-EG"/>
        </w:rPr>
      </w:pPr>
      <w:r>
        <w:rPr>
          <w:sz w:val="26"/>
          <w:szCs w:val="26"/>
          <w:rtl/>
          <w:lang w:val="en-US" w:bidi="ar-EG"/>
        </w:rPr>
        <w:tab/>
      </w:r>
      <w:r>
        <w:rPr>
          <w:rFonts w:hint="cs"/>
          <w:sz w:val="26"/>
          <w:szCs w:val="26"/>
          <w:rtl/>
          <w:lang w:val="en-US" w:bidi="ar-EG"/>
        </w:rPr>
        <w:t>(1)</w:t>
      </w:r>
      <w:r>
        <w:rPr>
          <w:sz w:val="26"/>
          <w:szCs w:val="26"/>
          <w:rtl/>
          <w:lang w:val="en-US" w:bidi="ar-EG"/>
        </w:rPr>
        <w:tab/>
      </w:r>
      <w:r>
        <w:rPr>
          <w:rFonts w:hint="cs"/>
          <w:sz w:val="26"/>
          <w:szCs w:val="26"/>
          <w:rtl/>
          <w:lang w:val="en-US" w:bidi="ar-EG"/>
        </w:rPr>
        <w:t xml:space="preserve">وصفا تفصيليا للإطار التنظيمي </w:t>
      </w:r>
      <w:r w:rsidR="002C25F0">
        <w:rPr>
          <w:rFonts w:hint="cs"/>
          <w:sz w:val="26"/>
          <w:szCs w:val="26"/>
          <w:rtl/>
          <w:lang w:val="en-US" w:bidi="ar-EG"/>
        </w:rPr>
        <w:t xml:space="preserve">والخاص بالسياسة القائم لتنفيذ تدابير تهدف لضمان </w:t>
      </w:r>
      <w:r>
        <w:rPr>
          <w:rFonts w:hint="cs"/>
          <w:sz w:val="26"/>
          <w:szCs w:val="26"/>
          <w:rtl/>
          <w:lang w:val="en-US" w:bidi="ar-EG"/>
        </w:rPr>
        <w:t>أن استهلاك المواد الهيدروكلوروفلوروكربونية يكون في حالة امتثال بالفقرة 8 ثالثا (هـ) (ط) من المادة 5 من بروتوكول مونتريال للفترة 2030-2040؛</w:t>
      </w:r>
      <w:r w:rsidR="00074A8D">
        <w:rPr>
          <w:rFonts w:hint="cs"/>
          <w:sz w:val="26"/>
          <w:szCs w:val="26"/>
          <w:rtl/>
          <w:lang w:val="en-US" w:bidi="ar-EG"/>
        </w:rPr>
        <w:t xml:space="preserve"> </w:t>
      </w:r>
    </w:p>
    <w:p w14:paraId="0D045766" w14:textId="77777777" w:rsidR="00D11021" w:rsidRDefault="00D11021">
      <w:pPr>
        <w:jc w:val="left"/>
        <w:rPr>
          <w:sz w:val="26"/>
          <w:szCs w:val="26"/>
          <w:rtl/>
          <w:lang w:val="en-US" w:bidi="ar-EG"/>
        </w:rPr>
      </w:pPr>
      <w:r>
        <w:rPr>
          <w:sz w:val="26"/>
          <w:szCs w:val="26"/>
          <w:rtl/>
          <w:lang w:val="en-US" w:bidi="ar-EG"/>
        </w:rPr>
        <w:br w:type="page"/>
      </w:r>
    </w:p>
    <w:p w14:paraId="46ADAE61" w14:textId="77777777" w:rsidR="00CF24C1" w:rsidRDefault="00CF24C1" w:rsidP="00CF24C1">
      <w:pPr>
        <w:pStyle w:val="StyleHeader4Para4Left0Firstline0"/>
        <w:numPr>
          <w:ilvl w:val="0"/>
          <w:numId w:val="0"/>
        </w:numPr>
        <w:tabs>
          <w:tab w:val="clear" w:pos="2880"/>
          <w:tab w:val="clear" w:pos="5760"/>
          <w:tab w:val="left" w:pos="1350"/>
        </w:tabs>
        <w:bidi/>
        <w:ind w:left="1980" w:hanging="2340"/>
        <w:rPr>
          <w:sz w:val="26"/>
          <w:szCs w:val="26"/>
          <w:rtl/>
          <w:lang w:val="en-US" w:bidi="ar-EG"/>
        </w:rPr>
      </w:pPr>
    </w:p>
    <w:p w14:paraId="1C941771" w14:textId="23962D4A" w:rsidR="00E91BF1" w:rsidRDefault="00E91BF1" w:rsidP="00E91BF1">
      <w:pPr>
        <w:pStyle w:val="StyleHeader4Para4Left0Firstline0"/>
        <w:numPr>
          <w:ilvl w:val="0"/>
          <w:numId w:val="0"/>
        </w:numPr>
        <w:tabs>
          <w:tab w:val="clear" w:pos="2880"/>
          <w:tab w:val="clear" w:pos="5760"/>
          <w:tab w:val="left" w:pos="1350"/>
        </w:tabs>
        <w:bidi/>
        <w:ind w:left="1980" w:hanging="2340"/>
        <w:rPr>
          <w:sz w:val="26"/>
          <w:szCs w:val="26"/>
          <w:rtl/>
          <w:lang w:val="en-US" w:bidi="ar-EG"/>
        </w:rPr>
      </w:pPr>
      <w:r>
        <w:rPr>
          <w:sz w:val="26"/>
          <w:szCs w:val="26"/>
          <w:rtl/>
          <w:lang w:val="en-US" w:bidi="ar-EG"/>
        </w:rPr>
        <w:tab/>
      </w:r>
      <w:r>
        <w:rPr>
          <w:rFonts w:hint="cs"/>
          <w:sz w:val="26"/>
          <w:szCs w:val="26"/>
          <w:rtl/>
          <w:lang w:val="en-US" w:bidi="ar-EG"/>
        </w:rPr>
        <w:t>(2)</w:t>
      </w:r>
      <w:r>
        <w:rPr>
          <w:sz w:val="26"/>
          <w:szCs w:val="26"/>
          <w:rtl/>
          <w:lang w:val="en-US" w:bidi="ar-EG"/>
        </w:rPr>
        <w:tab/>
      </w:r>
      <w:r>
        <w:rPr>
          <w:rFonts w:hint="cs"/>
          <w:sz w:val="26"/>
          <w:szCs w:val="26"/>
          <w:rtl/>
          <w:lang w:val="en-US" w:bidi="ar-EG"/>
        </w:rPr>
        <w:t>الاستهلاك السنوي المتوقع للمواد الهيدروكلوروفلوروكربونية في ليسوتو للفترة 2030-2040؛ و</w:t>
      </w:r>
    </w:p>
    <w:p w14:paraId="56B29C30" w14:textId="015BBE25" w:rsidR="00CF24C1" w:rsidRDefault="00CF24C1" w:rsidP="00CF24C1">
      <w:pPr>
        <w:pStyle w:val="StyleHeader4Para4Left0Firstline0"/>
        <w:numPr>
          <w:ilvl w:val="0"/>
          <w:numId w:val="0"/>
        </w:numPr>
        <w:tabs>
          <w:tab w:val="clear" w:pos="2880"/>
          <w:tab w:val="clear" w:pos="5760"/>
          <w:tab w:val="left" w:pos="720"/>
        </w:tabs>
        <w:bidi/>
        <w:ind w:left="1324" w:hanging="1324"/>
        <w:rPr>
          <w:sz w:val="26"/>
          <w:szCs w:val="26"/>
          <w:lang w:val="en-US" w:bidi="ar-EG"/>
        </w:rPr>
      </w:pPr>
      <w:r>
        <w:rPr>
          <w:sz w:val="26"/>
          <w:szCs w:val="26"/>
          <w:rtl/>
          <w:lang w:val="en-US" w:bidi="ar-EG"/>
        </w:rPr>
        <w:tab/>
      </w:r>
      <w:r>
        <w:rPr>
          <w:rFonts w:hint="cs"/>
          <w:sz w:val="26"/>
          <w:szCs w:val="26"/>
          <w:rtl/>
          <w:lang w:val="en-US" w:bidi="ar-EG"/>
        </w:rPr>
        <w:t>(و)</w:t>
      </w:r>
      <w:r>
        <w:rPr>
          <w:sz w:val="26"/>
          <w:szCs w:val="26"/>
          <w:rtl/>
          <w:lang w:val="en-US" w:bidi="ar-EG"/>
        </w:rPr>
        <w:tab/>
      </w:r>
      <w:r>
        <w:rPr>
          <w:rFonts w:hint="cs"/>
          <w:sz w:val="26"/>
          <w:szCs w:val="26"/>
          <w:rtl/>
          <w:lang w:val="en-US" w:bidi="ar-EG"/>
        </w:rPr>
        <w:t xml:space="preserve">الموافقة على الشريحة الأولى من المرحلة الثانية من خطة إدارة إزالة المواد الهيدروكلوروفلوروكربونية </w:t>
      </w:r>
      <w:r w:rsidR="00074A8D">
        <w:rPr>
          <w:rFonts w:hint="cs"/>
          <w:sz w:val="26"/>
          <w:szCs w:val="26"/>
          <w:rtl/>
          <w:lang w:val="en-US" w:bidi="ar-EG"/>
        </w:rPr>
        <w:t>لليسوتو،</w:t>
      </w:r>
      <w:r>
        <w:rPr>
          <w:rFonts w:hint="cs"/>
          <w:sz w:val="26"/>
          <w:szCs w:val="26"/>
          <w:rtl/>
          <w:lang w:val="en-US" w:bidi="ar-EG"/>
        </w:rPr>
        <w:t xml:space="preserve"> وخط</w:t>
      </w:r>
      <w:r w:rsidR="00074A8D">
        <w:rPr>
          <w:rFonts w:hint="cs"/>
          <w:sz w:val="26"/>
          <w:szCs w:val="26"/>
          <w:rtl/>
          <w:lang w:val="en-US" w:bidi="ar-EG"/>
        </w:rPr>
        <w:t>ة</w:t>
      </w:r>
      <w:r>
        <w:rPr>
          <w:rFonts w:hint="cs"/>
          <w:sz w:val="26"/>
          <w:szCs w:val="26"/>
          <w:rtl/>
          <w:lang w:val="en-US" w:bidi="ar-EG"/>
        </w:rPr>
        <w:t xml:space="preserve"> تنفيذ الشريحة المقابلة </w:t>
      </w:r>
      <w:r w:rsidR="00074A8D">
        <w:rPr>
          <w:rFonts w:hint="cs"/>
          <w:sz w:val="26"/>
          <w:szCs w:val="26"/>
          <w:rtl/>
          <w:lang w:val="en-US" w:bidi="ar-EG"/>
        </w:rPr>
        <w:t xml:space="preserve">لها، </w:t>
      </w:r>
      <w:r>
        <w:rPr>
          <w:rFonts w:hint="cs"/>
          <w:sz w:val="26"/>
          <w:szCs w:val="26"/>
          <w:rtl/>
          <w:lang w:val="en-US" w:bidi="ar-EG"/>
        </w:rPr>
        <w:t xml:space="preserve">بمبلغ </w:t>
      </w:r>
      <w:r w:rsidR="00074A8D">
        <w:rPr>
          <w:sz w:val="26"/>
          <w:szCs w:val="26"/>
          <w:lang w:val="en-US" w:bidi="ar-EG"/>
        </w:rPr>
        <w:t>1</w:t>
      </w:r>
      <w:r w:rsidR="00E91BF1">
        <w:rPr>
          <w:sz w:val="26"/>
          <w:szCs w:val="26"/>
          <w:lang w:val="en-US" w:bidi="ar-EG"/>
        </w:rPr>
        <w:t>68</w:t>
      </w:r>
      <w:r w:rsidR="00074A8D">
        <w:rPr>
          <w:sz w:val="26"/>
          <w:szCs w:val="26"/>
          <w:lang w:val="en-US" w:bidi="ar-EG"/>
        </w:rPr>
        <w:t>,900</w:t>
      </w:r>
      <w:r>
        <w:rPr>
          <w:rFonts w:hint="cs"/>
          <w:sz w:val="26"/>
          <w:szCs w:val="26"/>
          <w:rtl/>
          <w:lang w:val="en-US" w:bidi="ar-EG"/>
        </w:rPr>
        <w:t xml:space="preserve"> دولار أمريكي زائد تكاليف دعم الوكالة البالغة </w:t>
      </w:r>
      <w:r w:rsidR="00074A8D">
        <w:rPr>
          <w:sz w:val="26"/>
          <w:szCs w:val="26"/>
          <w:lang w:val="en-US" w:bidi="ar-EG"/>
        </w:rPr>
        <w:t>21,957</w:t>
      </w:r>
      <w:r>
        <w:rPr>
          <w:rFonts w:hint="cs"/>
          <w:sz w:val="26"/>
          <w:szCs w:val="26"/>
          <w:rtl/>
          <w:lang w:val="en-US" w:bidi="ar-EG"/>
        </w:rPr>
        <w:t xml:space="preserve"> دولار أمريكي </w:t>
      </w:r>
      <w:r w:rsidR="00074A8D">
        <w:rPr>
          <w:rFonts w:hint="cs"/>
          <w:sz w:val="26"/>
          <w:szCs w:val="26"/>
          <w:rtl/>
          <w:lang w:val="en-US" w:bidi="ar-EG"/>
        </w:rPr>
        <w:t>لحكومة ألمانيا</w:t>
      </w:r>
      <w:r>
        <w:rPr>
          <w:rFonts w:hint="cs"/>
          <w:sz w:val="26"/>
          <w:szCs w:val="26"/>
          <w:rtl/>
          <w:lang w:val="en-US" w:bidi="ar-EG"/>
        </w:rPr>
        <w:t>.</w:t>
      </w:r>
    </w:p>
    <w:p w14:paraId="1E324D38" w14:textId="77777777" w:rsidR="00BD596A" w:rsidRDefault="00BD596A" w:rsidP="00BD596A">
      <w:pPr>
        <w:pStyle w:val="StyleHeader4Para4Left0Firstline0"/>
        <w:numPr>
          <w:ilvl w:val="0"/>
          <w:numId w:val="0"/>
        </w:numPr>
        <w:tabs>
          <w:tab w:val="clear" w:pos="2880"/>
          <w:tab w:val="clear" w:pos="5760"/>
          <w:tab w:val="left" w:pos="720"/>
        </w:tabs>
        <w:bidi/>
        <w:ind w:left="1324" w:hanging="1324"/>
        <w:rPr>
          <w:sz w:val="26"/>
          <w:szCs w:val="26"/>
          <w:rtl/>
          <w:lang w:val="en-US" w:bidi="ar-EG"/>
        </w:rPr>
        <w:sectPr w:rsidR="00BD596A">
          <w:headerReference w:type="even" r:id="rId10"/>
          <w:headerReference w:type="default" r:id="rId11"/>
          <w:footerReference w:type="even" r:id="rId12"/>
          <w:footerReference w:type="default" r:id="rId13"/>
          <w:footerReference w:type="first" r:id="rId14"/>
          <w:pgSz w:w="12240" w:h="15840" w:code="1"/>
          <w:pgMar w:top="850" w:right="1440" w:bottom="1440" w:left="1440" w:header="720" w:footer="706" w:gutter="0"/>
          <w:cols w:space="720"/>
          <w:titlePg/>
        </w:sectPr>
      </w:pPr>
    </w:p>
    <w:p w14:paraId="75FE1F36" w14:textId="77777777" w:rsidR="00BD596A" w:rsidRDefault="00BD596A" w:rsidP="00BD596A">
      <w:pPr>
        <w:bidi/>
        <w:jc w:val="center"/>
        <w:rPr>
          <w:b/>
          <w:bCs/>
          <w:sz w:val="26"/>
          <w:szCs w:val="26"/>
        </w:rPr>
      </w:pPr>
    </w:p>
    <w:p w14:paraId="34E47665" w14:textId="56F4B5CB" w:rsidR="00BD596A" w:rsidRDefault="00BD596A" w:rsidP="00BD596A">
      <w:pPr>
        <w:bidi/>
        <w:jc w:val="center"/>
        <w:rPr>
          <w:b/>
          <w:bCs/>
          <w:sz w:val="26"/>
          <w:szCs w:val="26"/>
          <w:rtl/>
          <w:lang w:val="en-CA"/>
        </w:rPr>
      </w:pPr>
      <w:r>
        <w:rPr>
          <w:rFonts w:hint="cs"/>
          <w:b/>
          <w:bCs/>
          <w:sz w:val="26"/>
          <w:szCs w:val="26"/>
          <w:rtl/>
        </w:rPr>
        <w:t>المرفق الأول</w:t>
      </w:r>
    </w:p>
    <w:p w14:paraId="3B9EC8EC" w14:textId="77777777" w:rsidR="00BD596A" w:rsidRDefault="00BD596A" w:rsidP="00BD596A">
      <w:pPr>
        <w:tabs>
          <w:tab w:val="left" w:pos="4095"/>
          <w:tab w:val="center" w:pos="4680"/>
        </w:tabs>
        <w:bidi/>
        <w:jc w:val="center"/>
        <w:rPr>
          <w:b/>
          <w:bCs/>
          <w:sz w:val="26"/>
          <w:szCs w:val="26"/>
          <w:rtl/>
          <w:lang w:val="en-CA" w:bidi="ar-EG"/>
        </w:rPr>
      </w:pPr>
    </w:p>
    <w:p w14:paraId="558EE378" w14:textId="77777777" w:rsidR="00BD596A" w:rsidRDefault="00BD596A" w:rsidP="00BD596A">
      <w:pPr>
        <w:bidi/>
        <w:jc w:val="center"/>
        <w:rPr>
          <w:b/>
          <w:bCs/>
          <w:sz w:val="26"/>
          <w:szCs w:val="26"/>
          <w:rtl/>
          <w:lang w:val="fr-CA" w:bidi="ar-EG"/>
        </w:rPr>
      </w:pPr>
      <w:r>
        <w:rPr>
          <w:rFonts w:hint="cs"/>
          <w:b/>
          <w:bCs/>
          <w:sz w:val="26"/>
          <w:szCs w:val="26"/>
          <w:rtl/>
          <w:lang w:val="fr-CA" w:bidi="ar-SY"/>
        </w:rPr>
        <w:t xml:space="preserve">مشروع </w:t>
      </w:r>
      <w:r>
        <w:rPr>
          <w:b/>
          <w:bCs/>
          <w:sz w:val="26"/>
          <w:szCs w:val="26"/>
          <w:rtl/>
          <w:lang w:val="fr-CA" w:bidi="ar-SY"/>
        </w:rPr>
        <w:t xml:space="preserve">اتّفاق بين </w:t>
      </w:r>
      <w:r>
        <w:rPr>
          <w:b/>
          <w:bCs/>
          <w:sz w:val="26"/>
          <w:szCs w:val="26"/>
          <w:rtl/>
          <w:lang w:val="fr-CA"/>
        </w:rPr>
        <w:t xml:space="preserve">حكومة </w:t>
      </w:r>
      <w:r>
        <w:rPr>
          <w:rFonts w:hint="cs"/>
          <w:b/>
          <w:bCs/>
          <w:sz w:val="26"/>
          <w:szCs w:val="26"/>
          <w:rtl/>
        </w:rPr>
        <w:t>ليسوتو</w:t>
      </w:r>
      <w:r>
        <w:rPr>
          <w:b/>
          <w:bCs/>
          <w:sz w:val="26"/>
          <w:szCs w:val="26"/>
          <w:rtl/>
          <w:lang w:val="fr-CA" w:bidi="ar-EG"/>
        </w:rPr>
        <w:t xml:space="preserve"> </w:t>
      </w:r>
      <w:r>
        <w:rPr>
          <w:b/>
          <w:bCs/>
          <w:sz w:val="26"/>
          <w:szCs w:val="26"/>
          <w:rtl/>
          <w:lang w:val="fr-CA" w:bidi="ar-SY"/>
        </w:rPr>
        <w:t>واللجنة التنفيذية للصندوق المتعدد الأطراف</w:t>
      </w:r>
    </w:p>
    <w:p w14:paraId="65B95559" w14:textId="77777777" w:rsidR="00BD596A" w:rsidRDefault="00BD596A" w:rsidP="00BD596A">
      <w:pPr>
        <w:tabs>
          <w:tab w:val="left" w:pos="4095"/>
          <w:tab w:val="center" w:pos="4680"/>
        </w:tabs>
        <w:bidi/>
        <w:jc w:val="center"/>
        <w:rPr>
          <w:b/>
          <w:bCs/>
          <w:sz w:val="26"/>
          <w:szCs w:val="26"/>
          <w:rtl/>
          <w:lang w:val="fr-CA" w:bidi="ar-SY"/>
        </w:rPr>
      </w:pPr>
      <w:r>
        <w:rPr>
          <w:rFonts w:hint="cs"/>
          <w:b/>
          <w:bCs/>
          <w:sz w:val="26"/>
          <w:szCs w:val="26"/>
          <w:rtl/>
          <w:lang w:val="fr-CA" w:bidi="ar-EG"/>
        </w:rPr>
        <w:t>لخفض استهلاك المواد الهيدروكلوروفلوروكربونية وفقا ل</w:t>
      </w:r>
      <w:r>
        <w:rPr>
          <w:rFonts w:hint="cs"/>
          <w:b/>
          <w:bCs/>
          <w:sz w:val="26"/>
          <w:szCs w:val="26"/>
          <w:rtl/>
          <w:lang w:val="fr-CA" w:bidi="ar-SY"/>
        </w:rPr>
        <w:t xml:space="preserve">لمرحلة الثانية </w:t>
      </w:r>
    </w:p>
    <w:p w14:paraId="120C209C" w14:textId="77777777" w:rsidR="00BD596A" w:rsidRDefault="00BD596A" w:rsidP="00BD596A">
      <w:pPr>
        <w:tabs>
          <w:tab w:val="left" w:pos="4095"/>
          <w:tab w:val="center" w:pos="4680"/>
        </w:tabs>
        <w:bidi/>
        <w:jc w:val="center"/>
        <w:rPr>
          <w:sz w:val="26"/>
          <w:szCs w:val="26"/>
          <w:rtl/>
          <w:lang w:val="fr-CA"/>
        </w:rPr>
      </w:pPr>
      <w:r>
        <w:rPr>
          <w:rFonts w:hint="cs"/>
          <w:b/>
          <w:bCs/>
          <w:sz w:val="26"/>
          <w:szCs w:val="26"/>
          <w:rtl/>
          <w:lang w:val="fr-CA" w:bidi="ar-SY"/>
        </w:rPr>
        <w:t>من خطة إدارة إزالة</w:t>
      </w:r>
      <w:r>
        <w:rPr>
          <w:b/>
          <w:bCs/>
          <w:sz w:val="26"/>
          <w:szCs w:val="26"/>
          <w:rtl/>
          <w:lang w:val="fr-CA" w:bidi="ar-SY"/>
        </w:rPr>
        <w:t xml:space="preserve"> المواد الهيدرو</w:t>
      </w:r>
      <w:r>
        <w:rPr>
          <w:b/>
          <w:bCs/>
          <w:sz w:val="26"/>
          <w:szCs w:val="26"/>
          <w:rtl/>
          <w:lang w:val="fr-CA" w:bidi="ar-EG"/>
        </w:rPr>
        <w:t>كلوروفلوروكربونية</w:t>
      </w:r>
    </w:p>
    <w:p w14:paraId="764BBC03" w14:textId="77777777" w:rsidR="00BD596A" w:rsidRDefault="00BD596A" w:rsidP="00BD596A">
      <w:pPr>
        <w:bidi/>
        <w:jc w:val="center"/>
        <w:rPr>
          <w:b/>
          <w:rtl/>
          <w:lang w:bidi="ar-EG"/>
        </w:rPr>
      </w:pPr>
    </w:p>
    <w:p w14:paraId="5278B9E6" w14:textId="77777777" w:rsidR="00BD596A" w:rsidRDefault="00BD596A" w:rsidP="00BD596A">
      <w:pPr>
        <w:bidi/>
        <w:spacing w:after="240"/>
        <w:rPr>
          <w:b/>
          <w:bCs/>
          <w:sz w:val="26"/>
          <w:szCs w:val="26"/>
        </w:rPr>
      </w:pPr>
      <w:r>
        <w:rPr>
          <w:rFonts w:hint="cs"/>
          <w:b/>
          <w:bCs/>
          <w:sz w:val="26"/>
          <w:szCs w:val="26"/>
          <w:rtl/>
        </w:rPr>
        <w:t>الغرض</w:t>
      </w:r>
    </w:p>
    <w:p w14:paraId="7C807B4D" w14:textId="77777777" w:rsidR="00BD596A" w:rsidRDefault="00BD596A" w:rsidP="00BD596A">
      <w:pPr>
        <w:pStyle w:val="Heading1"/>
        <w:tabs>
          <w:tab w:val="clear" w:pos="0"/>
          <w:tab w:val="num" w:pos="90"/>
        </w:tabs>
        <w:bidi/>
        <w:ind w:left="90"/>
        <w:rPr>
          <w:sz w:val="26"/>
          <w:szCs w:val="26"/>
        </w:rPr>
      </w:pPr>
      <w:r>
        <w:rPr>
          <w:sz w:val="26"/>
          <w:szCs w:val="26"/>
          <w:rtl/>
        </w:rPr>
        <w:t>يمثّل هذا الاتفاق التفاهم بين حكومة</w:t>
      </w:r>
      <w:r>
        <w:rPr>
          <w:sz w:val="26"/>
          <w:szCs w:val="26"/>
          <w:rtl/>
          <w:lang w:val="fr-CA"/>
        </w:rPr>
        <w:t xml:space="preserve"> </w:t>
      </w:r>
      <w:r>
        <w:rPr>
          <w:rFonts w:hint="cs"/>
          <w:sz w:val="26"/>
          <w:szCs w:val="26"/>
          <w:rtl/>
        </w:rPr>
        <w:t>ليسوتو</w:t>
      </w:r>
      <w:r>
        <w:rPr>
          <w:sz w:val="26"/>
          <w:szCs w:val="26"/>
          <w:rtl/>
          <w:lang w:val="fr-CA"/>
        </w:rPr>
        <w:t xml:space="preserve"> ("</w:t>
      </w:r>
      <w:r>
        <w:rPr>
          <w:sz w:val="26"/>
          <w:szCs w:val="26"/>
          <w:rtl/>
        </w:rPr>
        <w:t xml:space="preserve">البلد") واللجنة التنفيذية فيما يتعلق بإجراء تخفيض في الاستعمال المراقب للموادّ المستنفدة للأوزون المحدّدة في التذييل 1- ألف ("الموادّ") إلى كمية ثابتة قدرها </w:t>
      </w:r>
      <w:r>
        <w:rPr>
          <w:rFonts w:hint="cs"/>
          <w:sz w:val="26"/>
          <w:szCs w:val="26"/>
          <w:rtl/>
        </w:rPr>
        <w:t>صفر طن من</w:t>
      </w:r>
      <w:r>
        <w:rPr>
          <w:sz w:val="26"/>
          <w:szCs w:val="26"/>
          <w:rtl/>
        </w:rPr>
        <w:t xml:space="preserve"> قدرات استنفاد الأوزون بحلول 1 يناير / كانون الثاني</w:t>
      </w:r>
      <w:r>
        <w:rPr>
          <w:rFonts w:hint="cs"/>
          <w:sz w:val="26"/>
          <w:szCs w:val="26"/>
          <w:rtl/>
        </w:rPr>
        <w:t xml:space="preserve">  2030 </w:t>
      </w:r>
      <w:r>
        <w:rPr>
          <w:sz w:val="26"/>
          <w:szCs w:val="26"/>
          <w:rtl/>
        </w:rPr>
        <w:t>بما يتماشى مع الجداول الزمنية لبروتوكول مونتريال.</w:t>
      </w:r>
    </w:p>
    <w:p w14:paraId="68073580" w14:textId="77777777" w:rsidR="00BD596A" w:rsidRDefault="00BD596A" w:rsidP="00BD596A">
      <w:pPr>
        <w:pStyle w:val="Heading1"/>
        <w:tabs>
          <w:tab w:val="clear" w:pos="0"/>
          <w:tab w:val="num" w:pos="90"/>
        </w:tabs>
        <w:bidi/>
        <w:ind w:left="90"/>
        <w:rPr>
          <w:sz w:val="26"/>
          <w:szCs w:val="26"/>
        </w:rPr>
      </w:pPr>
      <w:r>
        <w:rPr>
          <w:sz w:val="26"/>
          <w:szCs w:val="26"/>
          <w:rtl/>
        </w:rPr>
        <w:t>يوافق البلـد على الالت</w:t>
      </w:r>
      <w:r>
        <w:rPr>
          <w:rFonts w:hint="cs"/>
          <w:sz w:val="26"/>
          <w:szCs w:val="26"/>
          <w:rtl/>
        </w:rPr>
        <w:t>ـ</w:t>
      </w:r>
      <w:r>
        <w:rPr>
          <w:sz w:val="26"/>
          <w:szCs w:val="26"/>
          <w:rtl/>
        </w:rPr>
        <w:t>زام بحدود الاسته</w:t>
      </w:r>
      <w:r>
        <w:rPr>
          <w:rFonts w:hint="cs"/>
          <w:sz w:val="26"/>
          <w:szCs w:val="26"/>
          <w:rtl/>
        </w:rPr>
        <w:t>ـ</w:t>
      </w:r>
      <w:r>
        <w:rPr>
          <w:sz w:val="26"/>
          <w:szCs w:val="26"/>
          <w:rtl/>
        </w:rPr>
        <w:t>لاك السنوي للم</w:t>
      </w:r>
      <w:r>
        <w:rPr>
          <w:rFonts w:hint="cs"/>
          <w:sz w:val="26"/>
          <w:szCs w:val="26"/>
          <w:rtl/>
        </w:rPr>
        <w:t>ـ</w:t>
      </w:r>
      <w:r>
        <w:rPr>
          <w:sz w:val="26"/>
          <w:szCs w:val="26"/>
          <w:rtl/>
        </w:rPr>
        <w:t xml:space="preserve">وادّ على النحو المبيّن في </w:t>
      </w:r>
      <w:r>
        <w:rPr>
          <w:rFonts w:hint="cs"/>
          <w:sz w:val="26"/>
          <w:szCs w:val="26"/>
          <w:rtl/>
        </w:rPr>
        <w:t xml:space="preserve">الصف </w:t>
      </w:r>
      <w:r>
        <w:rPr>
          <w:sz w:val="26"/>
          <w:szCs w:val="26"/>
          <w:rtl/>
        </w:rPr>
        <w:t>1-2</w:t>
      </w:r>
      <w:r>
        <w:rPr>
          <w:rFonts w:hint="cs"/>
          <w:sz w:val="26"/>
          <w:szCs w:val="26"/>
          <w:rtl/>
        </w:rPr>
        <w:t xml:space="preserve"> </w:t>
      </w:r>
      <w:r>
        <w:rPr>
          <w:sz w:val="26"/>
          <w:szCs w:val="26"/>
          <w:rtl/>
        </w:rPr>
        <w:t>من التذيي</w:t>
      </w:r>
      <w:r>
        <w:rPr>
          <w:rFonts w:hint="cs"/>
          <w:sz w:val="26"/>
          <w:szCs w:val="26"/>
          <w:rtl/>
        </w:rPr>
        <w:t>ـ</w:t>
      </w:r>
      <w:r>
        <w:rPr>
          <w:sz w:val="26"/>
          <w:szCs w:val="26"/>
          <w:rtl/>
        </w:rPr>
        <w:t>ل 2</w:t>
      </w:r>
      <w:r>
        <w:rPr>
          <w:rFonts w:hint="cs"/>
          <w:sz w:val="26"/>
          <w:szCs w:val="26"/>
          <w:rtl/>
        </w:rPr>
        <w:t>-</w:t>
      </w:r>
      <w:r>
        <w:rPr>
          <w:sz w:val="26"/>
          <w:szCs w:val="26"/>
          <w:rtl/>
        </w:rPr>
        <w:t xml:space="preserve">ألف ("الأهداف والتمويل") </w:t>
      </w:r>
      <w:r>
        <w:rPr>
          <w:rFonts w:hint="cs"/>
          <w:sz w:val="26"/>
          <w:szCs w:val="26"/>
          <w:rtl/>
        </w:rPr>
        <w:t xml:space="preserve">في هذا الاتفاق </w:t>
      </w:r>
      <w:r>
        <w:rPr>
          <w:sz w:val="26"/>
          <w:szCs w:val="26"/>
          <w:rtl/>
        </w:rPr>
        <w:t xml:space="preserve">فضلا عن الجدول الزمني للتخفيض ببروتوكول مونتريال لجميع المواد المشار إليها في التذييل 1-ألف. ويقبل البلد أنّه، بقبوله هذا الاتفاق ووفاء اللجنة التنفيذية بتعهّداتها بالتمويل المحدّدة في الفقرة 3، يفقد الحق في طلب أو تلقّي مزيد من التمويل من الصندوق المتعدّد الأطراف بالنسبة لأي استهلاك للمواد يتجاوز المستوى المحدد في </w:t>
      </w:r>
      <w:r>
        <w:rPr>
          <w:rFonts w:hint="cs"/>
          <w:sz w:val="26"/>
          <w:szCs w:val="26"/>
          <w:rtl/>
        </w:rPr>
        <w:t xml:space="preserve">الصف </w:t>
      </w:r>
      <w:r>
        <w:rPr>
          <w:sz w:val="26"/>
          <w:szCs w:val="26"/>
          <w:rtl/>
        </w:rPr>
        <w:t>1-2</w:t>
      </w:r>
      <w:r>
        <w:rPr>
          <w:rFonts w:hint="cs"/>
          <w:sz w:val="26"/>
          <w:szCs w:val="26"/>
          <w:rtl/>
        </w:rPr>
        <w:t xml:space="preserve"> </w:t>
      </w:r>
      <w:r>
        <w:rPr>
          <w:sz w:val="26"/>
          <w:szCs w:val="26"/>
          <w:rtl/>
        </w:rPr>
        <w:t>من التذييل 2-ألف باعتباره الخ</w:t>
      </w:r>
      <w:r>
        <w:rPr>
          <w:sz w:val="26"/>
          <w:szCs w:val="26"/>
          <w:rtl/>
          <w:lang w:val="en-CA"/>
        </w:rPr>
        <w:t xml:space="preserve">طوة النهائية في التخفيضات بموجب هذا الاتفاق لجميع المواد المستنفدة للأوزون المحددة في التذييل </w:t>
      </w:r>
      <w:r>
        <w:rPr>
          <w:sz w:val="26"/>
          <w:szCs w:val="26"/>
          <w:lang w:val="en-CA"/>
        </w:rPr>
        <w:t>1</w:t>
      </w:r>
      <w:r>
        <w:rPr>
          <w:sz w:val="26"/>
          <w:szCs w:val="26"/>
          <w:rtl/>
          <w:lang w:val="en-CA"/>
        </w:rPr>
        <w:t xml:space="preserve">-ألف، وفيما يتعلق بأي استهلاك يتجاوز المستوى المحدد لكل مادة في </w:t>
      </w:r>
      <w:r>
        <w:rPr>
          <w:rFonts w:hint="cs"/>
          <w:sz w:val="26"/>
          <w:szCs w:val="26"/>
          <w:rtl/>
          <w:lang w:val="en-CA"/>
        </w:rPr>
        <w:t>الصف</w:t>
      </w:r>
      <w:r>
        <w:rPr>
          <w:sz w:val="26"/>
          <w:szCs w:val="26"/>
          <w:rtl/>
        </w:rPr>
        <w:t xml:space="preserve"> 4-1-3</w:t>
      </w:r>
      <w:r>
        <w:rPr>
          <w:rFonts w:hint="cs"/>
          <w:sz w:val="26"/>
          <w:szCs w:val="26"/>
          <w:rtl/>
          <w:lang w:val="en-CA"/>
        </w:rPr>
        <w:t xml:space="preserve"> </w:t>
      </w:r>
      <w:r>
        <w:rPr>
          <w:sz w:val="26"/>
          <w:szCs w:val="26"/>
          <w:rtl/>
          <w:lang w:val="en-CA"/>
        </w:rPr>
        <w:t xml:space="preserve">(الاستهلاك المتبقي المؤهل </w:t>
      </w:r>
      <w:r>
        <w:rPr>
          <w:rFonts w:hint="cs"/>
          <w:sz w:val="26"/>
          <w:szCs w:val="26"/>
          <w:rtl/>
          <w:lang w:val="en-CA"/>
        </w:rPr>
        <w:t>للتمويل</w:t>
      </w:r>
      <w:r>
        <w:rPr>
          <w:sz w:val="26"/>
          <w:szCs w:val="26"/>
          <w:rtl/>
          <w:lang w:val="en-CA"/>
        </w:rPr>
        <w:t>).</w:t>
      </w:r>
    </w:p>
    <w:p w14:paraId="779C6B81" w14:textId="77777777" w:rsidR="00BD596A" w:rsidRDefault="00BD596A" w:rsidP="00BD596A">
      <w:pPr>
        <w:pStyle w:val="Heading1"/>
        <w:tabs>
          <w:tab w:val="clear" w:pos="0"/>
          <w:tab w:val="num" w:pos="90"/>
        </w:tabs>
        <w:bidi/>
        <w:ind w:left="90"/>
        <w:rPr>
          <w:sz w:val="26"/>
          <w:szCs w:val="26"/>
        </w:rPr>
      </w:pPr>
      <w:r>
        <w:rPr>
          <w:sz w:val="26"/>
          <w:szCs w:val="26"/>
          <w:rtl/>
        </w:rPr>
        <w:t>رهناً بامتثال البلد لالتزاماته المحددة في هذا الاتفاق، توافق اللجنة التنفيذية، من حيث المبدأ، على توفير التمويل المحدّد في الصف الأفقي</w:t>
      </w:r>
      <w:r>
        <w:rPr>
          <w:sz w:val="26"/>
          <w:szCs w:val="26"/>
          <w:rtl/>
          <w:lang w:val="fr-CA"/>
        </w:rPr>
        <w:t xml:space="preserve"> 3-1</w:t>
      </w:r>
      <w:r>
        <w:rPr>
          <w:sz w:val="26"/>
          <w:szCs w:val="26"/>
          <w:rtl/>
        </w:rPr>
        <w:t xml:space="preserve"> من التذييل 2- ألف للبلد. وستوفر اللجنة التنفيذية هذا التمويل، من حيث المبدأ، في اجتماعات اللجنة التنفيذية المحدّدة في التذييل 3- ألف ("جدول زمني للموافقة على التمويل").</w:t>
      </w:r>
    </w:p>
    <w:p w14:paraId="46D5254E" w14:textId="77777777" w:rsidR="00BD596A" w:rsidRDefault="00BD596A" w:rsidP="00BD596A">
      <w:pPr>
        <w:pStyle w:val="Heading1"/>
        <w:tabs>
          <w:tab w:val="clear" w:pos="0"/>
          <w:tab w:val="num" w:pos="90"/>
        </w:tabs>
        <w:bidi/>
        <w:ind w:left="90"/>
        <w:rPr>
          <w:sz w:val="26"/>
          <w:szCs w:val="26"/>
        </w:rPr>
      </w:pPr>
      <w:r>
        <w:rPr>
          <w:rFonts w:hint="cs"/>
          <w:sz w:val="26"/>
          <w:szCs w:val="26"/>
          <w:rtl/>
        </w:rPr>
        <w:t>يوافق البلد على تنفيذ هذا الاتفاق وفقا للمرحلة الثانية من خطة إدارة إزالة المواد الهيدروكلوروفلوروكربونية الموافق عليها ("الخطة"). و</w:t>
      </w:r>
      <w:r>
        <w:rPr>
          <w:sz w:val="26"/>
          <w:szCs w:val="26"/>
          <w:rtl/>
        </w:rPr>
        <w:t xml:space="preserve">وفقا للفقرة الفرعية 5(ب) من هذا الاتفاق، سوف يقبل البلد إجراء تحقّق مستقلّ من تحقيق حدود الاستهلاك </w:t>
      </w:r>
      <w:r>
        <w:rPr>
          <w:rFonts w:hint="cs"/>
          <w:sz w:val="26"/>
          <w:szCs w:val="26"/>
          <w:rtl/>
        </w:rPr>
        <w:t xml:space="preserve">السنوي </w:t>
      </w:r>
      <w:r>
        <w:rPr>
          <w:sz w:val="26"/>
          <w:szCs w:val="26"/>
          <w:rtl/>
        </w:rPr>
        <w:t xml:space="preserve">المذكورة للمواد كما يأتي في </w:t>
      </w:r>
      <w:r>
        <w:rPr>
          <w:rFonts w:hint="cs"/>
          <w:sz w:val="26"/>
          <w:szCs w:val="26"/>
          <w:rtl/>
        </w:rPr>
        <w:t xml:space="preserve">الصف </w:t>
      </w:r>
      <w:r>
        <w:rPr>
          <w:sz w:val="26"/>
          <w:szCs w:val="26"/>
          <w:rtl/>
        </w:rPr>
        <w:t>1-2</w:t>
      </w:r>
      <w:r>
        <w:rPr>
          <w:rFonts w:hint="cs"/>
          <w:sz w:val="26"/>
          <w:szCs w:val="26"/>
          <w:rtl/>
        </w:rPr>
        <w:t xml:space="preserve"> </w:t>
      </w:r>
      <w:r>
        <w:rPr>
          <w:sz w:val="26"/>
          <w:szCs w:val="26"/>
          <w:rtl/>
        </w:rPr>
        <w:t xml:space="preserve">من التذييل 2-ألف من هذا الاتفاق. وسيجرى التحقيق المشار إليه أعلاه </w:t>
      </w:r>
      <w:r>
        <w:rPr>
          <w:b/>
          <w:sz w:val="26"/>
          <w:szCs w:val="26"/>
          <w:rtl/>
        </w:rPr>
        <w:t>بتكليف من الوكالة الثنائية أو المنفّذة المعنية.</w:t>
      </w:r>
    </w:p>
    <w:p w14:paraId="7A04FB79" w14:textId="77777777" w:rsidR="00BD596A" w:rsidRDefault="00BD596A" w:rsidP="00BD596A">
      <w:pPr>
        <w:pStyle w:val="Heading1"/>
        <w:numPr>
          <w:ilvl w:val="0"/>
          <w:numId w:val="0"/>
        </w:numPr>
        <w:bidi/>
        <w:ind w:left="90"/>
        <w:rPr>
          <w:b/>
          <w:bCs/>
          <w:sz w:val="26"/>
          <w:szCs w:val="26"/>
          <w:lang w:bidi="ar-EG"/>
        </w:rPr>
      </w:pPr>
      <w:r>
        <w:rPr>
          <w:rFonts w:hint="cs"/>
          <w:b/>
          <w:bCs/>
          <w:sz w:val="26"/>
          <w:szCs w:val="26"/>
          <w:rtl/>
        </w:rPr>
        <w:t>شروط الإفراج عن التمويل</w:t>
      </w:r>
    </w:p>
    <w:p w14:paraId="2C303E81" w14:textId="77777777" w:rsidR="00BD596A" w:rsidRDefault="00BD596A" w:rsidP="00BD596A">
      <w:pPr>
        <w:pStyle w:val="Heading1"/>
        <w:tabs>
          <w:tab w:val="clear" w:pos="0"/>
          <w:tab w:val="num" w:pos="90"/>
        </w:tabs>
        <w:bidi/>
        <w:ind w:left="90"/>
        <w:rPr>
          <w:sz w:val="26"/>
          <w:szCs w:val="26"/>
        </w:rPr>
      </w:pPr>
      <w:r>
        <w:rPr>
          <w:rFonts w:hint="cs"/>
          <w:sz w:val="26"/>
          <w:szCs w:val="26"/>
          <w:rtl/>
        </w:rPr>
        <w:t>تقدم</w:t>
      </w:r>
      <w:r>
        <w:rPr>
          <w:sz w:val="26"/>
          <w:szCs w:val="26"/>
          <w:rtl/>
        </w:rPr>
        <w:t xml:space="preserve"> اللجنة التنفيذية التمويل </w:t>
      </w:r>
      <w:r>
        <w:rPr>
          <w:rFonts w:hint="cs"/>
          <w:sz w:val="26"/>
          <w:szCs w:val="26"/>
          <w:rtl/>
        </w:rPr>
        <w:t xml:space="preserve">فقط </w:t>
      </w:r>
      <w:r>
        <w:rPr>
          <w:sz w:val="26"/>
          <w:szCs w:val="26"/>
          <w:rtl/>
        </w:rPr>
        <w:t xml:space="preserve">وفقاً للجدول الزمني للموافقة على التمويل </w:t>
      </w:r>
      <w:r>
        <w:rPr>
          <w:rFonts w:hint="cs"/>
          <w:sz w:val="26"/>
          <w:szCs w:val="26"/>
          <w:rtl/>
        </w:rPr>
        <w:t>عندما يستوفى</w:t>
      </w:r>
      <w:r>
        <w:rPr>
          <w:sz w:val="26"/>
          <w:szCs w:val="26"/>
          <w:rtl/>
        </w:rPr>
        <w:t xml:space="preserve"> البلد الشروط التالية قبل </w:t>
      </w:r>
      <w:r>
        <w:rPr>
          <w:rFonts w:hint="cs"/>
          <w:sz w:val="26"/>
          <w:szCs w:val="26"/>
          <w:rtl/>
        </w:rPr>
        <w:t>ثمانية أسابيع</w:t>
      </w:r>
      <w:r>
        <w:rPr>
          <w:sz w:val="26"/>
          <w:szCs w:val="26"/>
          <w:rtl/>
        </w:rPr>
        <w:t xml:space="preserve"> </w:t>
      </w:r>
      <w:r>
        <w:rPr>
          <w:rFonts w:hint="cs"/>
          <w:sz w:val="26"/>
          <w:szCs w:val="26"/>
          <w:rtl/>
        </w:rPr>
        <w:t xml:space="preserve">على الأقل </w:t>
      </w:r>
      <w:r>
        <w:rPr>
          <w:sz w:val="26"/>
          <w:szCs w:val="26"/>
          <w:rtl/>
        </w:rPr>
        <w:t>من اجتماع اللجنة التنفيذية المحدد في الجدول الزمني للموافقة على التمويل:</w:t>
      </w:r>
    </w:p>
    <w:p w14:paraId="51DAA3EB" w14:textId="77777777" w:rsidR="00BD596A" w:rsidRDefault="00BD596A" w:rsidP="00BD596A">
      <w:pPr>
        <w:pStyle w:val="Heading2"/>
        <w:numPr>
          <w:ilvl w:val="1"/>
          <w:numId w:val="1"/>
        </w:numPr>
        <w:bidi/>
        <w:rPr>
          <w:sz w:val="26"/>
          <w:szCs w:val="26"/>
        </w:rPr>
      </w:pPr>
      <w:r>
        <w:rPr>
          <w:sz w:val="26"/>
          <w:szCs w:val="26"/>
          <w:rtl/>
        </w:rPr>
        <w:t>أن يكون البلد قد حقق الأهداف المحددة</w:t>
      </w:r>
      <w:r>
        <w:rPr>
          <w:rFonts w:hint="cs"/>
          <w:sz w:val="26"/>
          <w:szCs w:val="26"/>
          <w:rtl/>
        </w:rPr>
        <w:t xml:space="preserve"> </w:t>
      </w:r>
      <w:r>
        <w:rPr>
          <w:sz w:val="26"/>
          <w:szCs w:val="26"/>
          <w:rtl/>
        </w:rPr>
        <w:t xml:space="preserve">في </w:t>
      </w:r>
      <w:r>
        <w:rPr>
          <w:rFonts w:hint="cs"/>
          <w:sz w:val="26"/>
          <w:szCs w:val="26"/>
          <w:rtl/>
        </w:rPr>
        <w:t>الصف 1</w:t>
      </w:r>
      <w:r>
        <w:rPr>
          <w:rFonts w:hint="cs"/>
          <w:sz w:val="26"/>
          <w:szCs w:val="26"/>
          <w:rtl/>
        </w:rPr>
        <w:noBreakHyphen/>
        <w:t xml:space="preserve">2 </w:t>
      </w:r>
      <w:r>
        <w:rPr>
          <w:sz w:val="26"/>
          <w:szCs w:val="26"/>
          <w:rtl/>
        </w:rPr>
        <w:t xml:space="preserve">من التذييل 2-ألف لجميع السنوات المعنيّة. والسنوات المعنية هي جميع السنوات منذ السنة التي تمت فيها الموافقة على </w:t>
      </w:r>
      <w:r>
        <w:rPr>
          <w:rFonts w:hint="cs"/>
          <w:sz w:val="26"/>
          <w:szCs w:val="26"/>
          <w:rtl/>
        </w:rPr>
        <w:t>هذا الاتفاق</w:t>
      </w:r>
      <w:r>
        <w:rPr>
          <w:sz w:val="26"/>
          <w:szCs w:val="26"/>
          <w:rtl/>
        </w:rPr>
        <w:t xml:space="preserve">. وتستثنى السنوات التي </w:t>
      </w:r>
      <w:r>
        <w:rPr>
          <w:rFonts w:hint="cs"/>
          <w:sz w:val="26"/>
          <w:szCs w:val="26"/>
          <w:rtl/>
        </w:rPr>
        <w:t xml:space="preserve">لا </w:t>
      </w:r>
      <w:r>
        <w:rPr>
          <w:sz w:val="26"/>
          <w:szCs w:val="26"/>
          <w:rtl/>
        </w:rPr>
        <w:t xml:space="preserve">يوجد فيها </w:t>
      </w:r>
      <w:r>
        <w:rPr>
          <w:rFonts w:hint="cs"/>
          <w:sz w:val="26"/>
          <w:szCs w:val="26"/>
          <w:rtl/>
        </w:rPr>
        <w:t>تقارير عن تنفيذ</w:t>
      </w:r>
      <w:r>
        <w:rPr>
          <w:sz w:val="26"/>
          <w:szCs w:val="26"/>
          <w:rtl/>
        </w:rPr>
        <w:t xml:space="preserve"> البرامج القطرية </w:t>
      </w:r>
      <w:r>
        <w:rPr>
          <w:rFonts w:hint="cs"/>
          <w:sz w:val="26"/>
          <w:szCs w:val="26"/>
          <w:rtl/>
        </w:rPr>
        <w:t xml:space="preserve">يستحق تقديمها </w:t>
      </w:r>
      <w:r>
        <w:rPr>
          <w:sz w:val="26"/>
          <w:szCs w:val="26"/>
          <w:rtl/>
        </w:rPr>
        <w:t xml:space="preserve">في تاريخ انعقاد اجتماع اللجنة التنفيذية الذي يقدم فيه </w:t>
      </w:r>
      <w:r>
        <w:rPr>
          <w:rFonts w:hint="cs"/>
          <w:sz w:val="26"/>
          <w:szCs w:val="26"/>
          <w:rtl/>
        </w:rPr>
        <w:t>طلب التمويل</w:t>
      </w:r>
      <w:r>
        <w:rPr>
          <w:sz w:val="26"/>
          <w:szCs w:val="26"/>
          <w:rtl/>
        </w:rPr>
        <w:t>؛</w:t>
      </w:r>
    </w:p>
    <w:p w14:paraId="4BCF4C08" w14:textId="77777777" w:rsidR="00BD596A" w:rsidRDefault="00BD596A" w:rsidP="00BD596A">
      <w:pPr>
        <w:pStyle w:val="Heading2"/>
        <w:numPr>
          <w:ilvl w:val="1"/>
          <w:numId w:val="1"/>
        </w:numPr>
        <w:bidi/>
        <w:rPr>
          <w:sz w:val="26"/>
          <w:szCs w:val="26"/>
        </w:rPr>
      </w:pPr>
      <w:r>
        <w:rPr>
          <w:sz w:val="26"/>
          <w:szCs w:val="26"/>
          <w:rtl/>
        </w:rPr>
        <w:t>أن يتم التحقق بشكل مستقل من تحقيق هذه الأهداف</w:t>
      </w:r>
      <w:r>
        <w:rPr>
          <w:rFonts w:hint="cs"/>
          <w:sz w:val="26"/>
          <w:szCs w:val="26"/>
          <w:rtl/>
        </w:rPr>
        <w:t xml:space="preserve"> لجميع السنوات ذات الصلة</w:t>
      </w:r>
      <w:r>
        <w:rPr>
          <w:sz w:val="26"/>
          <w:szCs w:val="26"/>
          <w:rtl/>
        </w:rPr>
        <w:t>، إلا إذا قررت اللجنة التنفيذية أن هذا التحقق غير مطلوب؛</w:t>
      </w:r>
    </w:p>
    <w:p w14:paraId="6AA4AAB1" w14:textId="77777777" w:rsidR="00BD596A" w:rsidRDefault="00BD596A" w:rsidP="00BD596A">
      <w:pPr>
        <w:pStyle w:val="Heading2"/>
        <w:numPr>
          <w:ilvl w:val="1"/>
          <w:numId w:val="1"/>
        </w:numPr>
        <w:bidi/>
        <w:rPr>
          <w:sz w:val="26"/>
          <w:szCs w:val="26"/>
          <w:rtl/>
        </w:rPr>
      </w:pPr>
      <w:r>
        <w:rPr>
          <w:sz w:val="26"/>
          <w:szCs w:val="26"/>
          <w:rtl/>
        </w:rPr>
        <w:t xml:space="preserve">أن يكون البلد قد قدم </w:t>
      </w:r>
      <w:r>
        <w:rPr>
          <w:rFonts w:hint="cs"/>
          <w:sz w:val="26"/>
          <w:szCs w:val="26"/>
          <w:rtl/>
        </w:rPr>
        <w:t xml:space="preserve">تقريرا عن تنفيذ الشريحة </w:t>
      </w:r>
      <w:r>
        <w:rPr>
          <w:sz w:val="26"/>
          <w:szCs w:val="26"/>
          <w:rtl/>
        </w:rPr>
        <w:t>على هيئة التذييل 4-</w:t>
      </w:r>
      <w:r>
        <w:rPr>
          <w:rFonts w:hint="cs"/>
          <w:sz w:val="26"/>
          <w:szCs w:val="26"/>
          <w:rtl/>
        </w:rPr>
        <w:t xml:space="preserve"> </w:t>
      </w:r>
      <w:r>
        <w:rPr>
          <w:sz w:val="26"/>
          <w:szCs w:val="26"/>
          <w:rtl/>
        </w:rPr>
        <w:t xml:space="preserve">ألف ("شكل تقارير وخطط </w:t>
      </w:r>
      <w:r>
        <w:rPr>
          <w:sz w:val="26"/>
          <w:szCs w:val="26"/>
          <w:rtl/>
        </w:rPr>
        <w:lastRenderedPageBreak/>
        <w:t xml:space="preserve">التنفيذ") </w:t>
      </w:r>
      <w:r>
        <w:rPr>
          <w:rFonts w:hint="cs"/>
          <w:sz w:val="26"/>
          <w:szCs w:val="26"/>
          <w:rtl/>
        </w:rPr>
        <w:t>ي</w:t>
      </w:r>
      <w:r>
        <w:rPr>
          <w:sz w:val="26"/>
          <w:szCs w:val="26"/>
          <w:rtl/>
        </w:rPr>
        <w:t>غطي كل سنة من السنوات التقويمية السابقة، و</w:t>
      </w:r>
      <w:r>
        <w:rPr>
          <w:rFonts w:hint="cs"/>
          <w:sz w:val="26"/>
          <w:szCs w:val="26"/>
          <w:rtl/>
        </w:rPr>
        <w:t>ي</w:t>
      </w:r>
      <w:r>
        <w:rPr>
          <w:sz w:val="26"/>
          <w:szCs w:val="26"/>
          <w:rtl/>
        </w:rPr>
        <w:t>شير إلى أنه قد حقق مستوى متقدم من التنفيذ للأنشطة التي شُرع فيها في الشرائح الموافق عليها سابقا</w:t>
      </w:r>
      <w:r>
        <w:rPr>
          <w:rFonts w:hint="cs"/>
          <w:sz w:val="26"/>
          <w:szCs w:val="26"/>
          <w:rtl/>
        </w:rPr>
        <w:t>،</w:t>
      </w:r>
      <w:r>
        <w:rPr>
          <w:sz w:val="26"/>
          <w:szCs w:val="26"/>
          <w:rtl/>
        </w:rPr>
        <w:t xml:space="preserve"> وأن معدل صرف التمويل المتاح من الشريحة الموافق عليها سابقا يزيد عن 20 في المائة</w:t>
      </w:r>
      <w:r>
        <w:rPr>
          <w:rFonts w:hint="cs"/>
          <w:sz w:val="26"/>
          <w:szCs w:val="26"/>
          <w:rtl/>
        </w:rPr>
        <w:t>؛</w:t>
      </w:r>
    </w:p>
    <w:p w14:paraId="4A3535B2" w14:textId="77777777" w:rsidR="00BD596A" w:rsidRDefault="00BD596A" w:rsidP="00BD596A">
      <w:pPr>
        <w:pStyle w:val="Heading2"/>
        <w:widowControl/>
        <w:numPr>
          <w:ilvl w:val="1"/>
          <w:numId w:val="1"/>
        </w:numPr>
        <w:bidi/>
        <w:rPr>
          <w:sz w:val="26"/>
          <w:szCs w:val="26"/>
        </w:rPr>
      </w:pPr>
      <w:r>
        <w:rPr>
          <w:sz w:val="26"/>
          <w:szCs w:val="26"/>
          <w:rtl/>
        </w:rPr>
        <w:t xml:space="preserve">أن يكون البلد قد قدّم خطة تنفيذ </w:t>
      </w:r>
      <w:r>
        <w:rPr>
          <w:rFonts w:hint="cs"/>
          <w:sz w:val="26"/>
          <w:szCs w:val="26"/>
          <w:rtl/>
        </w:rPr>
        <w:t>الشريحة</w:t>
      </w:r>
      <w:r>
        <w:rPr>
          <w:sz w:val="26"/>
          <w:szCs w:val="26"/>
          <w:rtl/>
        </w:rPr>
        <w:t xml:space="preserve"> على هيئة التذييل 4- ألف تغطي كل سنة تقويمية حتى نهاية السنة التي يُطلب فيها تمويل الشريحة التالية بمقتضى الجدول الزمني للتمويل، أو حتى موعد اكتمال جميع الأنشطة الواردة فيه في حالة الشريحة الأخيرة</w:t>
      </w:r>
      <w:r>
        <w:rPr>
          <w:rFonts w:hint="cs"/>
          <w:sz w:val="26"/>
          <w:szCs w:val="26"/>
          <w:rtl/>
        </w:rPr>
        <w:t>.</w:t>
      </w:r>
    </w:p>
    <w:p w14:paraId="7659CEFE" w14:textId="77777777" w:rsidR="00BD596A" w:rsidRDefault="00BD596A" w:rsidP="00BD596A">
      <w:pPr>
        <w:pStyle w:val="Heading1"/>
        <w:numPr>
          <w:ilvl w:val="0"/>
          <w:numId w:val="0"/>
        </w:numPr>
        <w:bidi/>
        <w:ind w:left="90"/>
        <w:rPr>
          <w:b/>
          <w:bCs/>
          <w:sz w:val="26"/>
          <w:szCs w:val="26"/>
        </w:rPr>
      </w:pPr>
      <w:r>
        <w:rPr>
          <w:rFonts w:hint="cs"/>
          <w:b/>
          <w:bCs/>
          <w:sz w:val="26"/>
          <w:szCs w:val="26"/>
          <w:rtl/>
        </w:rPr>
        <w:t>الرصد</w:t>
      </w:r>
    </w:p>
    <w:p w14:paraId="6E66E49A" w14:textId="77777777" w:rsidR="00BD596A" w:rsidRDefault="00BD596A" w:rsidP="00BD596A">
      <w:pPr>
        <w:pStyle w:val="Heading1"/>
        <w:tabs>
          <w:tab w:val="clear" w:pos="0"/>
          <w:tab w:val="num" w:pos="90"/>
        </w:tabs>
        <w:bidi/>
        <w:ind w:left="90"/>
        <w:rPr>
          <w:sz w:val="26"/>
          <w:szCs w:val="26"/>
        </w:rPr>
      </w:pPr>
      <w:r>
        <w:rPr>
          <w:rFonts w:hint="cs"/>
          <w:sz w:val="26"/>
          <w:szCs w:val="26"/>
          <w:rtl/>
        </w:rPr>
        <w:t xml:space="preserve">سيؤكد </w:t>
      </w:r>
      <w:r>
        <w:rPr>
          <w:sz w:val="26"/>
          <w:szCs w:val="26"/>
          <w:rtl/>
        </w:rPr>
        <w:t xml:space="preserve">البلد أنه </w:t>
      </w:r>
      <w:r>
        <w:rPr>
          <w:rFonts w:hint="cs"/>
          <w:sz w:val="26"/>
          <w:szCs w:val="26"/>
          <w:rtl/>
        </w:rPr>
        <w:t>ي</w:t>
      </w:r>
      <w:r>
        <w:rPr>
          <w:sz w:val="26"/>
          <w:szCs w:val="26"/>
          <w:rtl/>
        </w:rPr>
        <w:t xml:space="preserve">جري رصد دقيق لأنشطته بموجب هذا الاتفاق. </w:t>
      </w:r>
      <w:r>
        <w:rPr>
          <w:rFonts w:hint="cs"/>
          <w:sz w:val="26"/>
          <w:szCs w:val="26"/>
          <w:rtl/>
        </w:rPr>
        <w:t xml:space="preserve">وسوف ترصد </w:t>
      </w:r>
      <w:r>
        <w:rPr>
          <w:sz w:val="26"/>
          <w:szCs w:val="26"/>
          <w:rtl/>
        </w:rPr>
        <w:t xml:space="preserve">المؤسسات </w:t>
      </w:r>
      <w:r>
        <w:rPr>
          <w:rFonts w:hint="cs"/>
          <w:sz w:val="26"/>
          <w:szCs w:val="26"/>
          <w:rtl/>
        </w:rPr>
        <w:t>المحددة</w:t>
      </w:r>
      <w:r>
        <w:rPr>
          <w:sz w:val="26"/>
          <w:szCs w:val="26"/>
          <w:rtl/>
        </w:rPr>
        <w:t xml:space="preserve"> في </w:t>
      </w:r>
      <w:r>
        <w:rPr>
          <w:rFonts w:hint="cs"/>
          <w:sz w:val="26"/>
          <w:szCs w:val="26"/>
          <w:rtl/>
        </w:rPr>
        <w:t>التذييل</w:t>
      </w:r>
      <w:r>
        <w:rPr>
          <w:sz w:val="26"/>
          <w:szCs w:val="26"/>
          <w:rtl/>
        </w:rPr>
        <w:t xml:space="preserve"> 5-</w:t>
      </w:r>
      <w:r>
        <w:rPr>
          <w:rFonts w:hint="cs"/>
          <w:sz w:val="26"/>
          <w:szCs w:val="26"/>
          <w:rtl/>
        </w:rPr>
        <w:t xml:space="preserve"> ألف</w:t>
      </w:r>
      <w:r>
        <w:rPr>
          <w:sz w:val="26"/>
          <w:szCs w:val="26"/>
          <w:rtl/>
        </w:rPr>
        <w:t xml:space="preserve"> ("مؤسسات </w:t>
      </w:r>
      <w:r>
        <w:rPr>
          <w:rFonts w:hint="cs"/>
          <w:sz w:val="26"/>
          <w:szCs w:val="26"/>
          <w:rtl/>
        </w:rPr>
        <w:t xml:space="preserve">الرصد </w:t>
      </w:r>
      <w:r>
        <w:rPr>
          <w:sz w:val="26"/>
          <w:szCs w:val="26"/>
          <w:rtl/>
        </w:rPr>
        <w:t xml:space="preserve">والأدوار") </w:t>
      </w:r>
      <w:r>
        <w:rPr>
          <w:rFonts w:hint="cs"/>
          <w:sz w:val="26"/>
          <w:szCs w:val="26"/>
          <w:rtl/>
        </w:rPr>
        <w:t>وتقدم تقارير</w:t>
      </w:r>
      <w:r>
        <w:rPr>
          <w:sz w:val="26"/>
          <w:szCs w:val="26"/>
          <w:rtl/>
        </w:rPr>
        <w:t xml:space="preserve"> عن تنفيذ الأنشطة الواردة في خطط تنفيذ الشريحة السابقة وفقا لأدوارها ومسؤولياتها </w:t>
      </w:r>
      <w:r>
        <w:rPr>
          <w:rFonts w:hint="cs"/>
          <w:sz w:val="26"/>
          <w:szCs w:val="26"/>
          <w:rtl/>
        </w:rPr>
        <w:t>المحددة</w:t>
      </w:r>
      <w:r>
        <w:rPr>
          <w:sz w:val="26"/>
          <w:szCs w:val="26"/>
          <w:rtl/>
        </w:rPr>
        <w:t xml:space="preserve"> في نفس التذييل.</w:t>
      </w:r>
      <w:r>
        <w:rPr>
          <w:rFonts w:hint="cs"/>
          <w:sz w:val="26"/>
          <w:szCs w:val="26"/>
          <w:rtl/>
        </w:rPr>
        <w:t xml:space="preserve"> </w:t>
      </w:r>
    </w:p>
    <w:p w14:paraId="7C5CCB5F" w14:textId="77777777" w:rsidR="00BD596A" w:rsidRDefault="00BD596A" w:rsidP="00BD596A">
      <w:pPr>
        <w:pStyle w:val="Heading1"/>
        <w:numPr>
          <w:ilvl w:val="0"/>
          <w:numId w:val="0"/>
        </w:numPr>
        <w:bidi/>
        <w:ind w:left="90"/>
        <w:rPr>
          <w:b/>
          <w:bCs/>
          <w:sz w:val="26"/>
          <w:szCs w:val="26"/>
        </w:rPr>
      </w:pPr>
      <w:r>
        <w:rPr>
          <w:rFonts w:hint="cs"/>
          <w:b/>
          <w:bCs/>
          <w:sz w:val="26"/>
          <w:szCs w:val="26"/>
          <w:rtl/>
        </w:rPr>
        <w:t>المرونة في إعادة تخصيص الأموال</w:t>
      </w:r>
    </w:p>
    <w:p w14:paraId="0EF2FD37" w14:textId="77777777" w:rsidR="00BD596A" w:rsidRDefault="00BD596A" w:rsidP="00BD596A">
      <w:pPr>
        <w:pStyle w:val="Heading1"/>
        <w:tabs>
          <w:tab w:val="clear" w:pos="0"/>
          <w:tab w:val="num" w:pos="90"/>
        </w:tabs>
        <w:bidi/>
        <w:ind w:left="90"/>
        <w:rPr>
          <w:sz w:val="26"/>
          <w:szCs w:val="26"/>
        </w:rPr>
      </w:pPr>
      <w:r>
        <w:rPr>
          <w:sz w:val="26"/>
          <w:szCs w:val="26"/>
          <w:rtl/>
        </w:rPr>
        <w:t xml:space="preserve">توافق اللجنة التنفيذية على أن تكون لدى البلد مرونة في إعادة تخصيص </w:t>
      </w:r>
      <w:r>
        <w:rPr>
          <w:rFonts w:hint="cs"/>
          <w:sz w:val="26"/>
          <w:szCs w:val="26"/>
          <w:rtl/>
        </w:rPr>
        <w:t xml:space="preserve">كل </w:t>
      </w:r>
      <w:r>
        <w:rPr>
          <w:sz w:val="26"/>
          <w:szCs w:val="26"/>
          <w:rtl/>
        </w:rPr>
        <w:t xml:space="preserve">المبالغ الموافق عليها </w:t>
      </w:r>
      <w:r>
        <w:rPr>
          <w:spacing w:val="20"/>
          <w:sz w:val="26"/>
          <w:szCs w:val="26"/>
          <w:rtl/>
        </w:rPr>
        <w:t>أو جزء من</w:t>
      </w:r>
      <w:r>
        <w:rPr>
          <w:rFonts w:hint="cs"/>
          <w:spacing w:val="20"/>
          <w:sz w:val="26"/>
          <w:szCs w:val="26"/>
          <w:rtl/>
        </w:rPr>
        <w:t>ها</w:t>
      </w:r>
      <w:r>
        <w:rPr>
          <w:rFonts w:hint="cs"/>
          <w:sz w:val="26"/>
          <w:szCs w:val="26"/>
          <w:rtl/>
        </w:rPr>
        <w:t>،</w:t>
      </w:r>
      <w:r>
        <w:rPr>
          <w:sz w:val="26"/>
          <w:szCs w:val="26"/>
          <w:rtl/>
        </w:rPr>
        <w:t xml:space="preserve"> وفقاً لتغيّر الظروف، من أجل تحقيق أسلس خفض في الاسته</w:t>
      </w:r>
      <w:r>
        <w:rPr>
          <w:rFonts w:hint="cs"/>
          <w:sz w:val="26"/>
          <w:szCs w:val="26"/>
          <w:rtl/>
        </w:rPr>
        <w:t>ـ</w:t>
      </w:r>
      <w:r>
        <w:rPr>
          <w:sz w:val="26"/>
          <w:szCs w:val="26"/>
          <w:rtl/>
        </w:rPr>
        <w:t xml:space="preserve">لاك وإزالة </w:t>
      </w:r>
      <w:r>
        <w:rPr>
          <w:rFonts w:hint="cs"/>
          <w:sz w:val="26"/>
          <w:szCs w:val="26"/>
          <w:rtl/>
        </w:rPr>
        <w:t>ا</w:t>
      </w:r>
      <w:r>
        <w:rPr>
          <w:sz w:val="26"/>
          <w:szCs w:val="26"/>
          <w:rtl/>
        </w:rPr>
        <w:t>لم</w:t>
      </w:r>
      <w:r>
        <w:rPr>
          <w:rFonts w:hint="cs"/>
          <w:sz w:val="26"/>
          <w:szCs w:val="26"/>
          <w:rtl/>
        </w:rPr>
        <w:t>ـ</w:t>
      </w:r>
      <w:r>
        <w:rPr>
          <w:sz w:val="26"/>
          <w:szCs w:val="26"/>
          <w:rtl/>
        </w:rPr>
        <w:t>واد المحددة في التذيي</w:t>
      </w:r>
      <w:r>
        <w:rPr>
          <w:rFonts w:hint="cs"/>
          <w:sz w:val="26"/>
          <w:szCs w:val="26"/>
          <w:rtl/>
        </w:rPr>
        <w:t>ـ</w:t>
      </w:r>
      <w:r>
        <w:rPr>
          <w:sz w:val="26"/>
          <w:szCs w:val="26"/>
          <w:rtl/>
        </w:rPr>
        <w:t>ل 1-</w:t>
      </w:r>
      <w:r>
        <w:rPr>
          <w:rFonts w:hint="cs"/>
          <w:sz w:val="26"/>
          <w:szCs w:val="26"/>
          <w:rtl/>
        </w:rPr>
        <w:t xml:space="preserve"> </w:t>
      </w:r>
      <w:r>
        <w:rPr>
          <w:sz w:val="26"/>
          <w:szCs w:val="26"/>
          <w:rtl/>
        </w:rPr>
        <w:t>ألف:</w:t>
      </w:r>
    </w:p>
    <w:p w14:paraId="1AE8EAA5" w14:textId="77777777" w:rsidR="00BD596A" w:rsidRDefault="00BD596A" w:rsidP="00BD596A">
      <w:pPr>
        <w:pStyle w:val="Heading2"/>
        <w:numPr>
          <w:ilvl w:val="1"/>
          <w:numId w:val="1"/>
        </w:numPr>
        <w:bidi/>
        <w:rPr>
          <w:sz w:val="26"/>
          <w:szCs w:val="26"/>
        </w:rPr>
      </w:pPr>
      <w:r>
        <w:rPr>
          <w:rFonts w:hint="cs"/>
          <w:sz w:val="26"/>
          <w:szCs w:val="26"/>
          <w:rtl/>
        </w:rPr>
        <w:t>عمليات إعادة</w:t>
      </w:r>
      <w:r>
        <w:rPr>
          <w:sz w:val="26"/>
          <w:szCs w:val="26"/>
          <w:rtl/>
        </w:rPr>
        <w:t xml:space="preserve"> التخصيص المصنّفة كتعديلات رئيسيّة يجب أن تُوًثَّق مسبقاً إما في خطة </w:t>
      </w:r>
      <w:r>
        <w:rPr>
          <w:rFonts w:hint="cs"/>
          <w:sz w:val="26"/>
          <w:szCs w:val="26"/>
          <w:rtl/>
        </w:rPr>
        <w:t>ال</w:t>
      </w:r>
      <w:r>
        <w:rPr>
          <w:sz w:val="26"/>
          <w:szCs w:val="26"/>
          <w:rtl/>
        </w:rPr>
        <w:t xml:space="preserve">تنفيذ </w:t>
      </w:r>
      <w:r>
        <w:rPr>
          <w:rFonts w:hint="cs"/>
          <w:sz w:val="26"/>
          <w:szCs w:val="26"/>
          <w:rtl/>
        </w:rPr>
        <w:t>السنوية</w:t>
      </w:r>
      <w:r>
        <w:rPr>
          <w:sz w:val="26"/>
          <w:szCs w:val="26"/>
          <w:rtl/>
        </w:rPr>
        <w:t xml:space="preserve"> مقدمة حسبما هو متوقع في الفقرة الفرعية 5 (د) أعلاه أو كتنقيح لخطة تنفيذ </w:t>
      </w:r>
      <w:r>
        <w:rPr>
          <w:rFonts w:hint="cs"/>
          <w:sz w:val="26"/>
          <w:szCs w:val="26"/>
          <w:rtl/>
        </w:rPr>
        <w:t>شريحة</w:t>
      </w:r>
      <w:r>
        <w:rPr>
          <w:sz w:val="26"/>
          <w:szCs w:val="26"/>
          <w:rtl/>
        </w:rPr>
        <w:t xml:space="preserve"> قائمة تقدم ثمانية أسابيع قبل أي اجتماع للجنة التنفيذية للموافقة عليها. وتتعلق التغييرات الرئيسية بما يلي:</w:t>
      </w:r>
    </w:p>
    <w:p w14:paraId="747E703D" w14:textId="77777777" w:rsidR="00BD596A" w:rsidRDefault="00BD596A" w:rsidP="00BD596A">
      <w:pPr>
        <w:pStyle w:val="Heading3"/>
        <w:numPr>
          <w:ilvl w:val="2"/>
          <w:numId w:val="1"/>
        </w:numPr>
        <w:bidi/>
        <w:rPr>
          <w:sz w:val="26"/>
          <w:szCs w:val="26"/>
        </w:rPr>
      </w:pPr>
      <w:r>
        <w:rPr>
          <w:sz w:val="26"/>
          <w:szCs w:val="26"/>
          <w:rtl/>
        </w:rPr>
        <w:t xml:space="preserve">المسائل </w:t>
      </w:r>
      <w:r>
        <w:rPr>
          <w:rFonts w:hint="cs"/>
          <w:sz w:val="26"/>
          <w:szCs w:val="26"/>
          <w:rtl/>
        </w:rPr>
        <w:t>التي يمكن أن تتعلق</w:t>
      </w:r>
      <w:r>
        <w:rPr>
          <w:sz w:val="26"/>
          <w:szCs w:val="26"/>
          <w:rtl/>
        </w:rPr>
        <w:t xml:space="preserve"> بقواعد أو سياسات الصندوق المتعدد الأطراف؛</w:t>
      </w:r>
    </w:p>
    <w:p w14:paraId="31A4CC1F" w14:textId="77777777" w:rsidR="00BD596A" w:rsidRDefault="00BD596A" w:rsidP="00BD596A">
      <w:pPr>
        <w:pStyle w:val="Heading3"/>
        <w:numPr>
          <w:ilvl w:val="2"/>
          <w:numId w:val="1"/>
        </w:numPr>
        <w:bidi/>
        <w:rPr>
          <w:sz w:val="26"/>
          <w:szCs w:val="26"/>
          <w:rtl/>
        </w:rPr>
      </w:pPr>
      <w:r>
        <w:rPr>
          <w:sz w:val="26"/>
          <w:szCs w:val="26"/>
          <w:rtl/>
        </w:rPr>
        <w:t>التغييرات التي تؤدي إلى تعديل أي شرط من شروط هذا الاتفاق؛</w:t>
      </w:r>
    </w:p>
    <w:p w14:paraId="1A3793C3" w14:textId="77777777" w:rsidR="00BD596A" w:rsidRDefault="00BD596A" w:rsidP="00BD596A">
      <w:pPr>
        <w:pStyle w:val="Heading3"/>
        <w:numPr>
          <w:ilvl w:val="2"/>
          <w:numId w:val="1"/>
        </w:numPr>
        <w:bidi/>
        <w:rPr>
          <w:sz w:val="26"/>
          <w:szCs w:val="26"/>
          <w:rtl/>
        </w:rPr>
      </w:pPr>
      <w:r>
        <w:rPr>
          <w:sz w:val="26"/>
          <w:szCs w:val="26"/>
          <w:rtl/>
        </w:rPr>
        <w:t>التغييرات في المستويات السنوية للتمويل المخصص لفرادى الوكالات الثنائية أو المنفذة لمختلف الشرائح؛</w:t>
      </w:r>
    </w:p>
    <w:p w14:paraId="612C52CA" w14:textId="77777777" w:rsidR="00BD596A" w:rsidRDefault="00BD596A" w:rsidP="00BD596A">
      <w:pPr>
        <w:pStyle w:val="Heading3"/>
        <w:numPr>
          <w:ilvl w:val="2"/>
          <w:numId w:val="1"/>
        </w:numPr>
        <w:bidi/>
        <w:rPr>
          <w:sz w:val="26"/>
          <w:szCs w:val="26"/>
          <w:rtl/>
        </w:rPr>
      </w:pPr>
      <w:r>
        <w:rPr>
          <w:sz w:val="26"/>
          <w:szCs w:val="26"/>
          <w:rtl/>
        </w:rPr>
        <w:t>تقديم تمويل إلى الأنشطة غير المدرجة في خطة تنفيذ ال</w:t>
      </w:r>
      <w:r>
        <w:rPr>
          <w:rFonts w:hint="cs"/>
          <w:sz w:val="26"/>
          <w:szCs w:val="26"/>
          <w:rtl/>
        </w:rPr>
        <w:t>سنوية</w:t>
      </w:r>
      <w:r>
        <w:rPr>
          <w:sz w:val="26"/>
          <w:szCs w:val="26"/>
          <w:rtl/>
        </w:rPr>
        <w:t xml:space="preserve"> المعتمدة الحالية، أو إزالة أي نشاط من خطة تنفيذ ال</w:t>
      </w:r>
      <w:r>
        <w:rPr>
          <w:rFonts w:hint="cs"/>
          <w:sz w:val="26"/>
          <w:szCs w:val="26"/>
          <w:rtl/>
        </w:rPr>
        <w:t>شريحة</w:t>
      </w:r>
      <w:r>
        <w:rPr>
          <w:sz w:val="26"/>
          <w:szCs w:val="26"/>
          <w:rtl/>
        </w:rPr>
        <w:t>، تزيد تكاليفه عن 30 في المائة من مجموع تكاليف آخر شريحة موافق عليها؛</w:t>
      </w:r>
    </w:p>
    <w:p w14:paraId="7C70FD00" w14:textId="77777777" w:rsidR="00BD596A" w:rsidRDefault="00BD596A" w:rsidP="00BD596A">
      <w:pPr>
        <w:pStyle w:val="Heading3"/>
        <w:numPr>
          <w:ilvl w:val="2"/>
          <w:numId w:val="1"/>
        </w:numPr>
        <w:bidi/>
        <w:rPr>
          <w:sz w:val="26"/>
          <w:szCs w:val="26"/>
        </w:rPr>
      </w:pPr>
      <w:r>
        <w:rPr>
          <w:sz w:val="26"/>
          <w:szCs w:val="26"/>
          <w:rtl/>
          <w:lang w:bidi="ar-EG"/>
        </w:rPr>
        <w:t xml:space="preserve">أي تغييرات في التكنولوجيا البديلة، على أساس الفهم بأن أي تقديم لمثل هذا الطلب سيحدد التكاليف الإضافية المتصلة بها، والآثار المحتملة على المناخ، وأي فروق في حجم قدرات استنفاد الأوزون التي تزال إذا كان ذلك ينطبق، فضلا عن التأكيد بأن البلد يوافق على أن </w:t>
      </w:r>
      <w:r>
        <w:rPr>
          <w:rFonts w:hint="cs"/>
          <w:sz w:val="26"/>
          <w:szCs w:val="26"/>
          <w:rtl/>
          <w:lang w:bidi="ar-EG"/>
        </w:rPr>
        <w:t>ت</w:t>
      </w:r>
      <w:r>
        <w:rPr>
          <w:sz w:val="26"/>
          <w:szCs w:val="26"/>
          <w:rtl/>
          <w:lang w:bidi="ar-EG"/>
        </w:rPr>
        <w:t>ؤدي أي وفورات محتملة متصلة بتغيير التكنولوجيا إلى خفض مستوى التمويل الشامل بموجب هذا الاتفاق وفقا لذلك</w:t>
      </w:r>
      <w:r>
        <w:rPr>
          <w:sz w:val="26"/>
          <w:szCs w:val="26"/>
          <w:rtl/>
        </w:rPr>
        <w:t>؛</w:t>
      </w:r>
    </w:p>
    <w:p w14:paraId="15A6DF3D" w14:textId="77777777" w:rsidR="00BD596A" w:rsidRDefault="00BD596A" w:rsidP="00BD596A">
      <w:pPr>
        <w:pStyle w:val="Heading2"/>
        <w:numPr>
          <w:ilvl w:val="1"/>
          <w:numId w:val="1"/>
        </w:numPr>
        <w:bidi/>
        <w:rPr>
          <w:sz w:val="26"/>
          <w:szCs w:val="26"/>
        </w:rPr>
      </w:pPr>
      <w:r>
        <w:rPr>
          <w:rFonts w:hint="cs"/>
          <w:sz w:val="26"/>
          <w:szCs w:val="26"/>
          <w:rtl/>
        </w:rPr>
        <w:t>عمليات إعادة</w:t>
      </w:r>
      <w:r>
        <w:rPr>
          <w:sz w:val="26"/>
          <w:szCs w:val="26"/>
          <w:rtl/>
        </w:rPr>
        <w:t xml:space="preserve"> التخصيص غير المصنّفة كتعديلات رئيسية، يمكن إدماجها في خطة التنفيذ السنوية الموافق عليها، والتي تكون عندئذ قيد التنفيذ، ويتمّ إبلاغ اللجنة التنفيذية بشأنها في تقرير التنفيذ السنوي اللاحق؛</w:t>
      </w:r>
    </w:p>
    <w:p w14:paraId="3DCEF2EA" w14:textId="77777777" w:rsidR="00BD596A" w:rsidRDefault="00BD596A" w:rsidP="00BD596A">
      <w:pPr>
        <w:bidi/>
        <w:ind w:left="1440" w:hanging="720"/>
        <w:rPr>
          <w:sz w:val="26"/>
          <w:szCs w:val="26"/>
          <w:rtl/>
        </w:rPr>
      </w:pPr>
      <w:r>
        <w:rPr>
          <w:rFonts w:hint="cs"/>
          <w:sz w:val="26"/>
          <w:szCs w:val="26"/>
          <w:rtl/>
        </w:rPr>
        <w:lastRenderedPageBreak/>
        <w:t xml:space="preserve"> (ج)</w:t>
      </w:r>
      <w:r>
        <w:rPr>
          <w:rFonts w:hint="cs"/>
          <w:sz w:val="26"/>
          <w:szCs w:val="26"/>
          <w:rtl/>
        </w:rPr>
        <w:tab/>
        <w:t>و</w:t>
      </w:r>
      <w:r>
        <w:rPr>
          <w:sz w:val="26"/>
          <w:szCs w:val="26"/>
          <w:rtl/>
        </w:rPr>
        <w:t xml:space="preserve">سيتم إرجاع أي أموال متبقية تحتفظ بها الوكالات الثنائية أو </w:t>
      </w:r>
      <w:r>
        <w:rPr>
          <w:rFonts w:hint="cs"/>
          <w:sz w:val="26"/>
          <w:szCs w:val="26"/>
          <w:rtl/>
        </w:rPr>
        <w:t>المنفذة</w:t>
      </w:r>
      <w:r>
        <w:rPr>
          <w:sz w:val="26"/>
          <w:szCs w:val="26"/>
          <w:rtl/>
        </w:rPr>
        <w:t xml:space="preserve"> أو البلد في إطار </w:t>
      </w:r>
      <w:r>
        <w:rPr>
          <w:rFonts w:hint="cs"/>
          <w:sz w:val="26"/>
          <w:szCs w:val="26"/>
          <w:rtl/>
        </w:rPr>
        <w:t>ال</w:t>
      </w:r>
      <w:r>
        <w:rPr>
          <w:sz w:val="26"/>
          <w:szCs w:val="26"/>
          <w:rtl/>
        </w:rPr>
        <w:t xml:space="preserve">خطة </w:t>
      </w:r>
      <w:r>
        <w:rPr>
          <w:rFonts w:hint="cs"/>
          <w:sz w:val="26"/>
          <w:szCs w:val="26"/>
          <w:rtl/>
        </w:rPr>
        <w:t>إلى ا</w:t>
      </w:r>
      <w:r>
        <w:rPr>
          <w:sz w:val="26"/>
          <w:szCs w:val="26"/>
          <w:rtl/>
        </w:rPr>
        <w:t xml:space="preserve">لصندوق المتعدد الأطراف </w:t>
      </w:r>
      <w:r>
        <w:rPr>
          <w:rFonts w:hint="cs"/>
          <w:sz w:val="26"/>
          <w:szCs w:val="26"/>
          <w:rtl/>
        </w:rPr>
        <w:t>بعد</w:t>
      </w:r>
      <w:r>
        <w:rPr>
          <w:sz w:val="26"/>
          <w:szCs w:val="26"/>
          <w:rtl/>
        </w:rPr>
        <w:t xml:space="preserve"> </w:t>
      </w:r>
      <w:r>
        <w:rPr>
          <w:rFonts w:hint="cs"/>
          <w:sz w:val="26"/>
          <w:szCs w:val="26"/>
          <w:rtl/>
        </w:rPr>
        <w:t>إنجاز</w:t>
      </w:r>
      <w:r>
        <w:rPr>
          <w:sz w:val="26"/>
          <w:szCs w:val="26"/>
          <w:rtl/>
        </w:rPr>
        <w:t xml:space="preserve"> الشريحة </w:t>
      </w:r>
      <w:r>
        <w:rPr>
          <w:rFonts w:hint="cs"/>
          <w:sz w:val="26"/>
          <w:szCs w:val="26"/>
          <w:rtl/>
        </w:rPr>
        <w:t>الأخيرة المنتظرة</w:t>
      </w:r>
      <w:r>
        <w:rPr>
          <w:sz w:val="26"/>
          <w:szCs w:val="26"/>
          <w:rtl/>
        </w:rPr>
        <w:t xml:space="preserve"> في إطار هذا الاتفاق.</w:t>
      </w:r>
    </w:p>
    <w:p w14:paraId="4749C6FC" w14:textId="77777777" w:rsidR="00BD596A" w:rsidRDefault="00BD596A" w:rsidP="00BD596A">
      <w:pPr>
        <w:bidi/>
        <w:ind w:left="1440" w:hanging="720"/>
        <w:rPr>
          <w:rtl/>
        </w:rPr>
      </w:pPr>
    </w:p>
    <w:p w14:paraId="2AF55A7B" w14:textId="77777777" w:rsidR="00BD596A" w:rsidRDefault="00BD596A" w:rsidP="00BD596A">
      <w:pPr>
        <w:pStyle w:val="Heading1"/>
        <w:numPr>
          <w:ilvl w:val="0"/>
          <w:numId w:val="0"/>
        </w:numPr>
        <w:bidi/>
        <w:ind w:left="90"/>
        <w:rPr>
          <w:b/>
          <w:bCs/>
          <w:sz w:val="26"/>
          <w:szCs w:val="26"/>
        </w:rPr>
      </w:pPr>
      <w:r>
        <w:rPr>
          <w:rFonts w:hint="cs"/>
          <w:b/>
          <w:bCs/>
          <w:sz w:val="26"/>
          <w:szCs w:val="26"/>
          <w:rtl/>
        </w:rPr>
        <w:t>اعتبارات لقطاع خدمات التبريد</w:t>
      </w:r>
    </w:p>
    <w:p w14:paraId="219CF654" w14:textId="77777777" w:rsidR="00BD596A" w:rsidRDefault="00BD596A" w:rsidP="00BD596A">
      <w:pPr>
        <w:pStyle w:val="Heading1"/>
        <w:tabs>
          <w:tab w:val="clear" w:pos="0"/>
          <w:tab w:val="num" w:pos="90"/>
        </w:tabs>
        <w:bidi/>
        <w:ind w:left="90"/>
        <w:rPr>
          <w:sz w:val="26"/>
          <w:szCs w:val="26"/>
        </w:rPr>
      </w:pPr>
      <w:r>
        <w:rPr>
          <w:rFonts w:hint="cs"/>
          <w:sz w:val="26"/>
          <w:szCs w:val="26"/>
          <w:rtl/>
        </w:rPr>
        <w:t>ي</w:t>
      </w:r>
      <w:r>
        <w:rPr>
          <w:sz w:val="26"/>
          <w:szCs w:val="26"/>
          <w:rtl/>
        </w:rPr>
        <w:t>ولى الاهتمام على وجه التحديد لتنفيذ الأنشطة في قطـاع خدمـات التبريـد، وبصفة خاصة لما يلي:</w:t>
      </w:r>
    </w:p>
    <w:p w14:paraId="1DA2BF99" w14:textId="77777777" w:rsidR="00BD596A" w:rsidRDefault="00BD596A" w:rsidP="00BD596A">
      <w:pPr>
        <w:pStyle w:val="Heading2"/>
        <w:numPr>
          <w:ilvl w:val="1"/>
          <w:numId w:val="1"/>
        </w:numPr>
        <w:bidi/>
        <w:rPr>
          <w:sz w:val="26"/>
          <w:szCs w:val="26"/>
        </w:rPr>
      </w:pPr>
      <w:r>
        <w:rPr>
          <w:sz w:val="26"/>
          <w:szCs w:val="26"/>
          <w:rtl/>
        </w:rPr>
        <w:t>أن يستعمل البلد المرونة المتاحة بموجب هذا الاتفاق لمعالجة الاحتياجات الخاصّة التي قد تطرأ خلال تنفيذ المشروع؛</w:t>
      </w:r>
    </w:p>
    <w:p w14:paraId="079D0436" w14:textId="77777777" w:rsidR="00BD596A" w:rsidRDefault="00BD596A" w:rsidP="00BD596A">
      <w:pPr>
        <w:pStyle w:val="Heading2"/>
        <w:numPr>
          <w:ilvl w:val="1"/>
          <w:numId w:val="1"/>
        </w:numPr>
        <w:bidi/>
        <w:rPr>
          <w:sz w:val="26"/>
          <w:szCs w:val="26"/>
        </w:rPr>
      </w:pPr>
      <w:r>
        <w:rPr>
          <w:sz w:val="26"/>
          <w:szCs w:val="26"/>
          <w:rtl/>
        </w:rPr>
        <w:t xml:space="preserve">أن يأخذ البلد </w:t>
      </w:r>
      <w:r>
        <w:rPr>
          <w:rFonts w:hint="cs"/>
          <w:sz w:val="26"/>
          <w:szCs w:val="26"/>
          <w:rtl/>
        </w:rPr>
        <w:t>و</w:t>
      </w:r>
      <w:r>
        <w:rPr>
          <w:sz w:val="26"/>
          <w:szCs w:val="26"/>
          <w:rtl/>
        </w:rPr>
        <w:t>الوكالات الثنائية و</w:t>
      </w:r>
      <w:r>
        <w:rPr>
          <w:rFonts w:hint="cs"/>
          <w:sz w:val="26"/>
          <w:szCs w:val="26"/>
          <w:rtl/>
        </w:rPr>
        <w:t xml:space="preserve">/أو </w:t>
      </w:r>
      <w:r>
        <w:rPr>
          <w:sz w:val="26"/>
          <w:szCs w:val="26"/>
          <w:rtl/>
        </w:rPr>
        <w:t xml:space="preserve">المنفذة المعنية بعين الاعتبار </w:t>
      </w:r>
      <w:r>
        <w:rPr>
          <w:rFonts w:hint="cs"/>
          <w:sz w:val="26"/>
          <w:szCs w:val="26"/>
          <w:rtl/>
        </w:rPr>
        <w:t xml:space="preserve">المقررات ذات الصلة بشأن قطاع خدمات التبريد </w:t>
      </w:r>
      <w:r>
        <w:rPr>
          <w:sz w:val="26"/>
          <w:szCs w:val="26"/>
          <w:rtl/>
        </w:rPr>
        <w:t>خلال تنفيذ الخطة</w:t>
      </w:r>
      <w:r>
        <w:rPr>
          <w:rFonts w:hint="cs"/>
          <w:sz w:val="26"/>
          <w:szCs w:val="26"/>
          <w:rtl/>
        </w:rPr>
        <w:t>.</w:t>
      </w:r>
    </w:p>
    <w:p w14:paraId="2DB744DD" w14:textId="77777777" w:rsidR="00BD596A" w:rsidRDefault="00BD596A" w:rsidP="00BD596A">
      <w:pPr>
        <w:pStyle w:val="Heading1"/>
        <w:numPr>
          <w:ilvl w:val="0"/>
          <w:numId w:val="0"/>
        </w:numPr>
        <w:bidi/>
        <w:ind w:left="90"/>
        <w:rPr>
          <w:b/>
          <w:bCs/>
          <w:sz w:val="26"/>
          <w:szCs w:val="26"/>
        </w:rPr>
      </w:pPr>
      <w:r>
        <w:rPr>
          <w:rFonts w:hint="cs"/>
          <w:b/>
          <w:bCs/>
          <w:sz w:val="26"/>
          <w:szCs w:val="26"/>
          <w:rtl/>
        </w:rPr>
        <w:t>الوكالات الثنائية والمنفذة</w:t>
      </w:r>
    </w:p>
    <w:p w14:paraId="6AD9A36E" w14:textId="77777777" w:rsidR="00BD596A" w:rsidRDefault="00BD596A" w:rsidP="00BD596A">
      <w:pPr>
        <w:pStyle w:val="Heading1"/>
        <w:tabs>
          <w:tab w:val="clear" w:pos="0"/>
          <w:tab w:val="num" w:pos="90"/>
        </w:tabs>
        <w:bidi/>
        <w:ind w:left="90"/>
        <w:rPr>
          <w:sz w:val="26"/>
          <w:szCs w:val="26"/>
        </w:rPr>
      </w:pPr>
      <w:r>
        <w:rPr>
          <w:sz w:val="26"/>
          <w:szCs w:val="26"/>
          <w:rtl/>
        </w:rPr>
        <w:t xml:space="preserve">يوافق البلد على تحمل المسؤولية الشاملة </w:t>
      </w:r>
      <w:r>
        <w:rPr>
          <w:rFonts w:hint="cs"/>
          <w:sz w:val="26"/>
          <w:szCs w:val="26"/>
          <w:rtl/>
        </w:rPr>
        <w:t>ل</w:t>
      </w:r>
      <w:r>
        <w:rPr>
          <w:sz w:val="26"/>
          <w:szCs w:val="26"/>
          <w:rtl/>
        </w:rPr>
        <w:t xml:space="preserve">إدارة وتنفيذ هذا الاتفاق وجميع الأنشطة التي </w:t>
      </w:r>
      <w:r>
        <w:rPr>
          <w:rFonts w:hint="cs"/>
          <w:sz w:val="26"/>
          <w:szCs w:val="26"/>
          <w:rtl/>
        </w:rPr>
        <w:t>يجريها</w:t>
      </w:r>
      <w:r>
        <w:rPr>
          <w:sz w:val="26"/>
          <w:szCs w:val="26"/>
          <w:rtl/>
        </w:rPr>
        <w:t xml:space="preserve"> أو نيابة عنه </w:t>
      </w:r>
      <w:r>
        <w:rPr>
          <w:rFonts w:hint="cs"/>
          <w:sz w:val="26"/>
          <w:szCs w:val="26"/>
          <w:rtl/>
        </w:rPr>
        <w:t>من أجل ا</w:t>
      </w:r>
      <w:r>
        <w:rPr>
          <w:sz w:val="26"/>
          <w:szCs w:val="26"/>
          <w:rtl/>
        </w:rPr>
        <w:t xml:space="preserve">لوفاء بالالتزامات بموجب هذا الاتفاق. </w:t>
      </w:r>
      <w:r>
        <w:rPr>
          <w:rFonts w:hint="cs"/>
          <w:sz w:val="26"/>
          <w:szCs w:val="26"/>
          <w:rtl/>
        </w:rPr>
        <w:t>و</w:t>
      </w:r>
      <w:r>
        <w:rPr>
          <w:sz w:val="26"/>
          <w:szCs w:val="26"/>
          <w:rtl/>
        </w:rPr>
        <w:t>وافق</w:t>
      </w:r>
      <w:r>
        <w:rPr>
          <w:rFonts w:hint="cs"/>
          <w:sz w:val="26"/>
          <w:szCs w:val="26"/>
          <w:rtl/>
        </w:rPr>
        <w:t>ت</w:t>
      </w:r>
      <w:r>
        <w:rPr>
          <w:sz w:val="26"/>
          <w:szCs w:val="26"/>
          <w:rtl/>
        </w:rPr>
        <w:t xml:space="preserve"> </w:t>
      </w:r>
      <w:r>
        <w:rPr>
          <w:rFonts w:hint="cs"/>
          <w:sz w:val="26"/>
          <w:szCs w:val="26"/>
          <w:rtl/>
        </w:rPr>
        <w:t xml:space="preserve">حكومة ألمانيا على </w:t>
      </w:r>
      <w:r>
        <w:rPr>
          <w:sz w:val="26"/>
          <w:szCs w:val="26"/>
          <w:rtl/>
        </w:rPr>
        <w:t xml:space="preserve">أن </w:t>
      </w:r>
      <w:r>
        <w:rPr>
          <w:rFonts w:hint="cs"/>
          <w:sz w:val="26"/>
          <w:szCs w:val="26"/>
          <w:rtl/>
        </w:rPr>
        <w:t>ت</w:t>
      </w:r>
      <w:r>
        <w:rPr>
          <w:sz w:val="26"/>
          <w:szCs w:val="26"/>
          <w:rtl/>
        </w:rPr>
        <w:t xml:space="preserve">كون الوكالة المنفذة </w:t>
      </w:r>
      <w:r>
        <w:rPr>
          <w:rFonts w:hint="cs"/>
          <w:sz w:val="26"/>
          <w:szCs w:val="26"/>
          <w:rtl/>
        </w:rPr>
        <w:t>الرئيسية</w:t>
      </w:r>
      <w:r>
        <w:rPr>
          <w:sz w:val="26"/>
          <w:szCs w:val="26"/>
          <w:rtl/>
        </w:rPr>
        <w:t xml:space="preserve"> </w:t>
      </w:r>
      <w:r>
        <w:rPr>
          <w:rFonts w:hint="cs"/>
          <w:sz w:val="26"/>
          <w:szCs w:val="26"/>
          <w:rtl/>
        </w:rPr>
        <w:t xml:space="preserve">("الوكالة المنفذة الرئيسية") </w:t>
      </w:r>
      <w:r>
        <w:rPr>
          <w:sz w:val="26"/>
          <w:szCs w:val="26"/>
          <w:rtl/>
        </w:rPr>
        <w:t xml:space="preserve">فيما يتعلق بأنشطة البلد </w:t>
      </w:r>
      <w:r>
        <w:rPr>
          <w:rFonts w:hint="cs"/>
          <w:sz w:val="26"/>
          <w:szCs w:val="26"/>
          <w:rtl/>
        </w:rPr>
        <w:t>بموجب</w:t>
      </w:r>
      <w:r>
        <w:rPr>
          <w:sz w:val="26"/>
          <w:szCs w:val="26"/>
          <w:rtl/>
        </w:rPr>
        <w:t xml:space="preserve"> هذا الاتفاق. </w:t>
      </w:r>
      <w:r>
        <w:rPr>
          <w:rFonts w:hint="cs"/>
          <w:sz w:val="26"/>
          <w:szCs w:val="26"/>
          <w:rtl/>
        </w:rPr>
        <w:t>و</w:t>
      </w:r>
      <w:r>
        <w:rPr>
          <w:sz w:val="26"/>
          <w:szCs w:val="26"/>
          <w:rtl/>
        </w:rPr>
        <w:t xml:space="preserve">يوافق البلد على عمليات التقييم، التي قد تتم في إطار برامج الرصد والتقييم للصندوق المتعدد الأطراف أو في إطار برنامج تقييم </w:t>
      </w:r>
      <w:r>
        <w:rPr>
          <w:rFonts w:hint="cs"/>
          <w:sz w:val="26"/>
          <w:szCs w:val="26"/>
          <w:rtl/>
        </w:rPr>
        <w:t xml:space="preserve">برنامج </w:t>
      </w:r>
      <w:r>
        <w:rPr>
          <w:sz w:val="26"/>
          <w:szCs w:val="26"/>
          <w:rtl/>
        </w:rPr>
        <w:t xml:space="preserve">الوكالة المنفذة </w:t>
      </w:r>
      <w:r>
        <w:rPr>
          <w:rFonts w:hint="cs"/>
          <w:sz w:val="26"/>
          <w:szCs w:val="26"/>
          <w:rtl/>
        </w:rPr>
        <w:t>الرئيسية</w:t>
      </w:r>
      <w:r>
        <w:rPr>
          <w:sz w:val="26"/>
          <w:szCs w:val="26"/>
          <w:rtl/>
        </w:rPr>
        <w:t xml:space="preserve"> </w:t>
      </w:r>
      <w:r>
        <w:rPr>
          <w:rFonts w:hint="cs"/>
          <w:sz w:val="26"/>
          <w:szCs w:val="26"/>
          <w:rtl/>
        </w:rPr>
        <w:t xml:space="preserve"> </w:t>
      </w:r>
      <w:r>
        <w:rPr>
          <w:sz w:val="26"/>
          <w:szCs w:val="26"/>
          <w:rtl/>
        </w:rPr>
        <w:t>المشاركة في هذا الاتفاق.</w:t>
      </w:r>
    </w:p>
    <w:p w14:paraId="3A5FA84D" w14:textId="77777777" w:rsidR="00BD596A" w:rsidRDefault="00BD596A" w:rsidP="00BD596A">
      <w:pPr>
        <w:pStyle w:val="Heading1"/>
        <w:tabs>
          <w:tab w:val="clear" w:pos="0"/>
          <w:tab w:val="num" w:pos="90"/>
        </w:tabs>
        <w:bidi/>
        <w:ind w:left="90"/>
        <w:rPr>
          <w:sz w:val="26"/>
          <w:szCs w:val="26"/>
        </w:rPr>
      </w:pPr>
      <w:r>
        <w:rPr>
          <w:sz w:val="26"/>
          <w:szCs w:val="26"/>
          <w:rtl/>
        </w:rPr>
        <w:t xml:space="preserve">ستكون الوكالة المنفذة الرئيسية مسؤولة عن ضمان التخطيط المنسق لجميع الأنشطة وتنفيذها والإبلاغ عنها بموجب هذا الاتفاق، بما في ذلك على سبيل المثال لا الحصر التحقق المستقل وفقا للفقرة الفرعية 5 (ب). </w:t>
      </w:r>
      <w:r>
        <w:rPr>
          <w:rFonts w:hint="cs"/>
          <w:sz w:val="26"/>
          <w:szCs w:val="26"/>
          <w:rtl/>
        </w:rPr>
        <w:t xml:space="preserve">ويرد دور الوكالة المنفذة الرئيسية في التذييل 6- ألف والتذييل 6- باء، على التوالي. </w:t>
      </w:r>
      <w:r>
        <w:rPr>
          <w:rFonts w:hint="cs"/>
          <w:sz w:val="26"/>
          <w:szCs w:val="26"/>
          <w:rtl/>
          <w:lang w:bidi="ar-EG"/>
        </w:rPr>
        <w:t>وتوافق اللجنة التنفيذية، من حيث المبدأ، على إمداد الوكالة المنفذة الرئيسية  بالرسوم المحددة في الصف2-2 في التذييل 2- ألف.</w:t>
      </w:r>
    </w:p>
    <w:p w14:paraId="02C856D6" w14:textId="77777777" w:rsidR="00BD596A" w:rsidRDefault="00BD596A" w:rsidP="00BD596A">
      <w:pPr>
        <w:pStyle w:val="Heading1"/>
        <w:keepNext/>
        <w:numPr>
          <w:ilvl w:val="0"/>
          <w:numId w:val="0"/>
        </w:numPr>
        <w:bidi/>
        <w:ind w:left="86"/>
        <w:rPr>
          <w:b/>
          <w:bCs/>
          <w:sz w:val="26"/>
          <w:szCs w:val="26"/>
        </w:rPr>
      </w:pPr>
      <w:r>
        <w:rPr>
          <w:rFonts w:hint="cs"/>
          <w:b/>
          <w:bCs/>
          <w:sz w:val="26"/>
          <w:szCs w:val="26"/>
          <w:rtl/>
        </w:rPr>
        <w:t>عدم الامتثال للاتفاق</w:t>
      </w:r>
    </w:p>
    <w:p w14:paraId="5AB80072" w14:textId="77777777" w:rsidR="00BD596A" w:rsidRDefault="00BD596A" w:rsidP="00BD596A">
      <w:pPr>
        <w:pStyle w:val="Heading1"/>
        <w:tabs>
          <w:tab w:val="clear" w:pos="0"/>
          <w:tab w:val="num" w:pos="90"/>
        </w:tabs>
        <w:bidi/>
        <w:ind w:left="90"/>
        <w:rPr>
          <w:sz w:val="26"/>
          <w:szCs w:val="26"/>
          <w:rtl/>
        </w:rPr>
      </w:pPr>
      <w:r>
        <w:rPr>
          <w:sz w:val="26"/>
          <w:szCs w:val="26"/>
          <w:rtl/>
        </w:rPr>
        <w:t>في حال عدم تمكّن البلد، لأي سبب من الأسباب، من تحقيق الأهداف المتعلقة بإزالة المواد المحددة في الصف الأفقي 1-2 من التذييل 2-ألف، أو عجزه على أي وجه آخر عن الامتثال لهذا الاتفاق، فعندئذ يقبل البلد بأنه لن يحقّ له الحصول على التمويل وفقاً لجدول الموافقة على التمويل. ويحق للجنة التنفيذية، حسب تقديرها، أن تعيد التمويل إلى وضعه وفقاً لجدول زمني منقح للموافقة على التمويل تحدّده اللجنة التنفيذية بعد أن يبرهن البلد على وفائه بكافة التزاماته التي كان من المقرر أن تتحقق قبل تسلم شريحة التمويل التالية في إطار جدول الموافقة على التمويل. ويعترف البلد بأنه يجوز للجنة التنفيذية أن تخفض قيمة التمويل بالقيمة المحدّدة في التذييل 7- ألف ("تخفيضات في التمويل بسبب عدم الامتثال")، عن كّل كيلوغرام من</w:t>
      </w:r>
      <w:r>
        <w:rPr>
          <w:rFonts w:hint="cs"/>
          <w:sz w:val="26"/>
          <w:szCs w:val="26"/>
          <w:rtl/>
        </w:rPr>
        <w:t xml:space="preserve"> قدرات استنفاذ الأوزون</w:t>
      </w:r>
      <w:r>
        <w:rPr>
          <w:sz w:val="26"/>
          <w:szCs w:val="26"/>
          <w:rtl/>
        </w:rPr>
        <w:t xml:space="preserve"> </w:t>
      </w:r>
      <w:r>
        <w:rPr>
          <w:rFonts w:hint="cs"/>
          <w:sz w:val="26"/>
          <w:szCs w:val="26"/>
          <w:rtl/>
        </w:rPr>
        <w:t xml:space="preserve">من </w:t>
      </w:r>
      <w:r>
        <w:rPr>
          <w:sz w:val="26"/>
          <w:szCs w:val="26"/>
          <w:rtl/>
        </w:rPr>
        <w:t xml:space="preserve">تخفيضات الاستهلاك غير المُنجزة في أي سنة من السنوات، وسوف تناقش اللجنة التنفيذية كل حالة من حالات عدم امتثال البلد لهذا الاتفاق على حدة، وتتخذ قرارات </w:t>
      </w:r>
      <w:r>
        <w:rPr>
          <w:rFonts w:hint="cs"/>
          <w:sz w:val="26"/>
          <w:szCs w:val="26"/>
          <w:rtl/>
        </w:rPr>
        <w:t>بشأنها</w:t>
      </w:r>
      <w:r>
        <w:rPr>
          <w:sz w:val="26"/>
          <w:szCs w:val="26"/>
          <w:rtl/>
        </w:rPr>
        <w:t>. وبعد اتخاذ هذه القرارات، لن تشكل حالة</w:t>
      </w:r>
      <w:r>
        <w:rPr>
          <w:rFonts w:hint="cs"/>
          <w:sz w:val="26"/>
          <w:szCs w:val="26"/>
          <w:rtl/>
        </w:rPr>
        <w:t xml:space="preserve"> عدم الامتثال المعنية لهذا الاتفاق</w:t>
      </w:r>
      <w:r>
        <w:rPr>
          <w:sz w:val="26"/>
          <w:szCs w:val="26"/>
          <w:rtl/>
        </w:rPr>
        <w:t xml:space="preserve"> عائقا أمام</w:t>
      </w:r>
      <w:r>
        <w:rPr>
          <w:rFonts w:hint="cs"/>
          <w:sz w:val="26"/>
          <w:szCs w:val="26"/>
          <w:rtl/>
        </w:rPr>
        <w:t xml:space="preserve"> تقديم</w:t>
      </w:r>
      <w:r>
        <w:rPr>
          <w:sz w:val="26"/>
          <w:szCs w:val="26"/>
          <w:rtl/>
        </w:rPr>
        <w:t xml:space="preserve"> </w:t>
      </w:r>
      <w:r>
        <w:rPr>
          <w:rFonts w:hint="cs"/>
          <w:sz w:val="26"/>
          <w:szCs w:val="26"/>
          <w:rtl/>
        </w:rPr>
        <w:t>التمويل</w:t>
      </w:r>
      <w:r>
        <w:rPr>
          <w:sz w:val="26"/>
          <w:szCs w:val="26"/>
          <w:rtl/>
        </w:rPr>
        <w:t xml:space="preserve"> </w:t>
      </w:r>
      <w:r>
        <w:rPr>
          <w:rFonts w:hint="cs"/>
          <w:sz w:val="26"/>
          <w:szCs w:val="26"/>
          <w:rtl/>
        </w:rPr>
        <w:t>لل</w:t>
      </w:r>
      <w:r>
        <w:rPr>
          <w:sz w:val="26"/>
          <w:szCs w:val="26"/>
          <w:rtl/>
        </w:rPr>
        <w:t>شرائح</w:t>
      </w:r>
      <w:r>
        <w:rPr>
          <w:rFonts w:hint="cs"/>
          <w:sz w:val="26"/>
          <w:szCs w:val="26"/>
          <w:rtl/>
        </w:rPr>
        <w:t xml:space="preserve"> المستقبلية</w:t>
      </w:r>
      <w:r>
        <w:rPr>
          <w:sz w:val="26"/>
          <w:szCs w:val="26"/>
          <w:rtl/>
        </w:rPr>
        <w:t xml:space="preserve"> وفقا للفقرة 5 </w:t>
      </w:r>
      <w:r>
        <w:rPr>
          <w:rFonts w:hint="cs"/>
          <w:sz w:val="26"/>
          <w:szCs w:val="26"/>
          <w:rtl/>
        </w:rPr>
        <w:t xml:space="preserve">المذكورة </w:t>
      </w:r>
      <w:r>
        <w:rPr>
          <w:sz w:val="26"/>
          <w:szCs w:val="26"/>
          <w:rtl/>
        </w:rPr>
        <w:t>أعلاه.</w:t>
      </w:r>
    </w:p>
    <w:p w14:paraId="5FF5F1CD" w14:textId="77777777" w:rsidR="00BD596A" w:rsidRDefault="00BD596A" w:rsidP="00BD596A">
      <w:pPr>
        <w:pStyle w:val="Heading1"/>
        <w:tabs>
          <w:tab w:val="clear" w:pos="0"/>
          <w:tab w:val="num" w:pos="90"/>
        </w:tabs>
        <w:bidi/>
        <w:ind w:left="90"/>
        <w:rPr>
          <w:sz w:val="26"/>
          <w:szCs w:val="26"/>
          <w:rtl/>
        </w:rPr>
      </w:pPr>
      <w:r>
        <w:rPr>
          <w:sz w:val="26"/>
          <w:szCs w:val="26"/>
          <w:rtl/>
        </w:rPr>
        <w:t xml:space="preserve">لن تخضع عناصر تمويل هذا الاتفاق للتعديل على أساس أي </w:t>
      </w:r>
      <w:r>
        <w:rPr>
          <w:rFonts w:hint="cs"/>
          <w:sz w:val="26"/>
          <w:szCs w:val="26"/>
          <w:rtl/>
        </w:rPr>
        <w:t>مقررات</w:t>
      </w:r>
      <w:r>
        <w:rPr>
          <w:sz w:val="26"/>
          <w:szCs w:val="26"/>
          <w:rtl/>
        </w:rPr>
        <w:t xml:space="preserve"> للجنة التنفيذية في المستقبل قد </w:t>
      </w:r>
      <w:r>
        <w:rPr>
          <w:rFonts w:hint="cs"/>
          <w:sz w:val="26"/>
          <w:szCs w:val="26"/>
          <w:rtl/>
        </w:rPr>
        <w:t>ت</w:t>
      </w:r>
      <w:r>
        <w:rPr>
          <w:sz w:val="26"/>
          <w:szCs w:val="26"/>
          <w:rtl/>
        </w:rPr>
        <w:t>ؤثر على تمويل أية مشروعات أخرى في قطاعات الاستهلاك أو أي أنشطة أخرى ذات صلة في البلد</w:t>
      </w:r>
      <w:r>
        <w:rPr>
          <w:rFonts w:hint="cs"/>
          <w:sz w:val="26"/>
          <w:szCs w:val="26"/>
          <w:rtl/>
        </w:rPr>
        <w:t>.</w:t>
      </w:r>
    </w:p>
    <w:p w14:paraId="794A34E3" w14:textId="77777777" w:rsidR="00BD596A" w:rsidRDefault="00BD596A" w:rsidP="00BD596A">
      <w:pPr>
        <w:pStyle w:val="Heading1"/>
        <w:tabs>
          <w:tab w:val="clear" w:pos="0"/>
          <w:tab w:val="num" w:pos="90"/>
        </w:tabs>
        <w:bidi/>
        <w:ind w:left="90"/>
        <w:rPr>
          <w:sz w:val="26"/>
          <w:szCs w:val="26"/>
        </w:rPr>
      </w:pPr>
      <w:r>
        <w:rPr>
          <w:sz w:val="26"/>
          <w:szCs w:val="26"/>
          <w:rtl/>
        </w:rPr>
        <w:t>سوف يستجيب البلد لأي طلب معقول من اللجنة التنفيذية</w:t>
      </w:r>
      <w:r>
        <w:rPr>
          <w:rFonts w:hint="cs"/>
          <w:sz w:val="26"/>
          <w:szCs w:val="26"/>
          <w:rtl/>
        </w:rPr>
        <w:t xml:space="preserve"> و</w:t>
      </w:r>
      <w:r>
        <w:rPr>
          <w:sz w:val="26"/>
          <w:szCs w:val="26"/>
          <w:rtl/>
        </w:rPr>
        <w:t>الوكالة المنفذة الرئيسية لتيسير تنفيذ هذا الاتفاق. وبنوع خاص</w:t>
      </w:r>
      <w:r>
        <w:rPr>
          <w:rFonts w:hint="cs"/>
          <w:sz w:val="26"/>
          <w:szCs w:val="26"/>
          <w:rtl/>
        </w:rPr>
        <w:t>،</w:t>
      </w:r>
      <w:r>
        <w:rPr>
          <w:sz w:val="26"/>
          <w:szCs w:val="26"/>
          <w:rtl/>
        </w:rPr>
        <w:t xml:space="preserve"> عليه أن يتيح للوكالة المنفذة الرئيسية</w:t>
      </w:r>
      <w:r>
        <w:rPr>
          <w:rFonts w:hint="cs"/>
          <w:sz w:val="26"/>
          <w:szCs w:val="26"/>
          <w:rtl/>
        </w:rPr>
        <w:t xml:space="preserve"> الاطلاع</w:t>
      </w:r>
      <w:r>
        <w:rPr>
          <w:sz w:val="26"/>
          <w:szCs w:val="26"/>
          <w:rtl/>
        </w:rPr>
        <w:t xml:space="preserve"> على المعلومات الضرورية للتحقق من الامتثال لهذا الاتفاق.</w:t>
      </w:r>
    </w:p>
    <w:p w14:paraId="460C5359" w14:textId="77777777" w:rsidR="00BD596A" w:rsidRDefault="00BD596A" w:rsidP="00BD596A">
      <w:pPr>
        <w:pStyle w:val="Heading1"/>
        <w:numPr>
          <w:ilvl w:val="0"/>
          <w:numId w:val="0"/>
        </w:numPr>
        <w:bidi/>
        <w:ind w:left="90"/>
        <w:rPr>
          <w:b/>
          <w:bCs/>
          <w:sz w:val="26"/>
          <w:szCs w:val="26"/>
        </w:rPr>
      </w:pPr>
      <w:r>
        <w:rPr>
          <w:rFonts w:hint="cs"/>
          <w:b/>
          <w:bCs/>
          <w:sz w:val="26"/>
          <w:szCs w:val="26"/>
          <w:rtl/>
        </w:rPr>
        <w:lastRenderedPageBreak/>
        <w:t>تاريخ الإنجاز</w:t>
      </w:r>
    </w:p>
    <w:p w14:paraId="61E6524D" w14:textId="77777777" w:rsidR="00BD596A" w:rsidRDefault="00BD596A" w:rsidP="00BD596A">
      <w:pPr>
        <w:pStyle w:val="Heading1"/>
        <w:tabs>
          <w:tab w:val="clear" w:pos="0"/>
          <w:tab w:val="num" w:pos="90"/>
        </w:tabs>
        <w:bidi/>
        <w:ind w:left="90"/>
        <w:rPr>
          <w:sz w:val="26"/>
          <w:szCs w:val="26"/>
          <w:rtl/>
        </w:rPr>
      </w:pPr>
      <w:r>
        <w:rPr>
          <w:sz w:val="26"/>
          <w:szCs w:val="26"/>
          <w:rtl/>
        </w:rPr>
        <w:t xml:space="preserve">يتم إنجاز </w:t>
      </w:r>
      <w:r>
        <w:rPr>
          <w:rFonts w:hint="cs"/>
          <w:sz w:val="26"/>
          <w:szCs w:val="26"/>
          <w:rtl/>
        </w:rPr>
        <w:t>ال</w:t>
      </w:r>
      <w:r>
        <w:rPr>
          <w:sz w:val="26"/>
          <w:szCs w:val="26"/>
          <w:rtl/>
        </w:rPr>
        <w:t xml:space="preserve">خطة والاتفاق المقترن بها في نهاية السنة التالية لآخر سنة يحدد فيها حد أقصى مسموح به لإجمالي الاستهلاك في التذييل 2-ألف. وفي حالة بقاء أنشطة معلقة جرى التنبؤ بها في </w:t>
      </w:r>
      <w:r>
        <w:rPr>
          <w:rFonts w:hint="cs"/>
          <w:sz w:val="26"/>
          <w:szCs w:val="26"/>
          <w:rtl/>
        </w:rPr>
        <w:t xml:space="preserve">آخر شريحة لتنفيذ </w:t>
      </w:r>
      <w:r>
        <w:rPr>
          <w:sz w:val="26"/>
          <w:szCs w:val="26"/>
          <w:rtl/>
        </w:rPr>
        <w:t>الخطة والتنقيحات التالية عليها وفقا للفقرة الفرعية 5(د) والفقرة 7، فسيرجأ إتمام</w:t>
      </w:r>
      <w:r>
        <w:rPr>
          <w:rFonts w:hint="cs"/>
          <w:sz w:val="26"/>
          <w:szCs w:val="26"/>
          <w:rtl/>
        </w:rPr>
        <w:t xml:space="preserve"> الخطة</w:t>
      </w:r>
      <w:r>
        <w:rPr>
          <w:sz w:val="26"/>
          <w:szCs w:val="26"/>
          <w:rtl/>
        </w:rPr>
        <w:t xml:space="preserve"> حتى نهاية السنة المالية لتنفيذ الأنشطة المتبقية. وتستمر أنشطة الإبلاغ المنصوص عليها في الفقرات الفرعية 1(أ) و1(ب) و1(د) و1(ﻫ) من التذييل 4-ألف إلى حين إتمام</w:t>
      </w:r>
      <w:r>
        <w:rPr>
          <w:rFonts w:hint="cs"/>
          <w:sz w:val="26"/>
          <w:szCs w:val="26"/>
          <w:rtl/>
        </w:rPr>
        <w:t xml:space="preserve"> الخطة</w:t>
      </w:r>
      <w:r>
        <w:rPr>
          <w:sz w:val="26"/>
          <w:szCs w:val="26"/>
          <w:rtl/>
        </w:rPr>
        <w:t xml:space="preserve"> إلا إذا حددت اللجنة التنفيذية خلاف ذلك.</w:t>
      </w:r>
    </w:p>
    <w:p w14:paraId="5BF02D10" w14:textId="77777777" w:rsidR="00BD596A" w:rsidRDefault="00BD596A" w:rsidP="00BD596A">
      <w:pPr>
        <w:bidi/>
        <w:spacing w:after="240"/>
        <w:rPr>
          <w:b/>
          <w:bCs/>
          <w:sz w:val="26"/>
          <w:szCs w:val="26"/>
        </w:rPr>
      </w:pPr>
      <w:r>
        <w:rPr>
          <w:rFonts w:hint="cs"/>
          <w:b/>
          <w:bCs/>
          <w:sz w:val="26"/>
          <w:szCs w:val="26"/>
          <w:rtl/>
        </w:rPr>
        <w:t>صحة الاتفاق</w:t>
      </w:r>
    </w:p>
    <w:p w14:paraId="27FD9788" w14:textId="77777777" w:rsidR="00BD596A" w:rsidRDefault="00BD596A" w:rsidP="00BD596A">
      <w:pPr>
        <w:pStyle w:val="Heading1"/>
        <w:tabs>
          <w:tab w:val="clear" w:pos="0"/>
          <w:tab w:val="num" w:pos="90"/>
        </w:tabs>
        <w:bidi/>
        <w:ind w:left="90"/>
        <w:rPr>
          <w:sz w:val="26"/>
          <w:szCs w:val="26"/>
        </w:rPr>
      </w:pPr>
      <w:r>
        <w:rPr>
          <w:sz w:val="26"/>
          <w:szCs w:val="26"/>
          <w:rtl/>
        </w:rPr>
        <w:t xml:space="preserve">تنفذ جميع الشروط المحدّدة في هذا الاتفاق </w:t>
      </w:r>
      <w:r>
        <w:rPr>
          <w:rFonts w:hint="cs"/>
          <w:sz w:val="26"/>
          <w:szCs w:val="26"/>
          <w:rtl/>
        </w:rPr>
        <w:t>على حدة</w:t>
      </w:r>
      <w:r>
        <w:rPr>
          <w:sz w:val="26"/>
          <w:szCs w:val="26"/>
          <w:rtl/>
        </w:rPr>
        <w:t xml:space="preserve"> ضمن سياق بروتوكول مونتريال وعلى النحو المبيّن في هذا الاتفاق. وكافة المصطلحات المستعملة في هذا الاتفاق لها المعنى المنسوب إليها في بروتوكول</w:t>
      </w:r>
      <w:r>
        <w:rPr>
          <w:rFonts w:hint="cs"/>
          <w:sz w:val="26"/>
          <w:szCs w:val="26"/>
          <w:rtl/>
        </w:rPr>
        <w:t xml:space="preserve"> مونتريال</w:t>
      </w:r>
      <w:r>
        <w:rPr>
          <w:sz w:val="26"/>
          <w:szCs w:val="26"/>
          <w:rtl/>
        </w:rPr>
        <w:t>، ما لم تحدد اللجنة التنفيذية غير ذلك</w:t>
      </w:r>
      <w:r>
        <w:rPr>
          <w:rFonts w:hint="cs"/>
          <w:sz w:val="26"/>
          <w:szCs w:val="26"/>
          <w:rtl/>
        </w:rPr>
        <w:t>.</w:t>
      </w:r>
    </w:p>
    <w:p w14:paraId="46AAF248" w14:textId="77777777" w:rsidR="00BD596A" w:rsidRDefault="00BD596A" w:rsidP="00BD596A">
      <w:pPr>
        <w:pStyle w:val="Heading1"/>
        <w:tabs>
          <w:tab w:val="clear" w:pos="0"/>
          <w:tab w:val="num" w:pos="90"/>
        </w:tabs>
        <w:bidi/>
        <w:ind w:left="90"/>
        <w:rPr>
          <w:sz w:val="26"/>
          <w:szCs w:val="26"/>
        </w:rPr>
      </w:pPr>
      <w:r>
        <w:rPr>
          <w:sz w:val="26"/>
          <w:szCs w:val="26"/>
          <w:rtl/>
          <w:lang w:bidi="ar-EG"/>
        </w:rPr>
        <w:t>يمكن تعديل هذا الاتفاق أو إلغائه فقط بالموافقة المتبادلة المكتوبة للبلد واللجنة التنفيذية للصندوق المتعدد الأطراف</w:t>
      </w:r>
      <w:r>
        <w:rPr>
          <w:sz w:val="26"/>
          <w:szCs w:val="26"/>
          <w:rtl/>
        </w:rPr>
        <w:t>.</w:t>
      </w:r>
    </w:p>
    <w:p w14:paraId="271D7EA3" w14:textId="77777777" w:rsidR="00BD596A" w:rsidRDefault="00BD596A" w:rsidP="00BD596A">
      <w:pPr>
        <w:bidi/>
        <w:rPr>
          <w:lang w:val="en-CA"/>
        </w:rPr>
      </w:pPr>
    </w:p>
    <w:p w14:paraId="318FFBD2" w14:textId="77777777" w:rsidR="00BD596A" w:rsidRDefault="00BD596A" w:rsidP="00BD596A">
      <w:pPr>
        <w:jc w:val="left"/>
        <w:rPr>
          <w:bCs/>
          <w:sz w:val="26"/>
          <w:szCs w:val="26"/>
          <w:rtl/>
          <w:lang w:bidi="ar-EG"/>
        </w:rPr>
      </w:pPr>
      <w:r>
        <w:rPr>
          <w:bCs/>
          <w:sz w:val="26"/>
          <w:szCs w:val="26"/>
          <w:rtl/>
          <w:lang w:bidi="ar-EG"/>
        </w:rPr>
        <w:br w:type="page"/>
      </w:r>
    </w:p>
    <w:p w14:paraId="7BBC8180" w14:textId="77777777" w:rsidR="00BD596A" w:rsidRDefault="00BD596A" w:rsidP="00BD596A">
      <w:pPr>
        <w:bidi/>
        <w:spacing w:after="120"/>
        <w:jc w:val="left"/>
        <w:rPr>
          <w:bCs/>
          <w:sz w:val="26"/>
          <w:szCs w:val="26"/>
          <w:rtl/>
          <w:lang w:val="en-CA" w:bidi="ar-EG"/>
        </w:rPr>
      </w:pPr>
      <w:r>
        <w:rPr>
          <w:rFonts w:hint="cs"/>
          <w:bCs/>
          <w:sz w:val="26"/>
          <w:szCs w:val="26"/>
          <w:rtl/>
          <w:lang w:bidi="ar-EG"/>
        </w:rPr>
        <w:lastRenderedPageBreak/>
        <w:t>الت</w:t>
      </w:r>
      <w:r>
        <w:rPr>
          <w:bCs/>
          <w:sz w:val="26"/>
          <w:szCs w:val="26"/>
          <w:rtl/>
        </w:rPr>
        <w:t>ذييلات</w:t>
      </w:r>
    </w:p>
    <w:p w14:paraId="09C10004" w14:textId="77777777" w:rsidR="00BD596A" w:rsidRDefault="00BD596A" w:rsidP="00BD596A">
      <w:pPr>
        <w:bidi/>
        <w:jc w:val="left"/>
        <w:rPr>
          <w:bCs/>
          <w:sz w:val="26"/>
          <w:szCs w:val="26"/>
          <w:rtl/>
        </w:rPr>
      </w:pPr>
      <w:r>
        <w:rPr>
          <w:bCs/>
          <w:sz w:val="26"/>
          <w:szCs w:val="26"/>
          <w:rtl/>
        </w:rPr>
        <w:t>التذييل 1- ألف: المـواد</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3"/>
        <w:gridCol w:w="1440"/>
        <w:gridCol w:w="1442"/>
        <w:gridCol w:w="3325"/>
      </w:tblGrid>
      <w:tr w:rsidR="00BD596A" w:rsidRPr="000F4708" w14:paraId="457497B6" w14:textId="77777777" w:rsidTr="008F5898">
        <w:trPr>
          <w:trHeight w:val="413"/>
        </w:trPr>
        <w:tc>
          <w:tcPr>
            <w:tcW w:w="1681" w:type="pct"/>
            <w:shd w:val="clear" w:color="auto" w:fill="auto"/>
          </w:tcPr>
          <w:p w14:paraId="4C2A5E50" w14:textId="77777777" w:rsidR="00BD596A" w:rsidRDefault="00BD596A" w:rsidP="008F5898">
            <w:pPr>
              <w:keepNext/>
              <w:bidi/>
              <w:rPr>
                <w:b/>
                <w:bCs/>
              </w:rPr>
            </w:pPr>
            <w:r>
              <w:rPr>
                <w:b/>
                <w:bCs/>
                <w:rtl/>
              </w:rPr>
              <w:t>المادة</w:t>
            </w:r>
          </w:p>
        </w:tc>
        <w:tc>
          <w:tcPr>
            <w:tcW w:w="770" w:type="pct"/>
            <w:shd w:val="clear" w:color="auto" w:fill="auto"/>
          </w:tcPr>
          <w:p w14:paraId="1070FA22" w14:textId="77777777" w:rsidR="00BD596A" w:rsidRDefault="00BD596A" w:rsidP="008F5898">
            <w:pPr>
              <w:keepNext/>
              <w:bidi/>
              <w:jc w:val="center"/>
              <w:rPr>
                <w:b/>
                <w:bCs/>
              </w:rPr>
            </w:pPr>
            <w:r>
              <w:rPr>
                <w:b/>
                <w:bCs/>
                <w:rtl/>
              </w:rPr>
              <w:t>المرفق</w:t>
            </w:r>
          </w:p>
        </w:tc>
        <w:tc>
          <w:tcPr>
            <w:tcW w:w="771" w:type="pct"/>
            <w:shd w:val="clear" w:color="auto" w:fill="auto"/>
          </w:tcPr>
          <w:p w14:paraId="5938A060" w14:textId="77777777" w:rsidR="00BD596A" w:rsidRDefault="00BD596A" w:rsidP="008F5898">
            <w:pPr>
              <w:keepNext/>
              <w:autoSpaceDE w:val="0"/>
              <w:autoSpaceDN w:val="0"/>
              <w:bidi/>
              <w:adjustRightInd w:val="0"/>
              <w:jc w:val="center"/>
              <w:rPr>
                <w:b/>
                <w:bCs/>
              </w:rPr>
            </w:pPr>
            <w:r>
              <w:rPr>
                <w:b/>
                <w:bCs/>
                <w:rtl/>
              </w:rPr>
              <w:t>المجموعة</w:t>
            </w:r>
          </w:p>
        </w:tc>
        <w:tc>
          <w:tcPr>
            <w:tcW w:w="1778" w:type="pct"/>
            <w:shd w:val="clear" w:color="auto" w:fill="auto"/>
          </w:tcPr>
          <w:p w14:paraId="6C6D5B4A" w14:textId="77777777" w:rsidR="00BD596A" w:rsidRDefault="00BD596A" w:rsidP="008F5898">
            <w:pPr>
              <w:keepNext/>
              <w:autoSpaceDE w:val="0"/>
              <w:autoSpaceDN w:val="0"/>
              <w:bidi/>
              <w:adjustRightInd w:val="0"/>
              <w:rPr>
                <w:b/>
                <w:bCs/>
                <w:rtl/>
                <w:lang w:eastAsia="en-CA"/>
              </w:rPr>
            </w:pPr>
            <w:r>
              <w:rPr>
                <w:b/>
                <w:bCs/>
                <w:rtl/>
                <w:lang w:eastAsia="en-CA"/>
              </w:rPr>
              <w:t>نقطة البدء لإجمالي التخفيضات في الاستهلاك</w:t>
            </w:r>
          </w:p>
          <w:p w14:paraId="3A540C9C" w14:textId="77777777" w:rsidR="00BD596A" w:rsidRDefault="00BD596A" w:rsidP="008F5898">
            <w:pPr>
              <w:keepNext/>
              <w:autoSpaceDE w:val="0"/>
              <w:autoSpaceDN w:val="0"/>
              <w:bidi/>
              <w:adjustRightInd w:val="0"/>
              <w:rPr>
                <w:b/>
                <w:bCs/>
              </w:rPr>
            </w:pPr>
            <w:r>
              <w:rPr>
                <w:b/>
                <w:bCs/>
                <w:rtl/>
                <w:lang w:eastAsia="en-CA"/>
              </w:rPr>
              <w:t>(بأطنان قدرات استنفاد الأوزون)</w:t>
            </w:r>
          </w:p>
        </w:tc>
      </w:tr>
      <w:tr w:rsidR="00BD596A" w:rsidRPr="000F4708" w14:paraId="5F41AEC9" w14:textId="77777777" w:rsidTr="008F5898">
        <w:tc>
          <w:tcPr>
            <w:tcW w:w="1681" w:type="pct"/>
            <w:shd w:val="clear" w:color="auto" w:fill="auto"/>
          </w:tcPr>
          <w:p w14:paraId="24ECEF32" w14:textId="77777777" w:rsidR="00BD596A" w:rsidRDefault="00BD596A" w:rsidP="008F5898">
            <w:pPr>
              <w:keepNext/>
              <w:bidi/>
              <w:rPr>
                <w:rtl/>
              </w:rPr>
            </w:pPr>
            <w:r>
              <w:rPr>
                <w:rtl/>
              </w:rPr>
              <w:t>الهيدروكلوروفلوروكربون-22</w:t>
            </w:r>
          </w:p>
        </w:tc>
        <w:tc>
          <w:tcPr>
            <w:tcW w:w="770" w:type="pct"/>
            <w:shd w:val="clear" w:color="auto" w:fill="auto"/>
          </w:tcPr>
          <w:p w14:paraId="30A10EFB" w14:textId="77777777" w:rsidR="00BD596A" w:rsidRDefault="00BD596A" w:rsidP="008F5898">
            <w:pPr>
              <w:keepNext/>
              <w:bidi/>
              <w:jc w:val="center"/>
            </w:pPr>
            <w:r>
              <w:rPr>
                <w:rtl/>
              </w:rPr>
              <w:t>جيم</w:t>
            </w:r>
          </w:p>
        </w:tc>
        <w:tc>
          <w:tcPr>
            <w:tcW w:w="771" w:type="pct"/>
            <w:shd w:val="clear" w:color="auto" w:fill="auto"/>
          </w:tcPr>
          <w:p w14:paraId="2DC88768" w14:textId="77777777" w:rsidR="00BD596A" w:rsidRDefault="00BD596A" w:rsidP="008F5898">
            <w:pPr>
              <w:keepNext/>
              <w:autoSpaceDE w:val="0"/>
              <w:autoSpaceDN w:val="0"/>
              <w:bidi/>
              <w:adjustRightInd w:val="0"/>
              <w:jc w:val="center"/>
            </w:pPr>
            <w:r>
              <w:rPr>
                <w:rtl/>
              </w:rPr>
              <w:t>الأولى</w:t>
            </w:r>
          </w:p>
        </w:tc>
        <w:tc>
          <w:tcPr>
            <w:tcW w:w="1778" w:type="pct"/>
            <w:shd w:val="clear" w:color="auto" w:fill="FFFFFF" w:themeFill="background1"/>
          </w:tcPr>
          <w:p w14:paraId="00FF5A8E" w14:textId="77777777" w:rsidR="00BD596A" w:rsidRDefault="00BD596A" w:rsidP="008F5898">
            <w:pPr>
              <w:bidi/>
              <w:ind w:firstLine="960"/>
              <w:jc w:val="left"/>
              <w:rPr>
                <w:sz w:val="20"/>
                <w:rtl/>
              </w:rPr>
            </w:pPr>
            <w:r>
              <w:rPr>
                <w:sz w:val="20"/>
              </w:rPr>
              <w:t>1.54</w:t>
            </w:r>
          </w:p>
        </w:tc>
      </w:tr>
    </w:tbl>
    <w:p w14:paraId="75DB2D82" w14:textId="77777777" w:rsidR="00BD596A" w:rsidRPr="000F4708" w:rsidRDefault="00BD596A" w:rsidP="00BD596A">
      <w:pPr>
        <w:rPr>
          <w:lang w:val="en-CA"/>
        </w:rPr>
      </w:pPr>
    </w:p>
    <w:p w14:paraId="746DCD62" w14:textId="77777777" w:rsidR="00BD596A" w:rsidRDefault="00BD596A" w:rsidP="00BD596A">
      <w:pPr>
        <w:bidi/>
        <w:rPr>
          <w:sz w:val="20"/>
          <w:rtl/>
        </w:rPr>
      </w:pPr>
    </w:p>
    <w:p w14:paraId="336D1DDE" w14:textId="77777777" w:rsidR="00BD596A" w:rsidRDefault="00BD596A" w:rsidP="00BD596A">
      <w:pPr>
        <w:jc w:val="right"/>
        <w:rPr>
          <w:bCs/>
          <w:sz w:val="26"/>
          <w:szCs w:val="26"/>
        </w:rPr>
      </w:pPr>
      <w:r>
        <w:rPr>
          <w:bCs/>
          <w:sz w:val="26"/>
          <w:szCs w:val="26"/>
          <w:rtl/>
        </w:rPr>
        <w:t>التذييل 2- ألف: الأهداف والتمويل</w:t>
      </w:r>
    </w:p>
    <w:p w14:paraId="7C1F8B76" w14:textId="77777777" w:rsidR="00BD596A" w:rsidRPr="000F4708" w:rsidRDefault="00BD596A" w:rsidP="00BD596A">
      <w:pPr>
        <w:jc w:val="right"/>
        <w:rPr>
          <w:lang w:val="en-CA"/>
        </w:rPr>
      </w:pPr>
    </w:p>
    <w:tbl>
      <w:tblPr>
        <w:bidiVisual/>
        <w:tblW w:w="9620" w:type="dxa"/>
        <w:tblInd w:w="-265" w:type="dxa"/>
        <w:tblLayout w:type="fixed"/>
        <w:tblLook w:val="04A0" w:firstRow="1" w:lastRow="0" w:firstColumn="1" w:lastColumn="0" w:noHBand="0" w:noVBand="1"/>
      </w:tblPr>
      <w:tblGrid>
        <w:gridCol w:w="888"/>
        <w:gridCol w:w="1705"/>
        <w:gridCol w:w="889"/>
        <w:gridCol w:w="889"/>
        <w:gridCol w:w="889"/>
        <w:gridCol w:w="889"/>
        <w:gridCol w:w="889"/>
        <w:gridCol w:w="889"/>
        <w:gridCol w:w="893"/>
        <w:gridCol w:w="800"/>
      </w:tblGrid>
      <w:tr w:rsidR="00BD596A" w:rsidRPr="000F4708" w14:paraId="6AA1F67E" w14:textId="77777777" w:rsidTr="00DA207A">
        <w:trPr>
          <w:tblHeader/>
        </w:trPr>
        <w:tc>
          <w:tcPr>
            <w:tcW w:w="4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1362873" w14:textId="77777777" w:rsidR="00BD596A" w:rsidRPr="00D11021" w:rsidRDefault="00BD596A" w:rsidP="008F5898">
            <w:pPr>
              <w:bidi/>
              <w:jc w:val="left"/>
              <w:rPr>
                <w:b/>
                <w:bCs/>
                <w:color w:val="000000"/>
                <w:sz w:val="22"/>
                <w:szCs w:val="22"/>
                <w:lang w:eastAsia="en-CA"/>
              </w:rPr>
            </w:pPr>
            <w:r w:rsidRPr="00D11021">
              <w:rPr>
                <w:b/>
                <w:bCs/>
                <w:sz w:val="22"/>
                <w:szCs w:val="22"/>
                <w:rtl/>
                <w:lang w:eastAsia="en-CA"/>
              </w:rPr>
              <w:t>الصف</w:t>
            </w:r>
          </w:p>
        </w:tc>
        <w:tc>
          <w:tcPr>
            <w:tcW w:w="886" w:type="pct"/>
            <w:tcBorders>
              <w:top w:val="single" w:sz="4" w:space="0" w:color="auto"/>
              <w:left w:val="nil"/>
              <w:bottom w:val="single" w:sz="4" w:space="0" w:color="auto"/>
              <w:right w:val="single" w:sz="4" w:space="0" w:color="auto"/>
            </w:tcBorders>
            <w:shd w:val="clear" w:color="auto" w:fill="auto"/>
            <w:tcMar>
              <w:left w:w="29" w:type="dxa"/>
              <w:right w:w="29" w:type="dxa"/>
            </w:tcMar>
            <w:vAlign w:val="center"/>
            <w:hideMark/>
          </w:tcPr>
          <w:p w14:paraId="75BAA3E8" w14:textId="77777777" w:rsidR="00BD596A" w:rsidRPr="00D11021" w:rsidRDefault="00BD596A" w:rsidP="008F5898">
            <w:pPr>
              <w:bidi/>
              <w:jc w:val="left"/>
              <w:rPr>
                <w:b/>
                <w:bCs/>
                <w:color w:val="000000"/>
                <w:sz w:val="22"/>
                <w:szCs w:val="22"/>
                <w:lang w:eastAsia="en-CA"/>
              </w:rPr>
            </w:pPr>
            <w:r w:rsidRPr="00D11021">
              <w:rPr>
                <w:b/>
                <w:bCs/>
                <w:sz w:val="22"/>
                <w:szCs w:val="22"/>
                <w:rtl/>
                <w:lang w:eastAsia="en-CA"/>
              </w:rPr>
              <w:t>ال</w:t>
            </w:r>
            <w:r w:rsidRPr="00D11021">
              <w:rPr>
                <w:b/>
                <w:bCs/>
                <w:sz w:val="22"/>
                <w:szCs w:val="22"/>
                <w:rtl/>
                <w:lang w:eastAsia="en-CA" w:bidi="ar-EG"/>
              </w:rPr>
              <w:t>و</w:t>
            </w:r>
            <w:r w:rsidRPr="00D11021">
              <w:rPr>
                <w:b/>
                <w:bCs/>
                <w:sz w:val="22"/>
                <w:szCs w:val="22"/>
                <w:rtl/>
                <w:lang w:eastAsia="en-CA"/>
              </w:rPr>
              <w:t>صف</w:t>
            </w:r>
          </w:p>
        </w:tc>
        <w:tc>
          <w:tcPr>
            <w:tcW w:w="462" w:type="pct"/>
            <w:tcBorders>
              <w:top w:val="single" w:sz="4" w:space="0" w:color="auto"/>
              <w:left w:val="nil"/>
              <w:bottom w:val="single" w:sz="4" w:space="0" w:color="auto"/>
              <w:right w:val="single" w:sz="4" w:space="0" w:color="auto"/>
            </w:tcBorders>
            <w:shd w:val="clear" w:color="auto" w:fill="auto"/>
            <w:tcMar>
              <w:left w:w="29" w:type="dxa"/>
              <w:right w:w="29" w:type="dxa"/>
            </w:tcMar>
          </w:tcPr>
          <w:p w14:paraId="142EFD36" w14:textId="77777777" w:rsidR="00BD596A" w:rsidRPr="00D11021" w:rsidRDefault="00BD596A" w:rsidP="008F5898">
            <w:pPr>
              <w:keepNext/>
              <w:keepLines/>
              <w:jc w:val="center"/>
              <w:rPr>
                <w:b/>
                <w:bCs/>
                <w:color w:val="000000"/>
                <w:sz w:val="22"/>
                <w:szCs w:val="22"/>
                <w:lang w:val="en-CA" w:eastAsia="en-CA"/>
              </w:rPr>
            </w:pPr>
            <w:r w:rsidRPr="00D11021">
              <w:rPr>
                <w:b/>
                <w:bCs/>
                <w:color w:val="000000"/>
                <w:sz w:val="22"/>
                <w:szCs w:val="22"/>
                <w:lang w:val="en-CA" w:eastAsia="en-CA"/>
              </w:rPr>
              <w:t>2021</w:t>
            </w:r>
          </w:p>
        </w:tc>
        <w:tc>
          <w:tcPr>
            <w:tcW w:w="462" w:type="pct"/>
            <w:tcBorders>
              <w:top w:val="single" w:sz="4" w:space="0" w:color="auto"/>
              <w:left w:val="nil"/>
              <w:bottom w:val="single" w:sz="4" w:space="0" w:color="auto"/>
              <w:right w:val="single" w:sz="4" w:space="0" w:color="auto"/>
            </w:tcBorders>
            <w:shd w:val="clear" w:color="auto" w:fill="auto"/>
            <w:tcMar>
              <w:left w:w="29" w:type="dxa"/>
              <w:right w:w="29" w:type="dxa"/>
            </w:tcMar>
          </w:tcPr>
          <w:p w14:paraId="69B4B2E4" w14:textId="77777777" w:rsidR="00BD596A" w:rsidRPr="00D11021" w:rsidRDefault="00BD596A" w:rsidP="008F5898">
            <w:pPr>
              <w:keepNext/>
              <w:keepLines/>
              <w:jc w:val="center"/>
              <w:rPr>
                <w:b/>
                <w:bCs/>
                <w:color w:val="000000"/>
                <w:sz w:val="22"/>
                <w:szCs w:val="22"/>
                <w:lang w:val="en-CA" w:eastAsia="en-CA"/>
              </w:rPr>
            </w:pPr>
            <w:r w:rsidRPr="00D11021">
              <w:rPr>
                <w:b/>
                <w:bCs/>
                <w:color w:val="000000"/>
                <w:sz w:val="22"/>
                <w:szCs w:val="22"/>
                <w:lang w:val="en-CA" w:eastAsia="en-CA"/>
              </w:rPr>
              <w:t>2022-2023</w:t>
            </w:r>
          </w:p>
        </w:tc>
        <w:tc>
          <w:tcPr>
            <w:tcW w:w="462" w:type="pct"/>
            <w:tcBorders>
              <w:top w:val="single" w:sz="4" w:space="0" w:color="auto"/>
              <w:left w:val="nil"/>
              <w:bottom w:val="single" w:sz="4" w:space="0" w:color="auto"/>
              <w:right w:val="single" w:sz="4" w:space="0" w:color="auto"/>
            </w:tcBorders>
            <w:shd w:val="clear" w:color="auto" w:fill="auto"/>
            <w:tcMar>
              <w:left w:w="29" w:type="dxa"/>
              <w:right w:w="29" w:type="dxa"/>
            </w:tcMar>
          </w:tcPr>
          <w:p w14:paraId="543FD075" w14:textId="77777777" w:rsidR="00BD596A" w:rsidRPr="00D11021" w:rsidRDefault="00BD596A" w:rsidP="008F5898">
            <w:pPr>
              <w:keepNext/>
              <w:keepLines/>
              <w:jc w:val="center"/>
              <w:rPr>
                <w:b/>
                <w:bCs/>
                <w:color w:val="000000"/>
                <w:sz w:val="22"/>
                <w:szCs w:val="22"/>
                <w:lang w:val="en-CA" w:eastAsia="en-CA"/>
              </w:rPr>
            </w:pPr>
            <w:r w:rsidRPr="00D11021">
              <w:rPr>
                <w:b/>
                <w:bCs/>
                <w:color w:val="000000"/>
                <w:sz w:val="22"/>
                <w:szCs w:val="22"/>
                <w:lang w:val="en-CA" w:eastAsia="en-CA"/>
              </w:rPr>
              <w:t>2024</w:t>
            </w:r>
          </w:p>
        </w:tc>
        <w:tc>
          <w:tcPr>
            <w:tcW w:w="462" w:type="pct"/>
            <w:tcBorders>
              <w:top w:val="single" w:sz="4" w:space="0" w:color="auto"/>
              <w:left w:val="nil"/>
              <w:bottom w:val="single" w:sz="4" w:space="0" w:color="auto"/>
              <w:right w:val="single" w:sz="4" w:space="0" w:color="auto"/>
            </w:tcBorders>
            <w:shd w:val="clear" w:color="auto" w:fill="auto"/>
            <w:tcMar>
              <w:left w:w="29" w:type="dxa"/>
              <w:right w:w="29" w:type="dxa"/>
            </w:tcMar>
          </w:tcPr>
          <w:p w14:paraId="2F2D0D78" w14:textId="77777777" w:rsidR="00BD596A" w:rsidRPr="00D11021" w:rsidRDefault="00BD596A" w:rsidP="008F5898">
            <w:pPr>
              <w:keepNext/>
              <w:keepLines/>
              <w:jc w:val="center"/>
              <w:rPr>
                <w:b/>
                <w:bCs/>
                <w:color w:val="000000"/>
                <w:sz w:val="22"/>
                <w:szCs w:val="22"/>
                <w:lang w:val="en-CA" w:eastAsia="en-CA"/>
              </w:rPr>
            </w:pPr>
            <w:r w:rsidRPr="00D11021">
              <w:rPr>
                <w:b/>
                <w:bCs/>
                <w:color w:val="000000"/>
                <w:sz w:val="22"/>
                <w:szCs w:val="22"/>
                <w:lang w:val="en-CA" w:eastAsia="en-CA"/>
              </w:rPr>
              <w:t>2025-2026</w:t>
            </w:r>
          </w:p>
        </w:tc>
        <w:tc>
          <w:tcPr>
            <w:tcW w:w="462" w:type="pct"/>
            <w:tcBorders>
              <w:top w:val="single" w:sz="4" w:space="0" w:color="auto"/>
              <w:left w:val="nil"/>
              <w:bottom w:val="single" w:sz="4" w:space="0" w:color="auto"/>
              <w:right w:val="single" w:sz="4" w:space="0" w:color="auto"/>
            </w:tcBorders>
            <w:shd w:val="clear" w:color="auto" w:fill="auto"/>
            <w:tcMar>
              <w:left w:w="29" w:type="dxa"/>
              <w:right w:w="29" w:type="dxa"/>
            </w:tcMar>
          </w:tcPr>
          <w:p w14:paraId="6E6A7CD2" w14:textId="77777777" w:rsidR="00BD596A" w:rsidRPr="00D11021" w:rsidRDefault="00BD596A" w:rsidP="008F5898">
            <w:pPr>
              <w:keepNext/>
              <w:keepLines/>
              <w:jc w:val="center"/>
              <w:rPr>
                <w:b/>
                <w:bCs/>
                <w:color w:val="000000"/>
                <w:sz w:val="22"/>
                <w:szCs w:val="22"/>
                <w:lang w:val="en-CA" w:eastAsia="en-CA"/>
              </w:rPr>
            </w:pPr>
            <w:r w:rsidRPr="00D11021">
              <w:rPr>
                <w:b/>
                <w:bCs/>
                <w:color w:val="000000"/>
                <w:sz w:val="22"/>
                <w:szCs w:val="22"/>
                <w:lang w:val="en-CA" w:eastAsia="en-CA"/>
              </w:rPr>
              <w:t>2027</w:t>
            </w:r>
          </w:p>
        </w:tc>
        <w:tc>
          <w:tcPr>
            <w:tcW w:w="462" w:type="pct"/>
            <w:tcBorders>
              <w:top w:val="single" w:sz="4" w:space="0" w:color="auto"/>
              <w:left w:val="nil"/>
              <w:bottom w:val="single" w:sz="4" w:space="0" w:color="auto"/>
              <w:right w:val="single" w:sz="4" w:space="0" w:color="auto"/>
            </w:tcBorders>
            <w:shd w:val="clear" w:color="auto" w:fill="auto"/>
            <w:tcMar>
              <w:left w:w="29" w:type="dxa"/>
              <w:right w:w="29" w:type="dxa"/>
            </w:tcMar>
          </w:tcPr>
          <w:p w14:paraId="06438864" w14:textId="77777777" w:rsidR="00BD596A" w:rsidRPr="00D11021" w:rsidRDefault="00BD596A" w:rsidP="008F5898">
            <w:pPr>
              <w:keepNext/>
              <w:keepLines/>
              <w:jc w:val="center"/>
              <w:rPr>
                <w:b/>
                <w:bCs/>
                <w:color w:val="000000"/>
                <w:sz w:val="22"/>
                <w:szCs w:val="22"/>
                <w:lang w:val="en-CA" w:eastAsia="en-CA"/>
              </w:rPr>
            </w:pPr>
            <w:r w:rsidRPr="00D11021">
              <w:rPr>
                <w:b/>
                <w:bCs/>
                <w:color w:val="000000"/>
                <w:sz w:val="22"/>
                <w:szCs w:val="22"/>
                <w:lang w:val="en-CA" w:eastAsia="en-CA"/>
              </w:rPr>
              <w:t>2028-2029</w:t>
            </w:r>
          </w:p>
        </w:tc>
        <w:tc>
          <w:tcPr>
            <w:tcW w:w="464" w:type="pct"/>
            <w:tcBorders>
              <w:top w:val="single" w:sz="4" w:space="0" w:color="auto"/>
              <w:left w:val="nil"/>
              <w:bottom w:val="single" w:sz="4" w:space="0" w:color="auto"/>
              <w:right w:val="single" w:sz="4" w:space="0" w:color="auto"/>
            </w:tcBorders>
            <w:tcMar>
              <w:left w:w="29" w:type="dxa"/>
              <w:right w:w="29" w:type="dxa"/>
            </w:tcMar>
          </w:tcPr>
          <w:p w14:paraId="67D420CB" w14:textId="77777777" w:rsidR="00BD596A" w:rsidRPr="00D11021" w:rsidRDefault="00BD596A" w:rsidP="008F5898">
            <w:pPr>
              <w:keepNext/>
              <w:keepLines/>
              <w:jc w:val="center"/>
              <w:rPr>
                <w:b/>
                <w:bCs/>
                <w:color w:val="000000"/>
                <w:sz w:val="22"/>
                <w:szCs w:val="22"/>
                <w:lang w:val="en-CA" w:eastAsia="en-CA"/>
              </w:rPr>
            </w:pPr>
            <w:r w:rsidRPr="00D11021">
              <w:rPr>
                <w:b/>
                <w:bCs/>
                <w:color w:val="000000"/>
                <w:sz w:val="22"/>
                <w:szCs w:val="22"/>
                <w:lang w:val="en-CA" w:eastAsia="en-CA"/>
              </w:rPr>
              <w:t>2030</w:t>
            </w:r>
          </w:p>
        </w:tc>
        <w:tc>
          <w:tcPr>
            <w:tcW w:w="416" w:type="pct"/>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hideMark/>
          </w:tcPr>
          <w:p w14:paraId="4FFAFBFD" w14:textId="77777777" w:rsidR="00BD596A" w:rsidRPr="00D11021" w:rsidRDefault="00BD596A" w:rsidP="008F5898">
            <w:pPr>
              <w:keepNext/>
              <w:keepLines/>
              <w:bidi/>
              <w:jc w:val="center"/>
              <w:rPr>
                <w:b/>
                <w:bCs/>
                <w:sz w:val="22"/>
                <w:szCs w:val="22"/>
              </w:rPr>
            </w:pPr>
            <w:r w:rsidRPr="00D11021">
              <w:rPr>
                <w:rFonts w:hint="cs"/>
                <w:b/>
                <w:bCs/>
                <w:sz w:val="22"/>
                <w:szCs w:val="22"/>
                <w:rtl/>
              </w:rPr>
              <w:t>المجموع</w:t>
            </w:r>
          </w:p>
        </w:tc>
      </w:tr>
      <w:tr w:rsidR="00BD596A" w:rsidRPr="000F4708" w14:paraId="3B818AF7" w14:textId="77777777" w:rsidTr="00DA207A">
        <w:tc>
          <w:tcPr>
            <w:tcW w:w="462" w:type="pct"/>
            <w:tcBorders>
              <w:top w:val="nil"/>
              <w:left w:val="single" w:sz="4" w:space="0" w:color="auto"/>
              <w:bottom w:val="single" w:sz="4" w:space="0" w:color="auto"/>
              <w:right w:val="single" w:sz="4" w:space="0" w:color="auto"/>
            </w:tcBorders>
            <w:shd w:val="clear" w:color="auto" w:fill="auto"/>
            <w:hideMark/>
          </w:tcPr>
          <w:p w14:paraId="627A3AF4" w14:textId="77777777" w:rsidR="00BD596A" w:rsidRPr="00D11021" w:rsidRDefault="00BD596A" w:rsidP="008F5898">
            <w:pPr>
              <w:keepNext/>
              <w:keepLines/>
              <w:jc w:val="left"/>
              <w:rPr>
                <w:color w:val="000000"/>
                <w:sz w:val="22"/>
                <w:szCs w:val="22"/>
                <w:lang w:eastAsia="en-CA"/>
              </w:rPr>
            </w:pPr>
            <w:r w:rsidRPr="00D11021">
              <w:rPr>
                <w:color w:val="000000"/>
                <w:sz w:val="22"/>
                <w:szCs w:val="22"/>
                <w:lang w:eastAsia="en-CA"/>
              </w:rPr>
              <w:t>1.1</w:t>
            </w:r>
          </w:p>
        </w:tc>
        <w:tc>
          <w:tcPr>
            <w:tcW w:w="886" w:type="pct"/>
            <w:tcBorders>
              <w:top w:val="nil"/>
              <w:left w:val="nil"/>
              <w:bottom w:val="single" w:sz="4" w:space="0" w:color="auto"/>
              <w:right w:val="single" w:sz="4" w:space="0" w:color="auto"/>
            </w:tcBorders>
            <w:shd w:val="clear" w:color="auto" w:fill="auto"/>
            <w:tcMar>
              <w:left w:w="29" w:type="dxa"/>
              <w:right w:w="29" w:type="dxa"/>
            </w:tcMar>
            <w:hideMark/>
          </w:tcPr>
          <w:p w14:paraId="06349429" w14:textId="77777777" w:rsidR="00BD596A" w:rsidRPr="00D11021" w:rsidRDefault="00BD596A" w:rsidP="008F5898">
            <w:pPr>
              <w:bidi/>
              <w:jc w:val="left"/>
              <w:rPr>
                <w:sz w:val="22"/>
                <w:szCs w:val="22"/>
              </w:rPr>
            </w:pPr>
            <w:r w:rsidRPr="00D11021">
              <w:rPr>
                <w:sz w:val="22"/>
                <w:szCs w:val="22"/>
                <w:rtl/>
              </w:rPr>
              <w:t xml:space="preserve">جدول تخفيضات بروتوكول مونتريال لمواد المرفق جيم، المجموعة الأولى (أطنان </w:t>
            </w:r>
            <w:r w:rsidRPr="00D11021">
              <w:rPr>
                <w:rFonts w:hint="cs"/>
                <w:sz w:val="22"/>
                <w:szCs w:val="22"/>
                <w:rtl/>
              </w:rPr>
              <w:t xml:space="preserve">من </w:t>
            </w:r>
            <w:r w:rsidRPr="00D11021">
              <w:rPr>
                <w:sz w:val="22"/>
                <w:szCs w:val="22"/>
                <w:rtl/>
              </w:rPr>
              <w:t>قدرات استهلاك الأوزون)</w:t>
            </w:r>
          </w:p>
        </w:tc>
        <w:tc>
          <w:tcPr>
            <w:tcW w:w="462" w:type="pct"/>
            <w:tcBorders>
              <w:top w:val="nil"/>
              <w:left w:val="nil"/>
              <w:bottom w:val="single" w:sz="4" w:space="0" w:color="auto"/>
              <w:right w:val="single" w:sz="4" w:space="0" w:color="auto"/>
            </w:tcBorders>
            <w:shd w:val="clear" w:color="auto" w:fill="FFFFFF" w:themeFill="background1"/>
            <w:tcMar>
              <w:left w:w="29" w:type="dxa"/>
              <w:right w:w="29" w:type="dxa"/>
            </w:tcMar>
          </w:tcPr>
          <w:p w14:paraId="2A24A37D" w14:textId="77777777" w:rsidR="00BD596A" w:rsidRPr="00D11021" w:rsidRDefault="00BD596A" w:rsidP="008F5898">
            <w:pPr>
              <w:jc w:val="right"/>
              <w:rPr>
                <w:sz w:val="20"/>
                <w:lang w:val="en-CA"/>
              </w:rPr>
            </w:pPr>
            <w:r w:rsidRPr="00D11021">
              <w:rPr>
                <w:color w:val="000000"/>
                <w:sz w:val="20"/>
                <w:lang w:val="en-CA" w:eastAsia="en-CA"/>
              </w:rPr>
              <w:t>2.28</w:t>
            </w:r>
          </w:p>
        </w:tc>
        <w:tc>
          <w:tcPr>
            <w:tcW w:w="462" w:type="pct"/>
            <w:tcBorders>
              <w:top w:val="nil"/>
              <w:left w:val="nil"/>
              <w:bottom w:val="single" w:sz="4" w:space="0" w:color="auto"/>
              <w:right w:val="single" w:sz="4" w:space="0" w:color="auto"/>
            </w:tcBorders>
            <w:shd w:val="clear" w:color="auto" w:fill="FFFFFF" w:themeFill="background1"/>
            <w:tcMar>
              <w:left w:w="29" w:type="dxa"/>
              <w:right w:w="29" w:type="dxa"/>
            </w:tcMar>
          </w:tcPr>
          <w:p w14:paraId="5AA0CDE5" w14:textId="77777777" w:rsidR="00BD596A" w:rsidRPr="00D11021" w:rsidRDefault="00BD596A" w:rsidP="008F5898">
            <w:pPr>
              <w:jc w:val="right"/>
              <w:rPr>
                <w:sz w:val="20"/>
                <w:lang w:val="en-CA"/>
              </w:rPr>
            </w:pPr>
            <w:r w:rsidRPr="00D11021">
              <w:rPr>
                <w:color w:val="000000"/>
                <w:sz w:val="20"/>
                <w:lang w:val="en-CA"/>
              </w:rPr>
              <w:t>2.28</w:t>
            </w:r>
          </w:p>
        </w:tc>
        <w:tc>
          <w:tcPr>
            <w:tcW w:w="462" w:type="pct"/>
            <w:tcBorders>
              <w:top w:val="nil"/>
              <w:left w:val="nil"/>
              <w:bottom w:val="single" w:sz="4" w:space="0" w:color="auto"/>
              <w:right w:val="single" w:sz="4" w:space="0" w:color="auto"/>
            </w:tcBorders>
            <w:shd w:val="clear" w:color="auto" w:fill="FFFFFF" w:themeFill="background1"/>
            <w:tcMar>
              <w:left w:w="29" w:type="dxa"/>
              <w:right w:w="29" w:type="dxa"/>
            </w:tcMar>
          </w:tcPr>
          <w:p w14:paraId="6607C213" w14:textId="77777777" w:rsidR="00BD596A" w:rsidRPr="00D11021" w:rsidRDefault="00BD596A" w:rsidP="008F5898">
            <w:pPr>
              <w:jc w:val="right"/>
              <w:rPr>
                <w:sz w:val="20"/>
                <w:lang w:val="en-CA"/>
              </w:rPr>
            </w:pPr>
            <w:r w:rsidRPr="00D11021">
              <w:rPr>
                <w:color w:val="000000"/>
                <w:sz w:val="20"/>
                <w:lang w:val="en-CA" w:eastAsia="en-CA"/>
              </w:rPr>
              <w:t>2.28</w:t>
            </w:r>
          </w:p>
        </w:tc>
        <w:tc>
          <w:tcPr>
            <w:tcW w:w="462" w:type="pct"/>
            <w:tcBorders>
              <w:top w:val="nil"/>
              <w:left w:val="nil"/>
              <w:bottom w:val="single" w:sz="4" w:space="0" w:color="auto"/>
              <w:right w:val="single" w:sz="4" w:space="0" w:color="auto"/>
            </w:tcBorders>
            <w:shd w:val="clear" w:color="auto" w:fill="FFFFFF" w:themeFill="background1"/>
            <w:tcMar>
              <w:left w:w="29" w:type="dxa"/>
              <w:right w:w="29" w:type="dxa"/>
            </w:tcMar>
          </w:tcPr>
          <w:p w14:paraId="52AD44B8" w14:textId="77777777" w:rsidR="00BD596A" w:rsidRPr="00D11021" w:rsidRDefault="00BD596A" w:rsidP="008F5898">
            <w:pPr>
              <w:jc w:val="right"/>
              <w:rPr>
                <w:sz w:val="20"/>
                <w:lang w:val="en-CA"/>
              </w:rPr>
            </w:pPr>
            <w:r w:rsidRPr="00D11021">
              <w:rPr>
                <w:color w:val="000000"/>
                <w:sz w:val="20"/>
                <w:lang w:val="en-CA" w:eastAsia="en-CA"/>
              </w:rPr>
              <w:t>1.14</w:t>
            </w:r>
          </w:p>
        </w:tc>
        <w:tc>
          <w:tcPr>
            <w:tcW w:w="462" w:type="pct"/>
            <w:tcBorders>
              <w:top w:val="nil"/>
              <w:left w:val="nil"/>
              <w:bottom w:val="single" w:sz="4" w:space="0" w:color="auto"/>
              <w:right w:val="single" w:sz="4" w:space="0" w:color="auto"/>
            </w:tcBorders>
            <w:shd w:val="clear" w:color="auto" w:fill="FFFFFF" w:themeFill="background1"/>
            <w:tcMar>
              <w:left w:w="29" w:type="dxa"/>
              <w:right w:w="29" w:type="dxa"/>
            </w:tcMar>
          </w:tcPr>
          <w:p w14:paraId="5C321D4F" w14:textId="77777777" w:rsidR="00BD596A" w:rsidRPr="00D11021" w:rsidRDefault="00BD596A" w:rsidP="008F5898">
            <w:pPr>
              <w:jc w:val="right"/>
              <w:rPr>
                <w:sz w:val="20"/>
                <w:lang w:val="en-CA"/>
              </w:rPr>
            </w:pPr>
            <w:r w:rsidRPr="00D11021">
              <w:rPr>
                <w:color w:val="000000"/>
                <w:sz w:val="20"/>
                <w:lang w:val="en-CA" w:eastAsia="en-CA"/>
              </w:rPr>
              <w:t>1.14</w:t>
            </w:r>
          </w:p>
        </w:tc>
        <w:tc>
          <w:tcPr>
            <w:tcW w:w="462" w:type="pct"/>
            <w:tcBorders>
              <w:top w:val="nil"/>
              <w:left w:val="nil"/>
              <w:bottom w:val="single" w:sz="4" w:space="0" w:color="auto"/>
              <w:right w:val="single" w:sz="4" w:space="0" w:color="auto"/>
            </w:tcBorders>
            <w:shd w:val="clear" w:color="auto" w:fill="FFFFFF" w:themeFill="background1"/>
            <w:tcMar>
              <w:left w:w="29" w:type="dxa"/>
              <w:right w:w="29" w:type="dxa"/>
            </w:tcMar>
          </w:tcPr>
          <w:p w14:paraId="099B5112" w14:textId="77777777" w:rsidR="00BD596A" w:rsidRPr="00D11021" w:rsidRDefault="00BD596A" w:rsidP="008F5898">
            <w:pPr>
              <w:jc w:val="right"/>
              <w:rPr>
                <w:sz w:val="20"/>
                <w:lang w:val="en-CA"/>
              </w:rPr>
            </w:pPr>
            <w:r w:rsidRPr="00D11021">
              <w:rPr>
                <w:color w:val="000000"/>
                <w:sz w:val="20"/>
                <w:lang w:val="en-CA"/>
              </w:rPr>
              <w:t>1.14</w:t>
            </w:r>
          </w:p>
        </w:tc>
        <w:tc>
          <w:tcPr>
            <w:tcW w:w="464" w:type="pct"/>
            <w:tcBorders>
              <w:top w:val="single" w:sz="4" w:space="0" w:color="auto"/>
              <w:left w:val="nil"/>
              <w:bottom w:val="single" w:sz="4" w:space="0" w:color="auto"/>
              <w:right w:val="single" w:sz="4" w:space="0" w:color="auto"/>
            </w:tcBorders>
            <w:shd w:val="clear" w:color="auto" w:fill="FFFFFF" w:themeFill="background1"/>
            <w:tcMar>
              <w:left w:w="29" w:type="dxa"/>
              <w:right w:w="29" w:type="dxa"/>
            </w:tcMar>
          </w:tcPr>
          <w:p w14:paraId="2681CC33" w14:textId="77777777" w:rsidR="00BD596A" w:rsidRPr="00D11021" w:rsidRDefault="00BD596A" w:rsidP="008F5898">
            <w:pPr>
              <w:jc w:val="right"/>
              <w:rPr>
                <w:sz w:val="20"/>
                <w:lang w:val="en-CA"/>
              </w:rPr>
            </w:pPr>
            <w:r w:rsidRPr="00D11021">
              <w:rPr>
                <w:color w:val="000000"/>
                <w:sz w:val="20"/>
                <w:lang w:val="en-CA" w:eastAsia="en-CA"/>
              </w:rPr>
              <w:t>0.00</w:t>
            </w:r>
          </w:p>
        </w:tc>
        <w:tc>
          <w:tcPr>
            <w:tcW w:w="416" w:type="pct"/>
            <w:tcBorders>
              <w:top w:val="nil"/>
              <w:left w:val="single" w:sz="4" w:space="0" w:color="auto"/>
              <w:bottom w:val="single" w:sz="4" w:space="0" w:color="auto"/>
              <w:right w:val="single" w:sz="4" w:space="0" w:color="auto"/>
            </w:tcBorders>
            <w:shd w:val="clear" w:color="auto" w:fill="FFFFFF" w:themeFill="background1"/>
            <w:tcMar>
              <w:left w:w="29" w:type="dxa"/>
              <w:right w:w="29" w:type="dxa"/>
            </w:tcMar>
          </w:tcPr>
          <w:p w14:paraId="5C837DE4" w14:textId="4EA02612" w:rsidR="00BD596A" w:rsidRPr="00D11021" w:rsidRDefault="00A13410" w:rsidP="008F5898">
            <w:pPr>
              <w:jc w:val="right"/>
              <w:rPr>
                <w:sz w:val="20"/>
                <w:lang w:val="en-CA"/>
              </w:rPr>
            </w:pPr>
            <w:r>
              <w:rPr>
                <w:rFonts w:hint="cs"/>
                <w:sz w:val="20"/>
                <w:rtl/>
                <w:lang w:val="en-CA"/>
              </w:rPr>
              <w:t>لا ينطبق</w:t>
            </w:r>
          </w:p>
        </w:tc>
      </w:tr>
      <w:tr w:rsidR="00BD596A" w:rsidRPr="000F4708" w14:paraId="1F2DE407" w14:textId="77777777" w:rsidTr="00DA207A">
        <w:tc>
          <w:tcPr>
            <w:tcW w:w="462" w:type="pct"/>
            <w:tcBorders>
              <w:top w:val="nil"/>
              <w:left w:val="single" w:sz="4" w:space="0" w:color="auto"/>
              <w:bottom w:val="single" w:sz="4" w:space="0" w:color="auto"/>
              <w:right w:val="single" w:sz="4" w:space="0" w:color="auto"/>
            </w:tcBorders>
            <w:shd w:val="clear" w:color="auto" w:fill="auto"/>
            <w:hideMark/>
          </w:tcPr>
          <w:p w14:paraId="73BCF839" w14:textId="77777777" w:rsidR="00BD596A" w:rsidRPr="00D11021" w:rsidRDefault="00BD596A" w:rsidP="008F5898">
            <w:pPr>
              <w:jc w:val="left"/>
              <w:rPr>
                <w:color w:val="000000"/>
                <w:sz w:val="22"/>
                <w:szCs w:val="22"/>
                <w:lang w:val="en-US" w:eastAsia="en-CA"/>
              </w:rPr>
            </w:pPr>
            <w:r w:rsidRPr="00D11021">
              <w:rPr>
                <w:color w:val="000000"/>
                <w:sz w:val="22"/>
                <w:szCs w:val="22"/>
                <w:lang w:val="en-US" w:eastAsia="en-CA"/>
              </w:rPr>
              <w:t>2.1</w:t>
            </w:r>
          </w:p>
        </w:tc>
        <w:tc>
          <w:tcPr>
            <w:tcW w:w="886" w:type="pct"/>
            <w:tcBorders>
              <w:top w:val="nil"/>
              <w:left w:val="nil"/>
              <w:bottom w:val="single" w:sz="4" w:space="0" w:color="auto"/>
              <w:right w:val="single" w:sz="4" w:space="0" w:color="auto"/>
            </w:tcBorders>
            <w:shd w:val="clear" w:color="auto" w:fill="auto"/>
            <w:tcMar>
              <w:left w:w="29" w:type="dxa"/>
              <w:right w:w="29" w:type="dxa"/>
            </w:tcMar>
            <w:hideMark/>
          </w:tcPr>
          <w:p w14:paraId="338BA263" w14:textId="77777777" w:rsidR="00BD596A" w:rsidRPr="00D11021" w:rsidRDefault="00BD596A" w:rsidP="008F5898">
            <w:pPr>
              <w:bidi/>
              <w:jc w:val="left"/>
              <w:rPr>
                <w:sz w:val="22"/>
                <w:szCs w:val="22"/>
              </w:rPr>
            </w:pPr>
            <w:r w:rsidRPr="00D11021">
              <w:rPr>
                <w:sz w:val="22"/>
                <w:szCs w:val="22"/>
                <w:rtl/>
              </w:rPr>
              <w:t xml:space="preserve">الحد الأقصى المسموح به للاستهلاك الكلي من مواد المرفق جيم، المجموعة الأولى (أطنان </w:t>
            </w:r>
            <w:r w:rsidRPr="00D11021">
              <w:rPr>
                <w:rFonts w:hint="cs"/>
                <w:sz w:val="22"/>
                <w:szCs w:val="22"/>
                <w:rtl/>
              </w:rPr>
              <w:t xml:space="preserve">من </w:t>
            </w:r>
            <w:r w:rsidRPr="00D11021">
              <w:rPr>
                <w:sz w:val="22"/>
                <w:szCs w:val="22"/>
                <w:rtl/>
              </w:rPr>
              <w:t xml:space="preserve">قدرات استهلاك الأوزون) </w:t>
            </w:r>
          </w:p>
        </w:tc>
        <w:tc>
          <w:tcPr>
            <w:tcW w:w="462" w:type="pct"/>
            <w:tcBorders>
              <w:top w:val="nil"/>
              <w:left w:val="nil"/>
              <w:bottom w:val="single" w:sz="4" w:space="0" w:color="auto"/>
              <w:right w:val="single" w:sz="4" w:space="0" w:color="auto"/>
            </w:tcBorders>
            <w:shd w:val="clear" w:color="auto" w:fill="FFFFFF" w:themeFill="background1"/>
            <w:tcMar>
              <w:left w:w="29" w:type="dxa"/>
              <w:right w:w="29" w:type="dxa"/>
            </w:tcMar>
          </w:tcPr>
          <w:p w14:paraId="0EE1773A" w14:textId="77777777" w:rsidR="00BD596A" w:rsidRPr="00D11021" w:rsidRDefault="00BD596A" w:rsidP="008F5898">
            <w:pPr>
              <w:jc w:val="right"/>
              <w:rPr>
                <w:sz w:val="20"/>
                <w:lang w:val="en-CA"/>
              </w:rPr>
            </w:pPr>
            <w:r w:rsidRPr="00D11021">
              <w:rPr>
                <w:sz w:val="20"/>
                <w:lang w:val="en-CA"/>
              </w:rPr>
              <w:t>1.00</w:t>
            </w:r>
          </w:p>
        </w:tc>
        <w:tc>
          <w:tcPr>
            <w:tcW w:w="462" w:type="pct"/>
            <w:tcBorders>
              <w:top w:val="nil"/>
              <w:left w:val="nil"/>
              <w:bottom w:val="single" w:sz="4" w:space="0" w:color="auto"/>
              <w:right w:val="single" w:sz="4" w:space="0" w:color="auto"/>
            </w:tcBorders>
            <w:shd w:val="clear" w:color="auto" w:fill="FFFFFF" w:themeFill="background1"/>
            <w:tcMar>
              <w:left w:w="29" w:type="dxa"/>
              <w:right w:w="29" w:type="dxa"/>
            </w:tcMar>
          </w:tcPr>
          <w:p w14:paraId="7AA79594" w14:textId="77777777" w:rsidR="00BD596A" w:rsidRPr="00D11021" w:rsidRDefault="00BD596A" w:rsidP="008F5898">
            <w:pPr>
              <w:jc w:val="right"/>
              <w:rPr>
                <w:sz w:val="20"/>
                <w:lang w:val="en-CA"/>
              </w:rPr>
            </w:pPr>
            <w:r w:rsidRPr="00D11021">
              <w:rPr>
                <w:sz w:val="20"/>
                <w:lang w:val="en-CA"/>
              </w:rPr>
              <w:t>1.00</w:t>
            </w:r>
          </w:p>
        </w:tc>
        <w:tc>
          <w:tcPr>
            <w:tcW w:w="462" w:type="pct"/>
            <w:tcBorders>
              <w:top w:val="nil"/>
              <w:left w:val="nil"/>
              <w:bottom w:val="single" w:sz="4" w:space="0" w:color="auto"/>
              <w:right w:val="single" w:sz="4" w:space="0" w:color="auto"/>
            </w:tcBorders>
            <w:shd w:val="clear" w:color="auto" w:fill="FFFFFF" w:themeFill="background1"/>
            <w:tcMar>
              <w:left w:w="29" w:type="dxa"/>
              <w:right w:w="29" w:type="dxa"/>
            </w:tcMar>
          </w:tcPr>
          <w:p w14:paraId="0A2240BC" w14:textId="77777777" w:rsidR="00BD596A" w:rsidRPr="00D11021" w:rsidRDefault="00BD596A" w:rsidP="008F5898">
            <w:pPr>
              <w:jc w:val="right"/>
              <w:rPr>
                <w:sz w:val="20"/>
                <w:lang w:val="en-CA"/>
              </w:rPr>
            </w:pPr>
            <w:r w:rsidRPr="00D11021">
              <w:rPr>
                <w:sz w:val="20"/>
                <w:lang w:val="en-CA"/>
              </w:rPr>
              <w:t>1.00</w:t>
            </w:r>
          </w:p>
        </w:tc>
        <w:tc>
          <w:tcPr>
            <w:tcW w:w="462" w:type="pct"/>
            <w:tcBorders>
              <w:top w:val="nil"/>
              <w:left w:val="nil"/>
              <w:bottom w:val="single" w:sz="4" w:space="0" w:color="auto"/>
              <w:right w:val="single" w:sz="4" w:space="0" w:color="auto"/>
            </w:tcBorders>
            <w:shd w:val="clear" w:color="auto" w:fill="FFFFFF" w:themeFill="background1"/>
            <w:tcMar>
              <w:left w:w="29" w:type="dxa"/>
              <w:right w:w="29" w:type="dxa"/>
            </w:tcMar>
          </w:tcPr>
          <w:p w14:paraId="5F1A2A69" w14:textId="77777777" w:rsidR="00BD596A" w:rsidRPr="00D11021" w:rsidRDefault="00BD596A" w:rsidP="008F5898">
            <w:pPr>
              <w:jc w:val="right"/>
              <w:rPr>
                <w:sz w:val="20"/>
                <w:lang w:val="en-CA"/>
              </w:rPr>
            </w:pPr>
            <w:r w:rsidRPr="00D11021">
              <w:rPr>
                <w:sz w:val="20"/>
                <w:lang w:val="en-CA"/>
              </w:rPr>
              <w:t>0.50</w:t>
            </w:r>
          </w:p>
        </w:tc>
        <w:tc>
          <w:tcPr>
            <w:tcW w:w="462" w:type="pct"/>
            <w:tcBorders>
              <w:top w:val="nil"/>
              <w:left w:val="nil"/>
              <w:bottom w:val="single" w:sz="4" w:space="0" w:color="auto"/>
              <w:right w:val="single" w:sz="4" w:space="0" w:color="auto"/>
            </w:tcBorders>
            <w:shd w:val="clear" w:color="auto" w:fill="FFFFFF" w:themeFill="background1"/>
            <w:tcMar>
              <w:left w:w="29" w:type="dxa"/>
              <w:right w:w="29" w:type="dxa"/>
            </w:tcMar>
          </w:tcPr>
          <w:p w14:paraId="09D9EE3E" w14:textId="77777777" w:rsidR="00BD596A" w:rsidRPr="00D11021" w:rsidRDefault="00BD596A" w:rsidP="008F5898">
            <w:pPr>
              <w:jc w:val="right"/>
              <w:rPr>
                <w:sz w:val="20"/>
                <w:lang w:val="en-CA"/>
              </w:rPr>
            </w:pPr>
            <w:r w:rsidRPr="00D11021">
              <w:rPr>
                <w:sz w:val="20"/>
                <w:lang w:val="en-CA"/>
              </w:rPr>
              <w:t>0.50</w:t>
            </w:r>
          </w:p>
        </w:tc>
        <w:tc>
          <w:tcPr>
            <w:tcW w:w="462" w:type="pct"/>
            <w:tcBorders>
              <w:top w:val="nil"/>
              <w:left w:val="nil"/>
              <w:bottom w:val="single" w:sz="4" w:space="0" w:color="auto"/>
              <w:right w:val="single" w:sz="4" w:space="0" w:color="auto"/>
            </w:tcBorders>
            <w:shd w:val="clear" w:color="auto" w:fill="FFFFFF" w:themeFill="background1"/>
            <w:tcMar>
              <w:left w:w="29" w:type="dxa"/>
              <w:right w:w="29" w:type="dxa"/>
            </w:tcMar>
          </w:tcPr>
          <w:p w14:paraId="089569D0" w14:textId="77777777" w:rsidR="00BD596A" w:rsidRPr="00D11021" w:rsidRDefault="00BD596A" w:rsidP="008F5898">
            <w:pPr>
              <w:jc w:val="right"/>
              <w:rPr>
                <w:sz w:val="20"/>
                <w:lang w:val="en-CA"/>
              </w:rPr>
            </w:pPr>
            <w:r w:rsidRPr="00D11021">
              <w:rPr>
                <w:sz w:val="20"/>
                <w:lang w:val="en-CA"/>
              </w:rPr>
              <w:t>0.50</w:t>
            </w:r>
          </w:p>
        </w:tc>
        <w:tc>
          <w:tcPr>
            <w:tcW w:w="464" w:type="pct"/>
            <w:tcBorders>
              <w:top w:val="single" w:sz="4" w:space="0" w:color="auto"/>
              <w:left w:val="nil"/>
              <w:bottom w:val="single" w:sz="4" w:space="0" w:color="auto"/>
              <w:right w:val="single" w:sz="4" w:space="0" w:color="auto"/>
            </w:tcBorders>
            <w:shd w:val="clear" w:color="auto" w:fill="FFFFFF" w:themeFill="background1"/>
            <w:tcMar>
              <w:left w:w="29" w:type="dxa"/>
              <w:right w:w="29" w:type="dxa"/>
            </w:tcMar>
          </w:tcPr>
          <w:p w14:paraId="67090742" w14:textId="77777777" w:rsidR="00BD596A" w:rsidRPr="00D11021" w:rsidRDefault="00BD596A" w:rsidP="008F5898">
            <w:pPr>
              <w:jc w:val="right"/>
              <w:rPr>
                <w:sz w:val="20"/>
                <w:lang w:val="en-CA"/>
              </w:rPr>
            </w:pPr>
            <w:r w:rsidRPr="00D11021">
              <w:rPr>
                <w:sz w:val="20"/>
                <w:lang w:val="en-CA"/>
              </w:rPr>
              <w:t>0.00</w:t>
            </w:r>
          </w:p>
        </w:tc>
        <w:tc>
          <w:tcPr>
            <w:tcW w:w="416" w:type="pct"/>
            <w:tcBorders>
              <w:top w:val="nil"/>
              <w:left w:val="single" w:sz="4" w:space="0" w:color="auto"/>
              <w:bottom w:val="single" w:sz="4" w:space="0" w:color="auto"/>
              <w:right w:val="single" w:sz="4" w:space="0" w:color="auto"/>
            </w:tcBorders>
            <w:shd w:val="clear" w:color="auto" w:fill="FFFFFF" w:themeFill="background1"/>
            <w:tcMar>
              <w:left w:w="29" w:type="dxa"/>
              <w:right w:w="29" w:type="dxa"/>
            </w:tcMar>
          </w:tcPr>
          <w:p w14:paraId="60685FBE" w14:textId="7CE064B2" w:rsidR="00BD596A" w:rsidRPr="00D11021" w:rsidRDefault="00A13410" w:rsidP="008F5898">
            <w:pPr>
              <w:jc w:val="right"/>
              <w:rPr>
                <w:sz w:val="20"/>
                <w:lang w:val="en-CA"/>
              </w:rPr>
            </w:pPr>
            <w:r>
              <w:rPr>
                <w:rFonts w:hint="cs"/>
                <w:sz w:val="20"/>
                <w:rtl/>
                <w:lang w:val="en-CA"/>
              </w:rPr>
              <w:t>لا ينطبق</w:t>
            </w:r>
          </w:p>
        </w:tc>
      </w:tr>
      <w:tr w:rsidR="00BD596A" w:rsidRPr="000F4708" w14:paraId="2D82E996" w14:textId="77777777" w:rsidTr="00DA207A">
        <w:tc>
          <w:tcPr>
            <w:tcW w:w="462" w:type="pct"/>
            <w:tcBorders>
              <w:top w:val="nil"/>
              <w:left w:val="single" w:sz="4" w:space="0" w:color="auto"/>
              <w:bottom w:val="single" w:sz="4" w:space="0" w:color="auto"/>
              <w:right w:val="single" w:sz="4" w:space="0" w:color="auto"/>
            </w:tcBorders>
            <w:shd w:val="clear" w:color="auto" w:fill="auto"/>
            <w:hideMark/>
          </w:tcPr>
          <w:p w14:paraId="3E919884" w14:textId="77777777" w:rsidR="00BD596A" w:rsidRPr="00D11021" w:rsidRDefault="00BD596A" w:rsidP="008F5898">
            <w:pPr>
              <w:jc w:val="left"/>
              <w:rPr>
                <w:color w:val="000000"/>
                <w:sz w:val="22"/>
                <w:szCs w:val="22"/>
                <w:lang w:eastAsia="en-CA"/>
              </w:rPr>
            </w:pPr>
            <w:r w:rsidRPr="00D11021">
              <w:rPr>
                <w:color w:val="000000"/>
                <w:sz w:val="22"/>
                <w:szCs w:val="22"/>
                <w:lang w:eastAsia="en-CA"/>
              </w:rPr>
              <w:t>1.2</w:t>
            </w:r>
          </w:p>
        </w:tc>
        <w:tc>
          <w:tcPr>
            <w:tcW w:w="886" w:type="pct"/>
            <w:tcBorders>
              <w:top w:val="nil"/>
              <w:left w:val="nil"/>
              <w:bottom w:val="single" w:sz="4" w:space="0" w:color="auto"/>
              <w:right w:val="single" w:sz="4" w:space="0" w:color="auto"/>
            </w:tcBorders>
            <w:shd w:val="clear" w:color="auto" w:fill="auto"/>
            <w:tcMar>
              <w:left w:w="29" w:type="dxa"/>
              <w:right w:w="29" w:type="dxa"/>
            </w:tcMar>
            <w:hideMark/>
          </w:tcPr>
          <w:p w14:paraId="7294CDBA" w14:textId="77777777" w:rsidR="00BD596A" w:rsidRPr="00D11021" w:rsidRDefault="00BD596A" w:rsidP="008F5898">
            <w:pPr>
              <w:jc w:val="right"/>
              <w:rPr>
                <w:color w:val="000000"/>
                <w:sz w:val="22"/>
                <w:szCs w:val="22"/>
                <w:lang w:eastAsia="en-CA"/>
              </w:rPr>
            </w:pPr>
            <w:r w:rsidRPr="00D11021">
              <w:rPr>
                <w:sz w:val="22"/>
                <w:szCs w:val="22"/>
                <w:rtl/>
              </w:rPr>
              <w:t>التمويل المتفق عليه للوكالة المنفذة الرئيسية (</w:t>
            </w:r>
            <w:r w:rsidRPr="00D11021">
              <w:rPr>
                <w:rFonts w:hint="cs"/>
                <w:sz w:val="22"/>
                <w:szCs w:val="22"/>
                <w:rtl/>
              </w:rPr>
              <w:t>ألمانيا</w:t>
            </w:r>
            <w:r w:rsidRPr="00D11021">
              <w:rPr>
                <w:sz w:val="22"/>
                <w:szCs w:val="22"/>
                <w:rtl/>
              </w:rPr>
              <w:t>) (دولار أمريكي)</w:t>
            </w:r>
          </w:p>
        </w:tc>
        <w:tc>
          <w:tcPr>
            <w:tcW w:w="462" w:type="pct"/>
            <w:tcBorders>
              <w:top w:val="nil"/>
              <w:left w:val="nil"/>
              <w:bottom w:val="single" w:sz="4" w:space="0" w:color="auto"/>
              <w:right w:val="single" w:sz="4" w:space="0" w:color="auto"/>
            </w:tcBorders>
            <w:shd w:val="clear" w:color="auto" w:fill="FFFFFF" w:themeFill="background1"/>
            <w:tcMar>
              <w:left w:w="29" w:type="dxa"/>
              <w:right w:w="29" w:type="dxa"/>
            </w:tcMar>
          </w:tcPr>
          <w:p w14:paraId="51A5473D" w14:textId="77777777" w:rsidR="00BD596A" w:rsidRPr="00D11021" w:rsidRDefault="00BD596A" w:rsidP="008F5898">
            <w:pPr>
              <w:jc w:val="right"/>
              <w:rPr>
                <w:color w:val="000000" w:themeColor="text1"/>
                <w:sz w:val="20"/>
                <w:lang w:val="en-CA"/>
              </w:rPr>
            </w:pPr>
            <w:r w:rsidRPr="00D11021">
              <w:rPr>
                <w:color w:val="000000" w:themeColor="text1"/>
                <w:sz w:val="20"/>
                <w:lang w:val="en-CA"/>
              </w:rPr>
              <w:t>168,900</w:t>
            </w:r>
          </w:p>
        </w:tc>
        <w:tc>
          <w:tcPr>
            <w:tcW w:w="462" w:type="pct"/>
            <w:tcBorders>
              <w:top w:val="nil"/>
              <w:left w:val="nil"/>
              <w:bottom w:val="single" w:sz="4" w:space="0" w:color="auto"/>
              <w:right w:val="single" w:sz="4" w:space="0" w:color="auto"/>
            </w:tcBorders>
            <w:shd w:val="clear" w:color="auto" w:fill="FFFFFF" w:themeFill="background1"/>
            <w:tcMar>
              <w:left w:w="29" w:type="dxa"/>
              <w:right w:w="29" w:type="dxa"/>
            </w:tcMar>
          </w:tcPr>
          <w:p w14:paraId="4CAAD3F0" w14:textId="77777777" w:rsidR="00BD596A" w:rsidRPr="00D11021" w:rsidRDefault="00BD596A" w:rsidP="008F5898">
            <w:pPr>
              <w:jc w:val="right"/>
              <w:rPr>
                <w:color w:val="000000" w:themeColor="text1"/>
                <w:sz w:val="20"/>
                <w:lang w:val="en-CA"/>
              </w:rPr>
            </w:pPr>
            <w:r w:rsidRPr="00D11021">
              <w:rPr>
                <w:color w:val="000000" w:themeColor="text1"/>
                <w:sz w:val="20"/>
                <w:lang w:val="en-CA"/>
              </w:rPr>
              <w:t>0</w:t>
            </w:r>
          </w:p>
        </w:tc>
        <w:tc>
          <w:tcPr>
            <w:tcW w:w="462" w:type="pct"/>
            <w:tcBorders>
              <w:top w:val="nil"/>
              <w:left w:val="nil"/>
              <w:bottom w:val="single" w:sz="4" w:space="0" w:color="auto"/>
              <w:right w:val="single" w:sz="4" w:space="0" w:color="auto"/>
            </w:tcBorders>
            <w:shd w:val="clear" w:color="auto" w:fill="FFFFFF" w:themeFill="background1"/>
            <w:tcMar>
              <w:left w:w="29" w:type="dxa"/>
              <w:right w:w="29" w:type="dxa"/>
            </w:tcMar>
          </w:tcPr>
          <w:p w14:paraId="509183CA" w14:textId="77777777" w:rsidR="00BD596A" w:rsidRPr="00D11021" w:rsidRDefault="00BD596A" w:rsidP="008F5898">
            <w:pPr>
              <w:jc w:val="right"/>
              <w:rPr>
                <w:color w:val="000000" w:themeColor="text1"/>
                <w:sz w:val="20"/>
                <w:lang w:val="en-CA"/>
              </w:rPr>
            </w:pPr>
            <w:r w:rsidRPr="00D11021">
              <w:rPr>
                <w:color w:val="000000" w:themeColor="text1"/>
                <w:sz w:val="20"/>
                <w:lang w:val="en-CA"/>
              </w:rPr>
              <w:t>162,400</w:t>
            </w:r>
          </w:p>
        </w:tc>
        <w:tc>
          <w:tcPr>
            <w:tcW w:w="462" w:type="pct"/>
            <w:tcBorders>
              <w:top w:val="nil"/>
              <w:left w:val="nil"/>
              <w:bottom w:val="single" w:sz="4" w:space="0" w:color="auto"/>
              <w:right w:val="single" w:sz="4" w:space="0" w:color="auto"/>
            </w:tcBorders>
            <w:shd w:val="clear" w:color="auto" w:fill="FFFFFF" w:themeFill="background1"/>
            <w:tcMar>
              <w:left w:w="29" w:type="dxa"/>
              <w:right w:w="29" w:type="dxa"/>
            </w:tcMar>
          </w:tcPr>
          <w:p w14:paraId="7979C1E8" w14:textId="77777777" w:rsidR="00BD596A" w:rsidRPr="00D11021" w:rsidRDefault="00BD596A" w:rsidP="008F5898">
            <w:pPr>
              <w:jc w:val="right"/>
              <w:rPr>
                <w:color w:val="000000" w:themeColor="text1"/>
                <w:sz w:val="20"/>
                <w:lang w:val="en-CA"/>
              </w:rPr>
            </w:pPr>
            <w:r w:rsidRPr="00D11021">
              <w:rPr>
                <w:color w:val="000000" w:themeColor="text1"/>
                <w:sz w:val="20"/>
                <w:lang w:val="en-CA"/>
              </w:rPr>
              <w:t>0</w:t>
            </w:r>
          </w:p>
        </w:tc>
        <w:tc>
          <w:tcPr>
            <w:tcW w:w="462" w:type="pct"/>
            <w:tcBorders>
              <w:top w:val="nil"/>
              <w:left w:val="nil"/>
              <w:bottom w:val="single" w:sz="4" w:space="0" w:color="auto"/>
              <w:right w:val="single" w:sz="4" w:space="0" w:color="auto"/>
            </w:tcBorders>
            <w:shd w:val="clear" w:color="auto" w:fill="FFFFFF" w:themeFill="background1"/>
            <w:tcMar>
              <w:left w:w="29" w:type="dxa"/>
              <w:right w:w="29" w:type="dxa"/>
            </w:tcMar>
          </w:tcPr>
          <w:p w14:paraId="4F10E634" w14:textId="77777777" w:rsidR="00BD596A" w:rsidRPr="00D11021" w:rsidRDefault="00BD596A" w:rsidP="008F5898">
            <w:pPr>
              <w:jc w:val="right"/>
              <w:rPr>
                <w:color w:val="000000" w:themeColor="text1"/>
                <w:sz w:val="20"/>
                <w:lang w:val="en-CA"/>
              </w:rPr>
            </w:pPr>
            <w:r w:rsidRPr="00D11021">
              <w:rPr>
                <w:color w:val="000000" w:themeColor="text1"/>
                <w:sz w:val="20"/>
                <w:lang w:val="en-CA"/>
              </w:rPr>
              <w:t xml:space="preserve"> 91,200</w:t>
            </w:r>
          </w:p>
        </w:tc>
        <w:tc>
          <w:tcPr>
            <w:tcW w:w="462" w:type="pct"/>
            <w:tcBorders>
              <w:top w:val="nil"/>
              <w:left w:val="nil"/>
              <w:bottom w:val="single" w:sz="4" w:space="0" w:color="auto"/>
              <w:right w:val="single" w:sz="4" w:space="0" w:color="auto"/>
            </w:tcBorders>
            <w:shd w:val="clear" w:color="auto" w:fill="FFFFFF" w:themeFill="background1"/>
            <w:tcMar>
              <w:left w:w="29" w:type="dxa"/>
              <w:right w:w="29" w:type="dxa"/>
            </w:tcMar>
          </w:tcPr>
          <w:p w14:paraId="565C3BB8" w14:textId="77777777" w:rsidR="00BD596A" w:rsidRPr="00D11021" w:rsidRDefault="00BD596A" w:rsidP="008F5898">
            <w:pPr>
              <w:jc w:val="right"/>
              <w:rPr>
                <w:color w:val="000000" w:themeColor="text1"/>
                <w:sz w:val="20"/>
                <w:lang w:val="en-CA"/>
              </w:rPr>
            </w:pPr>
            <w:r w:rsidRPr="00D11021">
              <w:rPr>
                <w:color w:val="000000" w:themeColor="text1"/>
                <w:sz w:val="20"/>
                <w:lang w:val="en-CA"/>
              </w:rPr>
              <w:t>0</w:t>
            </w:r>
          </w:p>
        </w:tc>
        <w:tc>
          <w:tcPr>
            <w:tcW w:w="464" w:type="pct"/>
            <w:tcBorders>
              <w:top w:val="single" w:sz="4" w:space="0" w:color="auto"/>
              <w:left w:val="nil"/>
              <w:bottom w:val="single" w:sz="4" w:space="0" w:color="auto"/>
              <w:right w:val="single" w:sz="4" w:space="0" w:color="auto"/>
            </w:tcBorders>
            <w:shd w:val="clear" w:color="auto" w:fill="FFFFFF" w:themeFill="background1"/>
            <w:tcMar>
              <w:left w:w="29" w:type="dxa"/>
              <w:right w:w="29" w:type="dxa"/>
            </w:tcMar>
          </w:tcPr>
          <w:p w14:paraId="2B6BF217" w14:textId="77777777" w:rsidR="00BD596A" w:rsidRPr="00D11021" w:rsidRDefault="00BD596A" w:rsidP="008F5898">
            <w:pPr>
              <w:jc w:val="right"/>
              <w:rPr>
                <w:color w:val="000000" w:themeColor="text1"/>
                <w:sz w:val="20"/>
                <w:lang w:val="en-CA"/>
              </w:rPr>
            </w:pPr>
            <w:r w:rsidRPr="00D11021">
              <w:rPr>
                <w:color w:val="000000" w:themeColor="text1"/>
                <w:sz w:val="20"/>
                <w:lang w:val="en-CA"/>
              </w:rPr>
              <w:t>47,500</w:t>
            </w:r>
          </w:p>
        </w:tc>
        <w:tc>
          <w:tcPr>
            <w:tcW w:w="416" w:type="pct"/>
            <w:tcBorders>
              <w:top w:val="nil"/>
              <w:left w:val="single" w:sz="4" w:space="0" w:color="auto"/>
              <w:bottom w:val="single" w:sz="4" w:space="0" w:color="auto"/>
              <w:right w:val="single" w:sz="4" w:space="0" w:color="auto"/>
            </w:tcBorders>
            <w:shd w:val="clear" w:color="auto" w:fill="FFFFFF" w:themeFill="background1"/>
            <w:tcMar>
              <w:left w:w="29" w:type="dxa"/>
              <w:right w:w="29" w:type="dxa"/>
            </w:tcMar>
          </w:tcPr>
          <w:p w14:paraId="67331393" w14:textId="77777777" w:rsidR="00BD596A" w:rsidRPr="00D11021" w:rsidRDefault="00BD596A" w:rsidP="008F5898">
            <w:pPr>
              <w:jc w:val="right"/>
              <w:rPr>
                <w:color w:val="000000" w:themeColor="text1"/>
                <w:sz w:val="20"/>
                <w:lang w:val="en-CA"/>
              </w:rPr>
            </w:pPr>
            <w:r w:rsidRPr="00D11021">
              <w:rPr>
                <w:color w:val="000000" w:themeColor="text1"/>
                <w:sz w:val="20"/>
                <w:lang w:val="en-CA"/>
              </w:rPr>
              <w:t>470,000</w:t>
            </w:r>
          </w:p>
        </w:tc>
      </w:tr>
      <w:tr w:rsidR="00BD596A" w:rsidRPr="000F4708" w14:paraId="31522F50" w14:textId="77777777" w:rsidTr="00DA207A">
        <w:tc>
          <w:tcPr>
            <w:tcW w:w="462" w:type="pct"/>
            <w:tcBorders>
              <w:top w:val="nil"/>
              <w:left w:val="single" w:sz="4" w:space="0" w:color="auto"/>
              <w:bottom w:val="single" w:sz="4" w:space="0" w:color="auto"/>
              <w:right w:val="single" w:sz="4" w:space="0" w:color="auto"/>
            </w:tcBorders>
            <w:shd w:val="clear" w:color="auto" w:fill="auto"/>
            <w:hideMark/>
          </w:tcPr>
          <w:p w14:paraId="1247EAA6" w14:textId="77777777" w:rsidR="00BD596A" w:rsidRPr="00D11021" w:rsidRDefault="00BD596A" w:rsidP="008F5898">
            <w:pPr>
              <w:jc w:val="left"/>
              <w:rPr>
                <w:color w:val="000000"/>
                <w:sz w:val="22"/>
                <w:szCs w:val="22"/>
                <w:lang w:eastAsia="en-CA"/>
              </w:rPr>
            </w:pPr>
            <w:r w:rsidRPr="00D11021">
              <w:rPr>
                <w:color w:val="000000"/>
                <w:sz w:val="22"/>
                <w:szCs w:val="22"/>
                <w:lang w:eastAsia="en-CA"/>
              </w:rPr>
              <w:t>2.2</w:t>
            </w:r>
          </w:p>
        </w:tc>
        <w:tc>
          <w:tcPr>
            <w:tcW w:w="886" w:type="pct"/>
            <w:tcBorders>
              <w:top w:val="nil"/>
              <w:left w:val="nil"/>
              <w:bottom w:val="single" w:sz="4" w:space="0" w:color="auto"/>
              <w:right w:val="single" w:sz="4" w:space="0" w:color="auto"/>
            </w:tcBorders>
            <w:shd w:val="clear" w:color="auto" w:fill="auto"/>
            <w:tcMar>
              <w:left w:w="29" w:type="dxa"/>
              <w:right w:w="29" w:type="dxa"/>
            </w:tcMar>
            <w:hideMark/>
          </w:tcPr>
          <w:p w14:paraId="6C019CE5" w14:textId="77777777" w:rsidR="00BD596A" w:rsidRPr="00D11021" w:rsidRDefault="00BD596A" w:rsidP="008F5898">
            <w:pPr>
              <w:bidi/>
              <w:jc w:val="left"/>
              <w:rPr>
                <w:sz w:val="22"/>
                <w:szCs w:val="22"/>
              </w:rPr>
            </w:pPr>
            <w:r w:rsidRPr="00D11021">
              <w:rPr>
                <w:sz w:val="22"/>
                <w:szCs w:val="22"/>
                <w:rtl/>
              </w:rPr>
              <w:t>تكاليف دعم الوكالة المنفذة الرئيسية</w:t>
            </w:r>
            <w:r w:rsidRPr="00D11021">
              <w:rPr>
                <w:rFonts w:hint="cs"/>
                <w:sz w:val="22"/>
                <w:szCs w:val="22"/>
                <w:rtl/>
              </w:rPr>
              <w:t xml:space="preserve"> </w:t>
            </w:r>
            <w:r w:rsidRPr="00D11021">
              <w:rPr>
                <w:sz w:val="22"/>
                <w:szCs w:val="22"/>
                <w:rtl/>
              </w:rPr>
              <w:t xml:space="preserve">(دولار أمريكي) </w:t>
            </w:r>
          </w:p>
        </w:tc>
        <w:tc>
          <w:tcPr>
            <w:tcW w:w="462" w:type="pct"/>
            <w:tcBorders>
              <w:top w:val="nil"/>
              <w:left w:val="nil"/>
              <w:bottom w:val="single" w:sz="4" w:space="0" w:color="auto"/>
              <w:right w:val="single" w:sz="4" w:space="0" w:color="auto"/>
            </w:tcBorders>
            <w:shd w:val="clear" w:color="auto" w:fill="FFFFFF" w:themeFill="background1"/>
            <w:tcMar>
              <w:left w:w="29" w:type="dxa"/>
              <w:right w:w="29" w:type="dxa"/>
            </w:tcMar>
          </w:tcPr>
          <w:p w14:paraId="14ECFF0C" w14:textId="77777777" w:rsidR="00BD596A" w:rsidRPr="00D11021" w:rsidRDefault="00BD596A" w:rsidP="008F5898">
            <w:pPr>
              <w:jc w:val="right"/>
              <w:rPr>
                <w:color w:val="000000" w:themeColor="text1"/>
                <w:sz w:val="20"/>
                <w:lang w:val="en-CA"/>
              </w:rPr>
            </w:pPr>
            <w:r w:rsidRPr="00D11021">
              <w:rPr>
                <w:color w:val="000000" w:themeColor="text1"/>
                <w:sz w:val="20"/>
                <w:lang w:val="en-CA"/>
              </w:rPr>
              <w:t>21,957</w:t>
            </w:r>
          </w:p>
        </w:tc>
        <w:tc>
          <w:tcPr>
            <w:tcW w:w="462" w:type="pct"/>
            <w:tcBorders>
              <w:top w:val="nil"/>
              <w:left w:val="nil"/>
              <w:bottom w:val="single" w:sz="4" w:space="0" w:color="auto"/>
              <w:right w:val="single" w:sz="4" w:space="0" w:color="auto"/>
            </w:tcBorders>
            <w:shd w:val="clear" w:color="auto" w:fill="FFFFFF" w:themeFill="background1"/>
            <w:tcMar>
              <w:left w:w="29" w:type="dxa"/>
              <w:right w:w="29" w:type="dxa"/>
            </w:tcMar>
          </w:tcPr>
          <w:p w14:paraId="63011A97" w14:textId="77777777" w:rsidR="00BD596A" w:rsidRPr="00D11021" w:rsidRDefault="00BD596A" w:rsidP="008F5898">
            <w:pPr>
              <w:jc w:val="right"/>
              <w:rPr>
                <w:color w:val="000000" w:themeColor="text1"/>
                <w:sz w:val="20"/>
                <w:lang w:val="en-CA"/>
              </w:rPr>
            </w:pPr>
            <w:r w:rsidRPr="00D11021">
              <w:rPr>
                <w:color w:val="000000" w:themeColor="text1"/>
                <w:sz w:val="20"/>
                <w:lang w:val="en-CA"/>
              </w:rPr>
              <w:t>0</w:t>
            </w:r>
          </w:p>
        </w:tc>
        <w:tc>
          <w:tcPr>
            <w:tcW w:w="462" w:type="pct"/>
            <w:tcBorders>
              <w:top w:val="nil"/>
              <w:left w:val="nil"/>
              <w:bottom w:val="single" w:sz="4" w:space="0" w:color="auto"/>
              <w:right w:val="single" w:sz="4" w:space="0" w:color="auto"/>
            </w:tcBorders>
            <w:shd w:val="clear" w:color="auto" w:fill="FFFFFF" w:themeFill="background1"/>
            <w:tcMar>
              <w:left w:w="29" w:type="dxa"/>
              <w:right w:w="29" w:type="dxa"/>
            </w:tcMar>
          </w:tcPr>
          <w:p w14:paraId="3C660BA4" w14:textId="77777777" w:rsidR="00BD596A" w:rsidRPr="00D11021" w:rsidRDefault="00BD596A" w:rsidP="008F5898">
            <w:pPr>
              <w:jc w:val="right"/>
              <w:rPr>
                <w:color w:val="000000" w:themeColor="text1"/>
                <w:sz w:val="20"/>
                <w:lang w:val="en-CA"/>
              </w:rPr>
            </w:pPr>
            <w:r w:rsidRPr="00D11021">
              <w:rPr>
                <w:color w:val="000000" w:themeColor="text1"/>
                <w:sz w:val="20"/>
                <w:lang w:val="en-CA"/>
              </w:rPr>
              <w:t>21,112</w:t>
            </w:r>
          </w:p>
        </w:tc>
        <w:tc>
          <w:tcPr>
            <w:tcW w:w="462" w:type="pct"/>
            <w:tcBorders>
              <w:top w:val="nil"/>
              <w:left w:val="nil"/>
              <w:bottom w:val="single" w:sz="4" w:space="0" w:color="auto"/>
              <w:right w:val="single" w:sz="4" w:space="0" w:color="auto"/>
            </w:tcBorders>
            <w:shd w:val="clear" w:color="auto" w:fill="FFFFFF" w:themeFill="background1"/>
            <w:tcMar>
              <w:left w:w="29" w:type="dxa"/>
              <w:right w:w="29" w:type="dxa"/>
            </w:tcMar>
          </w:tcPr>
          <w:p w14:paraId="31D964ED" w14:textId="77777777" w:rsidR="00BD596A" w:rsidRPr="00D11021" w:rsidRDefault="00BD596A" w:rsidP="008F5898">
            <w:pPr>
              <w:jc w:val="right"/>
              <w:rPr>
                <w:color w:val="000000" w:themeColor="text1"/>
                <w:sz w:val="20"/>
                <w:lang w:val="en-CA"/>
              </w:rPr>
            </w:pPr>
            <w:r w:rsidRPr="00D11021">
              <w:rPr>
                <w:color w:val="000000" w:themeColor="text1"/>
                <w:sz w:val="20"/>
                <w:lang w:val="en-CA"/>
              </w:rPr>
              <w:t>0</w:t>
            </w:r>
          </w:p>
        </w:tc>
        <w:tc>
          <w:tcPr>
            <w:tcW w:w="462" w:type="pct"/>
            <w:tcBorders>
              <w:top w:val="nil"/>
              <w:left w:val="nil"/>
              <w:bottom w:val="single" w:sz="4" w:space="0" w:color="auto"/>
              <w:right w:val="single" w:sz="4" w:space="0" w:color="auto"/>
            </w:tcBorders>
            <w:shd w:val="clear" w:color="auto" w:fill="FFFFFF" w:themeFill="background1"/>
            <w:tcMar>
              <w:left w:w="29" w:type="dxa"/>
              <w:right w:w="29" w:type="dxa"/>
            </w:tcMar>
          </w:tcPr>
          <w:p w14:paraId="7C01A379" w14:textId="77777777" w:rsidR="00BD596A" w:rsidRPr="00D11021" w:rsidRDefault="00BD596A" w:rsidP="008F5898">
            <w:pPr>
              <w:jc w:val="right"/>
              <w:rPr>
                <w:color w:val="000000" w:themeColor="text1"/>
                <w:sz w:val="20"/>
                <w:lang w:val="en-CA"/>
              </w:rPr>
            </w:pPr>
            <w:r w:rsidRPr="00D11021">
              <w:rPr>
                <w:color w:val="000000" w:themeColor="text1"/>
                <w:sz w:val="20"/>
                <w:lang w:val="en-CA"/>
              </w:rPr>
              <w:t>11,856</w:t>
            </w:r>
          </w:p>
        </w:tc>
        <w:tc>
          <w:tcPr>
            <w:tcW w:w="462" w:type="pct"/>
            <w:tcBorders>
              <w:top w:val="nil"/>
              <w:left w:val="nil"/>
              <w:bottom w:val="single" w:sz="4" w:space="0" w:color="auto"/>
              <w:right w:val="single" w:sz="4" w:space="0" w:color="auto"/>
            </w:tcBorders>
            <w:shd w:val="clear" w:color="auto" w:fill="FFFFFF" w:themeFill="background1"/>
            <w:tcMar>
              <w:left w:w="29" w:type="dxa"/>
              <w:right w:w="29" w:type="dxa"/>
            </w:tcMar>
          </w:tcPr>
          <w:p w14:paraId="65E94ED1" w14:textId="77777777" w:rsidR="00BD596A" w:rsidRPr="00D11021" w:rsidRDefault="00BD596A" w:rsidP="008F5898">
            <w:pPr>
              <w:jc w:val="right"/>
              <w:rPr>
                <w:color w:val="000000" w:themeColor="text1"/>
                <w:sz w:val="20"/>
                <w:lang w:val="en-CA"/>
              </w:rPr>
            </w:pPr>
            <w:r w:rsidRPr="00D11021">
              <w:rPr>
                <w:color w:val="000000" w:themeColor="text1"/>
                <w:sz w:val="20"/>
                <w:lang w:val="en-CA"/>
              </w:rPr>
              <w:t>0</w:t>
            </w:r>
          </w:p>
        </w:tc>
        <w:tc>
          <w:tcPr>
            <w:tcW w:w="464" w:type="pct"/>
            <w:tcBorders>
              <w:top w:val="single" w:sz="4" w:space="0" w:color="auto"/>
              <w:left w:val="nil"/>
              <w:bottom w:val="single" w:sz="4" w:space="0" w:color="auto"/>
              <w:right w:val="single" w:sz="4" w:space="0" w:color="auto"/>
            </w:tcBorders>
            <w:shd w:val="clear" w:color="auto" w:fill="FFFFFF" w:themeFill="background1"/>
            <w:tcMar>
              <w:left w:w="29" w:type="dxa"/>
              <w:right w:w="29" w:type="dxa"/>
            </w:tcMar>
          </w:tcPr>
          <w:p w14:paraId="42819D7D" w14:textId="77777777" w:rsidR="00BD596A" w:rsidRPr="00D11021" w:rsidRDefault="00BD596A" w:rsidP="008F5898">
            <w:pPr>
              <w:jc w:val="right"/>
              <w:rPr>
                <w:color w:val="000000" w:themeColor="text1"/>
                <w:sz w:val="20"/>
                <w:lang w:val="en-CA"/>
              </w:rPr>
            </w:pPr>
            <w:r w:rsidRPr="00D11021">
              <w:rPr>
                <w:color w:val="000000" w:themeColor="text1"/>
                <w:sz w:val="20"/>
                <w:lang w:val="en-CA"/>
              </w:rPr>
              <w:t>6,175</w:t>
            </w:r>
          </w:p>
        </w:tc>
        <w:tc>
          <w:tcPr>
            <w:tcW w:w="416" w:type="pct"/>
            <w:tcBorders>
              <w:top w:val="nil"/>
              <w:left w:val="single" w:sz="4" w:space="0" w:color="auto"/>
              <w:bottom w:val="single" w:sz="4" w:space="0" w:color="auto"/>
              <w:right w:val="single" w:sz="4" w:space="0" w:color="auto"/>
            </w:tcBorders>
            <w:shd w:val="clear" w:color="auto" w:fill="FFFFFF" w:themeFill="background1"/>
            <w:tcMar>
              <w:left w:w="29" w:type="dxa"/>
              <w:right w:w="29" w:type="dxa"/>
            </w:tcMar>
          </w:tcPr>
          <w:p w14:paraId="01839E07" w14:textId="77777777" w:rsidR="00BD596A" w:rsidRPr="00D11021" w:rsidRDefault="00BD596A" w:rsidP="008F5898">
            <w:pPr>
              <w:jc w:val="right"/>
              <w:rPr>
                <w:color w:val="000000" w:themeColor="text1"/>
                <w:sz w:val="20"/>
                <w:lang w:val="en-CA"/>
              </w:rPr>
            </w:pPr>
            <w:r w:rsidRPr="00D11021">
              <w:rPr>
                <w:color w:val="000000" w:themeColor="text1"/>
                <w:sz w:val="20"/>
                <w:lang w:val="en-CA"/>
              </w:rPr>
              <w:t xml:space="preserve"> 61,100</w:t>
            </w:r>
          </w:p>
        </w:tc>
      </w:tr>
      <w:tr w:rsidR="00BD596A" w:rsidRPr="000F4708" w14:paraId="3EF49892" w14:textId="77777777" w:rsidTr="00DA207A">
        <w:tc>
          <w:tcPr>
            <w:tcW w:w="462" w:type="pct"/>
            <w:tcBorders>
              <w:top w:val="nil"/>
              <w:left w:val="single" w:sz="4" w:space="0" w:color="auto"/>
              <w:bottom w:val="single" w:sz="4" w:space="0" w:color="auto"/>
              <w:right w:val="single" w:sz="4" w:space="0" w:color="auto"/>
            </w:tcBorders>
            <w:shd w:val="clear" w:color="auto" w:fill="auto"/>
          </w:tcPr>
          <w:p w14:paraId="38EDCF74" w14:textId="77777777" w:rsidR="00BD596A" w:rsidRPr="00D11021" w:rsidRDefault="00BD596A" w:rsidP="008F5898">
            <w:pPr>
              <w:jc w:val="left"/>
              <w:rPr>
                <w:color w:val="000000"/>
                <w:sz w:val="22"/>
                <w:szCs w:val="22"/>
                <w:lang w:eastAsia="en-CA"/>
              </w:rPr>
            </w:pPr>
            <w:r w:rsidRPr="00D11021">
              <w:rPr>
                <w:color w:val="000000"/>
                <w:sz w:val="22"/>
                <w:szCs w:val="22"/>
                <w:lang w:eastAsia="en-CA"/>
              </w:rPr>
              <w:t>1.3</w:t>
            </w:r>
          </w:p>
        </w:tc>
        <w:tc>
          <w:tcPr>
            <w:tcW w:w="886" w:type="pct"/>
            <w:tcBorders>
              <w:top w:val="nil"/>
              <w:left w:val="nil"/>
              <w:bottom w:val="single" w:sz="4" w:space="0" w:color="auto"/>
              <w:right w:val="single" w:sz="4" w:space="0" w:color="auto"/>
            </w:tcBorders>
            <w:shd w:val="clear" w:color="auto" w:fill="auto"/>
            <w:tcMar>
              <w:left w:w="29" w:type="dxa"/>
              <w:right w:w="29" w:type="dxa"/>
            </w:tcMar>
          </w:tcPr>
          <w:p w14:paraId="163C6DBF" w14:textId="77777777" w:rsidR="00BD596A" w:rsidRPr="00D11021" w:rsidRDefault="00BD596A" w:rsidP="008F5898">
            <w:pPr>
              <w:bidi/>
              <w:jc w:val="left"/>
              <w:rPr>
                <w:sz w:val="22"/>
                <w:szCs w:val="22"/>
              </w:rPr>
            </w:pPr>
            <w:r w:rsidRPr="00D11021">
              <w:rPr>
                <w:rFonts w:hint="cs"/>
                <w:sz w:val="22"/>
                <w:szCs w:val="22"/>
                <w:rtl/>
              </w:rPr>
              <w:t xml:space="preserve">إجمالي التمويل الموافق عليه </w:t>
            </w:r>
            <w:r w:rsidRPr="00D11021">
              <w:rPr>
                <w:sz w:val="22"/>
                <w:szCs w:val="22"/>
                <w:rtl/>
              </w:rPr>
              <w:t>(دولار أمريكي)</w:t>
            </w:r>
          </w:p>
        </w:tc>
        <w:tc>
          <w:tcPr>
            <w:tcW w:w="462" w:type="pct"/>
            <w:tcBorders>
              <w:top w:val="nil"/>
              <w:left w:val="nil"/>
              <w:bottom w:val="single" w:sz="4" w:space="0" w:color="auto"/>
              <w:right w:val="single" w:sz="4" w:space="0" w:color="auto"/>
            </w:tcBorders>
            <w:shd w:val="clear" w:color="auto" w:fill="FFFFFF" w:themeFill="background1"/>
            <w:tcMar>
              <w:left w:w="29" w:type="dxa"/>
              <w:right w:w="29" w:type="dxa"/>
            </w:tcMar>
          </w:tcPr>
          <w:p w14:paraId="274AF707" w14:textId="77777777" w:rsidR="00BD596A" w:rsidRPr="00D11021" w:rsidRDefault="00BD596A" w:rsidP="008F5898">
            <w:pPr>
              <w:jc w:val="right"/>
              <w:rPr>
                <w:sz w:val="20"/>
                <w:lang w:val="en-CA"/>
              </w:rPr>
            </w:pPr>
            <w:r w:rsidRPr="00D11021">
              <w:rPr>
                <w:color w:val="000000" w:themeColor="text1"/>
                <w:sz w:val="20"/>
                <w:lang w:val="en-CA"/>
              </w:rPr>
              <w:t>168,900</w:t>
            </w:r>
          </w:p>
        </w:tc>
        <w:tc>
          <w:tcPr>
            <w:tcW w:w="462" w:type="pct"/>
            <w:tcBorders>
              <w:top w:val="nil"/>
              <w:left w:val="nil"/>
              <w:bottom w:val="single" w:sz="4" w:space="0" w:color="auto"/>
              <w:right w:val="single" w:sz="4" w:space="0" w:color="auto"/>
            </w:tcBorders>
            <w:shd w:val="clear" w:color="auto" w:fill="FFFFFF" w:themeFill="background1"/>
            <w:tcMar>
              <w:left w:w="29" w:type="dxa"/>
              <w:right w:w="29" w:type="dxa"/>
            </w:tcMar>
          </w:tcPr>
          <w:p w14:paraId="01F39BB1" w14:textId="77777777" w:rsidR="00BD596A" w:rsidRPr="00D11021" w:rsidRDefault="00BD596A" w:rsidP="008F5898">
            <w:pPr>
              <w:jc w:val="right"/>
              <w:rPr>
                <w:sz w:val="20"/>
                <w:lang w:val="en-CA"/>
              </w:rPr>
            </w:pPr>
            <w:r w:rsidRPr="00D11021">
              <w:rPr>
                <w:color w:val="000000" w:themeColor="text1"/>
                <w:sz w:val="20"/>
                <w:lang w:val="en-CA"/>
              </w:rPr>
              <w:t>0</w:t>
            </w:r>
          </w:p>
        </w:tc>
        <w:tc>
          <w:tcPr>
            <w:tcW w:w="462" w:type="pct"/>
            <w:tcBorders>
              <w:top w:val="nil"/>
              <w:left w:val="nil"/>
              <w:bottom w:val="single" w:sz="4" w:space="0" w:color="auto"/>
              <w:right w:val="single" w:sz="4" w:space="0" w:color="auto"/>
            </w:tcBorders>
            <w:shd w:val="clear" w:color="auto" w:fill="FFFFFF" w:themeFill="background1"/>
            <w:tcMar>
              <w:left w:w="29" w:type="dxa"/>
              <w:right w:w="29" w:type="dxa"/>
            </w:tcMar>
          </w:tcPr>
          <w:p w14:paraId="79A88819" w14:textId="77777777" w:rsidR="00BD596A" w:rsidRPr="00D11021" w:rsidRDefault="00BD596A" w:rsidP="008F5898">
            <w:pPr>
              <w:jc w:val="right"/>
              <w:rPr>
                <w:sz w:val="20"/>
                <w:lang w:val="en-CA"/>
              </w:rPr>
            </w:pPr>
            <w:r w:rsidRPr="00D11021">
              <w:rPr>
                <w:color w:val="000000" w:themeColor="text1"/>
                <w:sz w:val="20"/>
                <w:lang w:val="en-CA"/>
              </w:rPr>
              <w:t>162,400</w:t>
            </w:r>
          </w:p>
        </w:tc>
        <w:tc>
          <w:tcPr>
            <w:tcW w:w="462" w:type="pct"/>
            <w:tcBorders>
              <w:top w:val="nil"/>
              <w:left w:val="nil"/>
              <w:bottom w:val="single" w:sz="4" w:space="0" w:color="auto"/>
              <w:right w:val="single" w:sz="4" w:space="0" w:color="auto"/>
            </w:tcBorders>
            <w:shd w:val="clear" w:color="auto" w:fill="FFFFFF" w:themeFill="background1"/>
            <w:tcMar>
              <w:left w:w="29" w:type="dxa"/>
              <w:right w:w="29" w:type="dxa"/>
            </w:tcMar>
          </w:tcPr>
          <w:p w14:paraId="517A2D21" w14:textId="77777777" w:rsidR="00BD596A" w:rsidRPr="00D11021" w:rsidRDefault="00BD596A" w:rsidP="008F5898">
            <w:pPr>
              <w:jc w:val="right"/>
              <w:rPr>
                <w:sz w:val="20"/>
                <w:lang w:val="en-CA"/>
              </w:rPr>
            </w:pPr>
            <w:r w:rsidRPr="00D11021">
              <w:rPr>
                <w:color w:val="000000" w:themeColor="text1"/>
                <w:sz w:val="20"/>
                <w:lang w:val="en-CA"/>
              </w:rPr>
              <w:t>0</w:t>
            </w:r>
          </w:p>
        </w:tc>
        <w:tc>
          <w:tcPr>
            <w:tcW w:w="462" w:type="pct"/>
            <w:tcBorders>
              <w:top w:val="nil"/>
              <w:left w:val="nil"/>
              <w:bottom w:val="single" w:sz="4" w:space="0" w:color="auto"/>
              <w:right w:val="single" w:sz="4" w:space="0" w:color="auto"/>
            </w:tcBorders>
            <w:shd w:val="clear" w:color="auto" w:fill="FFFFFF" w:themeFill="background1"/>
            <w:tcMar>
              <w:left w:w="29" w:type="dxa"/>
              <w:right w:w="29" w:type="dxa"/>
            </w:tcMar>
          </w:tcPr>
          <w:p w14:paraId="57223A1B" w14:textId="77777777" w:rsidR="00BD596A" w:rsidRPr="00D11021" w:rsidRDefault="00BD596A" w:rsidP="008F5898">
            <w:pPr>
              <w:jc w:val="right"/>
              <w:rPr>
                <w:sz w:val="20"/>
                <w:lang w:val="en-CA"/>
              </w:rPr>
            </w:pPr>
            <w:r w:rsidRPr="00D11021">
              <w:rPr>
                <w:color w:val="000000" w:themeColor="text1"/>
                <w:sz w:val="20"/>
                <w:lang w:val="en-CA"/>
              </w:rPr>
              <w:t xml:space="preserve"> 91,200</w:t>
            </w:r>
          </w:p>
        </w:tc>
        <w:tc>
          <w:tcPr>
            <w:tcW w:w="462" w:type="pct"/>
            <w:tcBorders>
              <w:top w:val="nil"/>
              <w:left w:val="nil"/>
              <w:bottom w:val="single" w:sz="4" w:space="0" w:color="auto"/>
              <w:right w:val="single" w:sz="4" w:space="0" w:color="auto"/>
            </w:tcBorders>
            <w:shd w:val="clear" w:color="auto" w:fill="FFFFFF" w:themeFill="background1"/>
            <w:tcMar>
              <w:left w:w="29" w:type="dxa"/>
              <w:right w:w="29" w:type="dxa"/>
            </w:tcMar>
          </w:tcPr>
          <w:p w14:paraId="571C05F5" w14:textId="77777777" w:rsidR="00BD596A" w:rsidRPr="00D11021" w:rsidRDefault="00BD596A" w:rsidP="008F5898">
            <w:pPr>
              <w:jc w:val="right"/>
              <w:rPr>
                <w:sz w:val="20"/>
                <w:lang w:val="en-CA"/>
              </w:rPr>
            </w:pPr>
            <w:r w:rsidRPr="00D11021">
              <w:rPr>
                <w:color w:val="000000" w:themeColor="text1"/>
                <w:sz w:val="20"/>
                <w:lang w:val="en-CA"/>
              </w:rPr>
              <w:t>0</w:t>
            </w:r>
          </w:p>
        </w:tc>
        <w:tc>
          <w:tcPr>
            <w:tcW w:w="464" w:type="pct"/>
            <w:tcBorders>
              <w:top w:val="single" w:sz="4" w:space="0" w:color="auto"/>
              <w:left w:val="nil"/>
              <w:bottom w:val="single" w:sz="4" w:space="0" w:color="auto"/>
              <w:right w:val="single" w:sz="4" w:space="0" w:color="auto"/>
            </w:tcBorders>
            <w:shd w:val="clear" w:color="auto" w:fill="FFFFFF" w:themeFill="background1"/>
            <w:tcMar>
              <w:left w:w="29" w:type="dxa"/>
              <w:right w:w="29" w:type="dxa"/>
            </w:tcMar>
          </w:tcPr>
          <w:p w14:paraId="691D7446" w14:textId="77777777" w:rsidR="00BD596A" w:rsidRPr="00D11021" w:rsidRDefault="00BD596A" w:rsidP="008F5898">
            <w:pPr>
              <w:jc w:val="right"/>
              <w:rPr>
                <w:sz w:val="20"/>
                <w:lang w:val="en-CA"/>
              </w:rPr>
            </w:pPr>
            <w:r w:rsidRPr="00D11021">
              <w:rPr>
                <w:color w:val="000000" w:themeColor="text1"/>
                <w:sz w:val="20"/>
                <w:lang w:val="en-CA"/>
              </w:rPr>
              <w:t>47,500</w:t>
            </w:r>
          </w:p>
        </w:tc>
        <w:tc>
          <w:tcPr>
            <w:tcW w:w="416" w:type="pct"/>
            <w:tcBorders>
              <w:top w:val="nil"/>
              <w:left w:val="single" w:sz="4" w:space="0" w:color="auto"/>
              <w:bottom w:val="single" w:sz="4" w:space="0" w:color="auto"/>
              <w:right w:val="single" w:sz="4" w:space="0" w:color="auto"/>
            </w:tcBorders>
            <w:shd w:val="clear" w:color="auto" w:fill="FFFFFF" w:themeFill="background1"/>
            <w:tcMar>
              <w:left w:w="29" w:type="dxa"/>
              <w:right w:w="29" w:type="dxa"/>
            </w:tcMar>
          </w:tcPr>
          <w:p w14:paraId="2A028D54" w14:textId="77777777" w:rsidR="00BD596A" w:rsidRPr="00D11021" w:rsidRDefault="00BD596A" w:rsidP="008F5898">
            <w:pPr>
              <w:jc w:val="right"/>
              <w:rPr>
                <w:sz w:val="20"/>
                <w:lang w:val="en-CA"/>
              </w:rPr>
            </w:pPr>
            <w:r w:rsidRPr="00D11021">
              <w:rPr>
                <w:color w:val="000000" w:themeColor="text1"/>
                <w:sz w:val="20"/>
                <w:lang w:val="en-CA"/>
              </w:rPr>
              <w:t>470,000</w:t>
            </w:r>
          </w:p>
        </w:tc>
      </w:tr>
      <w:tr w:rsidR="00BD596A" w:rsidRPr="000F4708" w14:paraId="383A3770" w14:textId="77777777" w:rsidTr="00DA207A">
        <w:tc>
          <w:tcPr>
            <w:tcW w:w="462" w:type="pct"/>
            <w:tcBorders>
              <w:top w:val="nil"/>
              <w:left w:val="single" w:sz="4" w:space="0" w:color="auto"/>
              <w:bottom w:val="single" w:sz="4" w:space="0" w:color="auto"/>
              <w:right w:val="single" w:sz="4" w:space="0" w:color="auto"/>
            </w:tcBorders>
            <w:shd w:val="clear" w:color="auto" w:fill="auto"/>
          </w:tcPr>
          <w:p w14:paraId="488DF6B3" w14:textId="77777777" w:rsidR="00BD596A" w:rsidRPr="00D11021" w:rsidRDefault="00BD596A" w:rsidP="008F5898">
            <w:pPr>
              <w:jc w:val="left"/>
              <w:rPr>
                <w:color w:val="000000"/>
                <w:sz w:val="22"/>
                <w:szCs w:val="22"/>
                <w:lang w:eastAsia="en-CA"/>
              </w:rPr>
            </w:pPr>
            <w:r w:rsidRPr="00D11021">
              <w:rPr>
                <w:color w:val="000000"/>
                <w:sz w:val="22"/>
                <w:szCs w:val="22"/>
                <w:lang w:eastAsia="en-CA"/>
              </w:rPr>
              <w:t>2.3</w:t>
            </w:r>
          </w:p>
        </w:tc>
        <w:tc>
          <w:tcPr>
            <w:tcW w:w="886" w:type="pct"/>
            <w:tcBorders>
              <w:top w:val="nil"/>
              <w:left w:val="nil"/>
              <w:bottom w:val="single" w:sz="4" w:space="0" w:color="auto"/>
              <w:right w:val="single" w:sz="4" w:space="0" w:color="auto"/>
            </w:tcBorders>
            <w:shd w:val="clear" w:color="auto" w:fill="auto"/>
            <w:tcMar>
              <w:left w:w="29" w:type="dxa"/>
              <w:right w:w="29" w:type="dxa"/>
            </w:tcMar>
          </w:tcPr>
          <w:p w14:paraId="093E0CD1" w14:textId="77777777" w:rsidR="00BD596A" w:rsidRPr="00D11021" w:rsidRDefault="00BD596A" w:rsidP="008F5898">
            <w:pPr>
              <w:bidi/>
              <w:jc w:val="left"/>
              <w:rPr>
                <w:sz w:val="22"/>
                <w:szCs w:val="22"/>
              </w:rPr>
            </w:pPr>
            <w:r w:rsidRPr="00D11021">
              <w:rPr>
                <w:rFonts w:hint="cs"/>
                <w:sz w:val="22"/>
                <w:szCs w:val="22"/>
                <w:rtl/>
              </w:rPr>
              <w:t xml:space="preserve">إجمالي </w:t>
            </w:r>
            <w:r w:rsidRPr="00D11021">
              <w:rPr>
                <w:sz w:val="22"/>
                <w:szCs w:val="22"/>
                <w:rtl/>
              </w:rPr>
              <w:t xml:space="preserve">تكاليف </w:t>
            </w:r>
            <w:r w:rsidRPr="00D11021">
              <w:rPr>
                <w:rFonts w:hint="cs"/>
                <w:sz w:val="22"/>
                <w:szCs w:val="22"/>
                <w:rtl/>
              </w:rPr>
              <w:t>ال</w:t>
            </w:r>
            <w:r w:rsidRPr="00D11021">
              <w:rPr>
                <w:sz w:val="22"/>
                <w:szCs w:val="22"/>
                <w:rtl/>
              </w:rPr>
              <w:t xml:space="preserve">دعم </w:t>
            </w:r>
            <w:r w:rsidRPr="00D11021">
              <w:rPr>
                <w:rFonts w:hint="cs"/>
                <w:sz w:val="22"/>
                <w:szCs w:val="22"/>
                <w:rtl/>
              </w:rPr>
              <w:t>الموافق عليها</w:t>
            </w:r>
            <w:r w:rsidRPr="00D11021">
              <w:rPr>
                <w:sz w:val="22"/>
                <w:szCs w:val="22"/>
                <w:rtl/>
              </w:rPr>
              <w:t xml:space="preserve"> (دولار أمريكي) </w:t>
            </w:r>
          </w:p>
        </w:tc>
        <w:tc>
          <w:tcPr>
            <w:tcW w:w="462" w:type="pct"/>
            <w:tcBorders>
              <w:top w:val="nil"/>
              <w:left w:val="nil"/>
              <w:bottom w:val="single" w:sz="4" w:space="0" w:color="auto"/>
              <w:right w:val="single" w:sz="4" w:space="0" w:color="auto"/>
            </w:tcBorders>
            <w:shd w:val="clear" w:color="auto" w:fill="FFFFFF" w:themeFill="background1"/>
            <w:tcMar>
              <w:left w:w="29" w:type="dxa"/>
              <w:right w:w="29" w:type="dxa"/>
            </w:tcMar>
          </w:tcPr>
          <w:p w14:paraId="2C7E74F6" w14:textId="77777777" w:rsidR="00BD596A" w:rsidRPr="00D11021" w:rsidRDefault="00BD596A" w:rsidP="008F5898">
            <w:pPr>
              <w:jc w:val="right"/>
              <w:rPr>
                <w:sz w:val="20"/>
                <w:lang w:val="en-CA"/>
              </w:rPr>
            </w:pPr>
            <w:r w:rsidRPr="00D11021">
              <w:rPr>
                <w:color w:val="000000" w:themeColor="text1"/>
                <w:sz w:val="20"/>
                <w:lang w:val="en-CA"/>
              </w:rPr>
              <w:t>21,957</w:t>
            </w:r>
          </w:p>
        </w:tc>
        <w:tc>
          <w:tcPr>
            <w:tcW w:w="462" w:type="pct"/>
            <w:tcBorders>
              <w:top w:val="nil"/>
              <w:left w:val="nil"/>
              <w:bottom w:val="single" w:sz="4" w:space="0" w:color="auto"/>
              <w:right w:val="single" w:sz="4" w:space="0" w:color="auto"/>
            </w:tcBorders>
            <w:shd w:val="clear" w:color="auto" w:fill="FFFFFF" w:themeFill="background1"/>
            <w:tcMar>
              <w:left w:w="29" w:type="dxa"/>
              <w:right w:w="29" w:type="dxa"/>
            </w:tcMar>
          </w:tcPr>
          <w:p w14:paraId="0A59BC57" w14:textId="77777777" w:rsidR="00BD596A" w:rsidRPr="00D11021" w:rsidRDefault="00BD596A" w:rsidP="008F5898">
            <w:pPr>
              <w:jc w:val="right"/>
              <w:rPr>
                <w:sz w:val="20"/>
                <w:lang w:val="en-CA"/>
              </w:rPr>
            </w:pPr>
            <w:r w:rsidRPr="00D11021">
              <w:rPr>
                <w:color w:val="000000" w:themeColor="text1"/>
                <w:sz w:val="20"/>
                <w:lang w:val="en-CA"/>
              </w:rPr>
              <w:t>0</w:t>
            </w:r>
          </w:p>
        </w:tc>
        <w:tc>
          <w:tcPr>
            <w:tcW w:w="462" w:type="pct"/>
            <w:tcBorders>
              <w:top w:val="nil"/>
              <w:left w:val="nil"/>
              <w:bottom w:val="single" w:sz="4" w:space="0" w:color="auto"/>
              <w:right w:val="single" w:sz="4" w:space="0" w:color="auto"/>
            </w:tcBorders>
            <w:shd w:val="clear" w:color="auto" w:fill="FFFFFF" w:themeFill="background1"/>
            <w:tcMar>
              <w:left w:w="29" w:type="dxa"/>
              <w:right w:w="29" w:type="dxa"/>
            </w:tcMar>
          </w:tcPr>
          <w:p w14:paraId="2F9B0736" w14:textId="77777777" w:rsidR="00BD596A" w:rsidRPr="00D11021" w:rsidRDefault="00BD596A" w:rsidP="008F5898">
            <w:pPr>
              <w:jc w:val="right"/>
              <w:rPr>
                <w:sz w:val="20"/>
                <w:lang w:val="en-CA"/>
              </w:rPr>
            </w:pPr>
            <w:r w:rsidRPr="00D11021">
              <w:rPr>
                <w:color w:val="000000" w:themeColor="text1"/>
                <w:sz w:val="20"/>
                <w:lang w:val="en-CA"/>
              </w:rPr>
              <w:t>21,112</w:t>
            </w:r>
          </w:p>
        </w:tc>
        <w:tc>
          <w:tcPr>
            <w:tcW w:w="462" w:type="pct"/>
            <w:tcBorders>
              <w:top w:val="nil"/>
              <w:left w:val="nil"/>
              <w:bottom w:val="single" w:sz="4" w:space="0" w:color="auto"/>
              <w:right w:val="single" w:sz="4" w:space="0" w:color="auto"/>
            </w:tcBorders>
            <w:shd w:val="clear" w:color="auto" w:fill="FFFFFF" w:themeFill="background1"/>
            <w:tcMar>
              <w:left w:w="29" w:type="dxa"/>
              <w:right w:w="29" w:type="dxa"/>
            </w:tcMar>
          </w:tcPr>
          <w:p w14:paraId="69705F88" w14:textId="77777777" w:rsidR="00BD596A" w:rsidRPr="00D11021" w:rsidRDefault="00BD596A" w:rsidP="008F5898">
            <w:pPr>
              <w:jc w:val="right"/>
              <w:rPr>
                <w:sz w:val="20"/>
                <w:lang w:val="en-CA"/>
              </w:rPr>
            </w:pPr>
            <w:r w:rsidRPr="00D11021">
              <w:rPr>
                <w:color w:val="000000" w:themeColor="text1"/>
                <w:sz w:val="20"/>
                <w:lang w:val="en-CA"/>
              </w:rPr>
              <w:t>0</w:t>
            </w:r>
          </w:p>
        </w:tc>
        <w:tc>
          <w:tcPr>
            <w:tcW w:w="462" w:type="pct"/>
            <w:tcBorders>
              <w:top w:val="nil"/>
              <w:left w:val="nil"/>
              <w:bottom w:val="single" w:sz="4" w:space="0" w:color="auto"/>
              <w:right w:val="single" w:sz="4" w:space="0" w:color="auto"/>
            </w:tcBorders>
            <w:shd w:val="clear" w:color="auto" w:fill="FFFFFF" w:themeFill="background1"/>
            <w:tcMar>
              <w:left w:w="29" w:type="dxa"/>
              <w:right w:w="29" w:type="dxa"/>
            </w:tcMar>
          </w:tcPr>
          <w:p w14:paraId="170DD819" w14:textId="77777777" w:rsidR="00BD596A" w:rsidRPr="00D11021" w:rsidRDefault="00BD596A" w:rsidP="008F5898">
            <w:pPr>
              <w:jc w:val="right"/>
              <w:rPr>
                <w:sz w:val="20"/>
                <w:lang w:val="en-CA"/>
              </w:rPr>
            </w:pPr>
            <w:r w:rsidRPr="00D11021">
              <w:rPr>
                <w:color w:val="000000" w:themeColor="text1"/>
                <w:sz w:val="20"/>
                <w:lang w:val="en-CA"/>
              </w:rPr>
              <w:t>11,856</w:t>
            </w:r>
          </w:p>
        </w:tc>
        <w:tc>
          <w:tcPr>
            <w:tcW w:w="462" w:type="pct"/>
            <w:tcBorders>
              <w:top w:val="nil"/>
              <w:left w:val="nil"/>
              <w:bottom w:val="single" w:sz="4" w:space="0" w:color="auto"/>
              <w:right w:val="single" w:sz="4" w:space="0" w:color="auto"/>
            </w:tcBorders>
            <w:shd w:val="clear" w:color="auto" w:fill="FFFFFF" w:themeFill="background1"/>
            <w:tcMar>
              <w:left w:w="29" w:type="dxa"/>
              <w:right w:w="29" w:type="dxa"/>
            </w:tcMar>
          </w:tcPr>
          <w:p w14:paraId="0927FBF2" w14:textId="77777777" w:rsidR="00BD596A" w:rsidRPr="00D11021" w:rsidRDefault="00BD596A" w:rsidP="008F5898">
            <w:pPr>
              <w:jc w:val="right"/>
              <w:rPr>
                <w:sz w:val="20"/>
                <w:lang w:val="en-CA"/>
              </w:rPr>
            </w:pPr>
            <w:r w:rsidRPr="00D11021">
              <w:rPr>
                <w:color w:val="000000" w:themeColor="text1"/>
                <w:sz w:val="20"/>
                <w:lang w:val="en-CA"/>
              </w:rPr>
              <w:t>0</w:t>
            </w:r>
          </w:p>
        </w:tc>
        <w:tc>
          <w:tcPr>
            <w:tcW w:w="464" w:type="pct"/>
            <w:tcBorders>
              <w:top w:val="single" w:sz="4" w:space="0" w:color="auto"/>
              <w:left w:val="nil"/>
              <w:bottom w:val="single" w:sz="4" w:space="0" w:color="auto"/>
              <w:right w:val="single" w:sz="4" w:space="0" w:color="auto"/>
            </w:tcBorders>
            <w:shd w:val="clear" w:color="auto" w:fill="FFFFFF" w:themeFill="background1"/>
            <w:tcMar>
              <w:left w:w="29" w:type="dxa"/>
              <w:right w:w="29" w:type="dxa"/>
            </w:tcMar>
          </w:tcPr>
          <w:p w14:paraId="5DF9239E" w14:textId="77777777" w:rsidR="00BD596A" w:rsidRPr="00D11021" w:rsidRDefault="00BD596A" w:rsidP="008F5898">
            <w:pPr>
              <w:jc w:val="right"/>
              <w:rPr>
                <w:sz w:val="20"/>
                <w:lang w:val="en-CA"/>
              </w:rPr>
            </w:pPr>
            <w:r w:rsidRPr="00D11021">
              <w:rPr>
                <w:color w:val="000000" w:themeColor="text1"/>
                <w:sz w:val="20"/>
                <w:lang w:val="en-CA"/>
              </w:rPr>
              <w:t>6,175</w:t>
            </w:r>
          </w:p>
        </w:tc>
        <w:tc>
          <w:tcPr>
            <w:tcW w:w="416" w:type="pct"/>
            <w:tcBorders>
              <w:top w:val="nil"/>
              <w:left w:val="single" w:sz="4" w:space="0" w:color="auto"/>
              <w:bottom w:val="single" w:sz="4" w:space="0" w:color="auto"/>
              <w:right w:val="single" w:sz="4" w:space="0" w:color="auto"/>
            </w:tcBorders>
            <w:shd w:val="clear" w:color="auto" w:fill="FFFFFF" w:themeFill="background1"/>
            <w:tcMar>
              <w:left w:w="29" w:type="dxa"/>
              <w:right w:w="29" w:type="dxa"/>
            </w:tcMar>
          </w:tcPr>
          <w:p w14:paraId="39D840C9" w14:textId="77777777" w:rsidR="00BD596A" w:rsidRPr="00D11021" w:rsidRDefault="00BD596A" w:rsidP="008F5898">
            <w:pPr>
              <w:jc w:val="right"/>
              <w:rPr>
                <w:sz w:val="20"/>
                <w:lang w:val="en-CA"/>
              </w:rPr>
            </w:pPr>
            <w:r w:rsidRPr="00D11021">
              <w:rPr>
                <w:color w:val="000000" w:themeColor="text1"/>
                <w:sz w:val="20"/>
                <w:lang w:val="en-CA"/>
              </w:rPr>
              <w:t xml:space="preserve"> 61,100</w:t>
            </w:r>
          </w:p>
        </w:tc>
      </w:tr>
      <w:tr w:rsidR="00BD596A" w:rsidRPr="000F4708" w14:paraId="18C5F784" w14:textId="77777777" w:rsidTr="00DA207A">
        <w:tc>
          <w:tcPr>
            <w:tcW w:w="462" w:type="pct"/>
            <w:tcBorders>
              <w:top w:val="nil"/>
              <w:left w:val="single" w:sz="4" w:space="0" w:color="auto"/>
              <w:bottom w:val="single" w:sz="4" w:space="0" w:color="auto"/>
              <w:right w:val="single" w:sz="4" w:space="0" w:color="auto"/>
            </w:tcBorders>
            <w:shd w:val="clear" w:color="auto" w:fill="auto"/>
            <w:hideMark/>
          </w:tcPr>
          <w:p w14:paraId="2C6D840D" w14:textId="77777777" w:rsidR="00BD596A" w:rsidRPr="00D11021" w:rsidRDefault="00BD596A" w:rsidP="008F5898">
            <w:pPr>
              <w:jc w:val="left"/>
              <w:rPr>
                <w:color w:val="000000"/>
                <w:sz w:val="22"/>
                <w:szCs w:val="22"/>
                <w:lang w:eastAsia="en-CA"/>
              </w:rPr>
            </w:pPr>
            <w:r w:rsidRPr="00D11021">
              <w:rPr>
                <w:color w:val="000000"/>
                <w:sz w:val="22"/>
                <w:szCs w:val="22"/>
                <w:lang w:eastAsia="en-CA"/>
              </w:rPr>
              <w:t>3.3</w:t>
            </w:r>
          </w:p>
        </w:tc>
        <w:tc>
          <w:tcPr>
            <w:tcW w:w="886" w:type="pct"/>
            <w:tcBorders>
              <w:top w:val="nil"/>
              <w:left w:val="nil"/>
              <w:bottom w:val="single" w:sz="4" w:space="0" w:color="auto"/>
              <w:right w:val="single" w:sz="4" w:space="0" w:color="auto"/>
            </w:tcBorders>
            <w:shd w:val="clear" w:color="auto" w:fill="auto"/>
            <w:tcMar>
              <w:left w:w="29" w:type="dxa"/>
              <w:right w:w="29" w:type="dxa"/>
            </w:tcMar>
            <w:hideMark/>
          </w:tcPr>
          <w:p w14:paraId="006FC1B1" w14:textId="77777777" w:rsidR="00BD596A" w:rsidRPr="00D11021" w:rsidRDefault="00BD596A" w:rsidP="008F5898">
            <w:pPr>
              <w:bidi/>
              <w:jc w:val="left"/>
              <w:rPr>
                <w:sz w:val="22"/>
                <w:szCs w:val="22"/>
                <w:rtl/>
              </w:rPr>
            </w:pPr>
            <w:r w:rsidRPr="00D11021">
              <w:rPr>
                <w:rFonts w:hint="cs"/>
                <w:sz w:val="22"/>
                <w:szCs w:val="22"/>
                <w:rtl/>
              </w:rPr>
              <w:t>إجمالي التكاليف المتفق عليها</w:t>
            </w:r>
            <w:r w:rsidRPr="00D11021">
              <w:rPr>
                <w:sz w:val="22"/>
                <w:szCs w:val="22"/>
                <w:rtl/>
              </w:rPr>
              <w:t xml:space="preserve"> (دولار أمريكي)</w:t>
            </w:r>
          </w:p>
        </w:tc>
        <w:tc>
          <w:tcPr>
            <w:tcW w:w="462" w:type="pct"/>
            <w:tcBorders>
              <w:top w:val="nil"/>
              <w:left w:val="nil"/>
              <w:bottom w:val="single" w:sz="4" w:space="0" w:color="auto"/>
              <w:right w:val="single" w:sz="4" w:space="0" w:color="auto"/>
            </w:tcBorders>
            <w:shd w:val="clear" w:color="auto" w:fill="FFFFFF" w:themeFill="background1"/>
            <w:tcMar>
              <w:left w:w="29" w:type="dxa"/>
              <w:right w:w="29" w:type="dxa"/>
            </w:tcMar>
          </w:tcPr>
          <w:p w14:paraId="5A66440B" w14:textId="77777777" w:rsidR="00BD596A" w:rsidRPr="00D11021" w:rsidRDefault="00BD596A" w:rsidP="008F5898">
            <w:pPr>
              <w:jc w:val="right"/>
              <w:rPr>
                <w:sz w:val="20"/>
                <w:lang w:val="en-CA"/>
              </w:rPr>
            </w:pPr>
            <w:r w:rsidRPr="00D11021">
              <w:rPr>
                <w:sz w:val="20"/>
                <w:lang w:val="en-CA"/>
              </w:rPr>
              <w:t>190,857</w:t>
            </w:r>
          </w:p>
        </w:tc>
        <w:tc>
          <w:tcPr>
            <w:tcW w:w="462" w:type="pct"/>
            <w:tcBorders>
              <w:top w:val="nil"/>
              <w:left w:val="nil"/>
              <w:bottom w:val="single" w:sz="4" w:space="0" w:color="auto"/>
              <w:right w:val="single" w:sz="4" w:space="0" w:color="auto"/>
            </w:tcBorders>
            <w:shd w:val="clear" w:color="auto" w:fill="FFFFFF" w:themeFill="background1"/>
            <w:tcMar>
              <w:left w:w="29" w:type="dxa"/>
              <w:right w:w="29" w:type="dxa"/>
            </w:tcMar>
          </w:tcPr>
          <w:p w14:paraId="204D424D" w14:textId="77777777" w:rsidR="00BD596A" w:rsidRPr="00D11021" w:rsidRDefault="00BD596A" w:rsidP="008F5898">
            <w:pPr>
              <w:jc w:val="right"/>
              <w:rPr>
                <w:sz w:val="20"/>
                <w:lang w:val="en-CA"/>
              </w:rPr>
            </w:pPr>
            <w:r w:rsidRPr="00D11021">
              <w:rPr>
                <w:sz w:val="20"/>
                <w:lang w:val="en-CA"/>
              </w:rPr>
              <w:t>0</w:t>
            </w:r>
          </w:p>
        </w:tc>
        <w:tc>
          <w:tcPr>
            <w:tcW w:w="462" w:type="pct"/>
            <w:tcBorders>
              <w:top w:val="nil"/>
              <w:left w:val="nil"/>
              <w:bottom w:val="single" w:sz="4" w:space="0" w:color="auto"/>
              <w:right w:val="single" w:sz="4" w:space="0" w:color="auto"/>
            </w:tcBorders>
            <w:shd w:val="clear" w:color="auto" w:fill="FFFFFF" w:themeFill="background1"/>
            <w:tcMar>
              <w:left w:w="29" w:type="dxa"/>
              <w:right w:w="29" w:type="dxa"/>
            </w:tcMar>
          </w:tcPr>
          <w:p w14:paraId="4EF53CEB" w14:textId="77777777" w:rsidR="00BD596A" w:rsidRPr="00D11021" w:rsidRDefault="00BD596A" w:rsidP="008F5898">
            <w:pPr>
              <w:jc w:val="right"/>
              <w:rPr>
                <w:sz w:val="20"/>
                <w:lang w:val="en-CA"/>
              </w:rPr>
            </w:pPr>
            <w:r w:rsidRPr="00D11021">
              <w:rPr>
                <w:sz w:val="20"/>
                <w:lang w:val="en-CA"/>
              </w:rPr>
              <w:t>183,512</w:t>
            </w:r>
          </w:p>
        </w:tc>
        <w:tc>
          <w:tcPr>
            <w:tcW w:w="462" w:type="pct"/>
            <w:tcBorders>
              <w:top w:val="nil"/>
              <w:left w:val="nil"/>
              <w:bottom w:val="single" w:sz="4" w:space="0" w:color="auto"/>
              <w:right w:val="single" w:sz="4" w:space="0" w:color="auto"/>
            </w:tcBorders>
            <w:shd w:val="clear" w:color="auto" w:fill="FFFFFF" w:themeFill="background1"/>
            <w:tcMar>
              <w:left w:w="29" w:type="dxa"/>
              <w:right w:w="29" w:type="dxa"/>
            </w:tcMar>
          </w:tcPr>
          <w:p w14:paraId="312EDF02" w14:textId="77777777" w:rsidR="00BD596A" w:rsidRPr="00D11021" w:rsidRDefault="00BD596A" w:rsidP="008F5898">
            <w:pPr>
              <w:jc w:val="right"/>
              <w:rPr>
                <w:sz w:val="20"/>
                <w:lang w:val="en-CA"/>
              </w:rPr>
            </w:pPr>
            <w:r w:rsidRPr="00D11021">
              <w:rPr>
                <w:sz w:val="20"/>
                <w:lang w:val="en-CA"/>
              </w:rPr>
              <w:t>0</w:t>
            </w:r>
          </w:p>
        </w:tc>
        <w:tc>
          <w:tcPr>
            <w:tcW w:w="462" w:type="pct"/>
            <w:tcBorders>
              <w:top w:val="nil"/>
              <w:left w:val="nil"/>
              <w:bottom w:val="single" w:sz="4" w:space="0" w:color="auto"/>
              <w:right w:val="single" w:sz="4" w:space="0" w:color="auto"/>
            </w:tcBorders>
            <w:shd w:val="clear" w:color="auto" w:fill="FFFFFF" w:themeFill="background1"/>
            <w:tcMar>
              <w:left w:w="29" w:type="dxa"/>
              <w:right w:w="29" w:type="dxa"/>
            </w:tcMar>
          </w:tcPr>
          <w:p w14:paraId="6E2E2F2F" w14:textId="77777777" w:rsidR="00BD596A" w:rsidRPr="00D11021" w:rsidRDefault="00BD596A" w:rsidP="008F5898">
            <w:pPr>
              <w:jc w:val="right"/>
              <w:rPr>
                <w:sz w:val="20"/>
                <w:lang w:val="en-CA"/>
              </w:rPr>
            </w:pPr>
            <w:r w:rsidRPr="00D11021">
              <w:rPr>
                <w:sz w:val="20"/>
                <w:lang w:val="en-CA"/>
              </w:rPr>
              <w:t>103,056</w:t>
            </w:r>
          </w:p>
        </w:tc>
        <w:tc>
          <w:tcPr>
            <w:tcW w:w="462" w:type="pct"/>
            <w:tcBorders>
              <w:top w:val="nil"/>
              <w:left w:val="nil"/>
              <w:bottom w:val="single" w:sz="4" w:space="0" w:color="auto"/>
              <w:right w:val="single" w:sz="4" w:space="0" w:color="auto"/>
            </w:tcBorders>
            <w:shd w:val="clear" w:color="auto" w:fill="FFFFFF" w:themeFill="background1"/>
            <w:tcMar>
              <w:left w:w="29" w:type="dxa"/>
              <w:right w:w="29" w:type="dxa"/>
            </w:tcMar>
          </w:tcPr>
          <w:p w14:paraId="7CD507A5" w14:textId="77777777" w:rsidR="00BD596A" w:rsidRPr="00D11021" w:rsidRDefault="00BD596A" w:rsidP="008F5898">
            <w:pPr>
              <w:jc w:val="right"/>
              <w:rPr>
                <w:sz w:val="20"/>
                <w:lang w:val="en-CA"/>
              </w:rPr>
            </w:pPr>
            <w:r w:rsidRPr="00D11021">
              <w:rPr>
                <w:sz w:val="20"/>
                <w:lang w:val="en-CA"/>
              </w:rPr>
              <w:t>0</w:t>
            </w:r>
          </w:p>
        </w:tc>
        <w:tc>
          <w:tcPr>
            <w:tcW w:w="464" w:type="pct"/>
            <w:tcBorders>
              <w:top w:val="single" w:sz="4" w:space="0" w:color="auto"/>
              <w:left w:val="nil"/>
              <w:bottom w:val="single" w:sz="4" w:space="0" w:color="auto"/>
              <w:right w:val="single" w:sz="4" w:space="0" w:color="auto"/>
            </w:tcBorders>
            <w:shd w:val="clear" w:color="auto" w:fill="FFFFFF" w:themeFill="background1"/>
            <w:tcMar>
              <w:left w:w="29" w:type="dxa"/>
              <w:right w:w="29" w:type="dxa"/>
            </w:tcMar>
          </w:tcPr>
          <w:p w14:paraId="13934299" w14:textId="77777777" w:rsidR="00BD596A" w:rsidRPr="00D11021" w:rsidRDefault="00BD596A" w:rsidP="008F5898">
            <w:pPr>
              <w:jc w:val="right"/>
              <w:rPr>
                <w:sz w:val="20"/>
                <w:lang w:val="en-CA"/>
              </w:rPr>
            </w:pPr>
            <w:r w:rsidRPr="00D11021">
              <w:rPr>
                <w:sz w:val="20"/>
                <w:lang w:val="en-CA"/>
              </w:rPr>
              <w:t>53,675</w:t>
            </w:r>
          </w:p>
        </w:tc>
        <w:tc>
          <w:tcPr>
            <w:tcW w:w="416" w:type="pct"/>
            <w:tcBorders>
              <w:top w:val="nil"/>
              <w:left w:val="single" w:sz="4" w:space="0" w:color="auto"/>
              <w:bottom w:val="single" w:sz="4" w:space="0" w:color="auto"/>
              <w:right w:val="single" w:sz="4" w:space="0" w:color="auto"/>
            </w:tcBorders>
            <w:shd w:val="clear" w:color="auto" w:fill="FFFFFF" w:themeFill="background1"/>
            <w:tcMar>
              <w:left w:w="29" w:type="dxa"/>
              <w:right w:w="29" w:type="dxa"/>
            </w:tcMar>
          </w:tcPr>
          <w:p w14:paraId="136EB297" w14:textId="77777777" w:rsidR="00BD596A" w:rsidRPr="00D11021" w:rsidRDefault="00BD596A" w:rsidP="008F5898">
            <w:pPr>
              <w:jc w:val="right"/>
              <w:rPr>
                <w:sz w:val="20"/>
                <w:lang w:val="en-CA"/>
              </w:rPr>
            </w:pPr>
            <w:r w:rsidRPr="00D11021">
              <w:rPr>
                <w:sz w:val="20"/>
                <w:lang w:val="en-CA"/>
              </w:rPr>
              <w:t>531,100</w:t>
            </w:r>
          </w:p>
        </w:tc>
      </w:tr>
      <w:tr w:rsidR="00BD596A" w:rsidRPr="000F4708" w14:paraId="15465642" w14:textId="77777777" w:rsidTr="00DA207A">
        <w:tc>
          <w:tcPr>
            <w:tcW w:w="462" w:type="pct"/>
            <w:tcBorders>
              <w:top w:val="single" w:sz="4" w:space="0" w:color="auto"/>
              <w:left w:val="single" w:sz="4" w:space="0" w:color="auto"/>
              <w:bottom w:val="single" w:sz="4" w:space="0" w:color="auto"/>
              <w:right w:val="single" w:sz="4" w:space="0" w:color="auto"/>
            </w:tcBorders>
            <w:shd w:val="clear" w:color="auto" w:fill="auto"/>
            <w:hideMark/>
          </w:tcPr>
          <w:p w14:paraId="7DB54051" w14:textId="77777777" w:rsidR="00BD596A" w:rsidRPr="00D11021" w:rsidRDefault="00BD596A" w:rsidP="008F5898">
            <w:pPr>
              <w:jc w:val="left"/>
              <w:rPr>
                <w:color w:val="000000"/>
                <w:sz w:val="22"/>
                <w:szCs w:val="22"/>
                <w:lang w:eastAsia="en-CA"/>
              </w:rPr>
            </w:pPr>
            <w:r w:rsidRPr="00D11021">
              <w:rPr>
                <w:color w:val="000000"/>
                <w:sz w:val="22"/>
                <w:szCs w:val="22"/>
                <w:lang w:eastAsia="en-CA"/>
              </w:rPr>
              <w:t>1.1.4</w:t>
            </w:r>
          </w:p>
        </w:tc>
        <w:tc>
          <w:tcPr>
            <w:tcW w:w="4122" w:type="pct"/>
            <w:gridSpan w:val="8"/>
            <w:tcBorders>
              <w:top w:val="single" w:sz="4" w:space="0" w:color="auto"/>
              <w:left w:val="nil"/>
              <w:bottom w:val="single" w:sz="4" w:space="0" w:color="auto"/>
              <w:right w:val="single" w:sz="4" w:space="0" w:color="auto"/>
            </w:tcBorders>
            <w:shd w:val="clear" w:color="auto" w:fill="auto"/>
            <w:tcMar>
              <w:left w:w="29" w:type="dxa"/>
              <w:right w:w="29" w:type="dxa"/>
            </w:tcMar>
            <w:hideMark/>
          </w:tcPr>
          <w:p w14:paraId="2D715A90" w14:textId="77777777" w:rsidR="00BD596A" w:rsidRPr="00D11021" w:rsidRDefault="00BD596A" w:rsidP="008F5898">
            <w:pPr>
              <w:tabs>
                <w:tab w:val="center" w:pos="4"/>
              </w:tabs>
              <w:bidi/>
              <w:jc w:val="left"/>
              <w:rPr>
                <w:sz w:val="22"/>
                <w:szCs w:val="22"/>
                <w:rtl/>
                <w:lang w:bidi="ar-EG"/>
              </w:rPr>
            </w:pPr>
            <w:r w:rsidRPr="00D11021">
              <w:rPr>
                <w:rFonts w:hint="cs"/>
                <w:sz w:val="22"/>
                <w:szCs w:val="22"/>
                <w:rtl/>
                <w:lang w:bidi="ar-EG"/>
              </w:rPr>
              <w:t>الكمية الإجمالية من الهيدروكلوروفلوروكربون-22 المقرر إزالتها بموجب هذا الاتفاق (طن من قدرات استنفاد الأوزون)</w:t>
            </w:r>
          </w:p>
        </w:tc>
        <w:tc>
          <w:tcPr>
            <w:tcW w:w="416" w:type="pct"/>
            <w:tcBorders>
              <w:top w:val="single" w:sz="4" w:space="0" w:color="auto"/>
              <w:left w:val="single" w:sz="4" w:space="0" w:color="auto"/>
              <w:bottom w:val="single" w:sz="4" w:space="0" w:color="auto"/>
              <w:right w:val="single" w:sz="4" w:space="0" w:color="auto"/>
            </w:tcBorders>
            <w:shd w:val="clear" w:color="auto" w:fill="FFFFFF" w:themeFill="background1"/>
          </w:tcPr>
          <w:p w14:paraId="70AC18F5" w14:textId="77777777" w:rsidR="00BD596A" w:rsidRPr="00D11021" w:rsidRDefault="00BD596A" w:rsidP="008F5898">
            <w:pPr>
              <w:jc w:val="right"/>
              <w:rPr>
                <w:color w:val="000000"/>
                <w:sz w:val="20"/>
                <w:lang w:val="en-CA" w:eastAsia="en-CA"/>
              </w:rPr>
            </w:pPr>
            <w:r w:rsidRPr="00D11021">
              <w:rPr>
                <w:color w:val="000000"/>
                <w:sz w:val="20"/>
                <w:lang w:val="en-CA" w:eastAsia="en-CA"/>
              </w:rPr>
              <w:t>1.00</w:t>
            </w:r>
          </w:p>
        </w:tc>
      </w:tr>
      <w:tr w:rsidR="00BD596A" w:rsidRPr="000F4708" w14:paraId="3613E680" w14:textId="77777777" w:rsidTr="00DA207A">
        <w:tc>
          <w:tcPr>
            <w:tcW w:w="462" w:type="pct"/>
            <w:tcBorders>
              <w:top w:val="nil"/>
              <w:left w:val="single" w:sz="4" w:space="0" w:color="auto"/>
              <w:bottom w:val="single" w:sz="4" w:space="0" w:color="auto"/>
              <w:right w:val="single" w:sz="4" w:space="0" w:color="auto"/>
            </w:tcBorders>
            <w:shd w:val="clear" w:color="auto" w:fill="auto"/>
            <w:hideMark/>
          </w:tcPr>
          <w:p w14:paraId="4667E124" w14:textId="77777777" w:rsidR="00BD596A" w:rsidRPr="00D11021" w:rsidRDefault="00BD596A" w:rsidP="008F5898">
            <w:pPr>
              <w:jc w:val="left"/>
              <w:rPr>
                <w:color w:val="000000"/>
                <w:sz w:val="22"/>
                <w:szCs w:val="22"/>
                <w:lang w:eastAsia="en-CA"/>
              </w:rPr>
            </w:pPr>
            <w:r w:rsidRPr="00D11021">
              <w:rPr>
                <w:color w:val="000000"/>
                <w:sz w:val="22"/>
                <w:szCs w:val="22"/>
                <w:lang w:eastAsia="en-CA"/>
              </w:rPr>
              <w:t>2.1.4</w:t>
            </w:r>
          </w:p>
        </w:tc>
        <w:tc>
          <w:tcPr>
            <w:tcW w:w="4122" w:type="pct"/>
            <w:gridSpan w:val="8"/>
            <w:tcBorders>
              <w:top w:val="single" w:sz="4" w:space="0" w:color="auto"/>
              <w:left w:val="nil"/>
              <w:bottom w:val="single" w:sz="4" w:space="0" w:color="auto"/>
              <w:right w:val="single" w:sz="4" w:space="0" w:color="auto"/>
            </w:tcBorders>
            <w:shd w:val="clear" w:color="auto" w:fill="auto"/>
            <w:tcMar>
              <w:left w:w="29" w:type="dxa"/>
              <w:right w:w="29" w:type="dxa"/>
            </w:tcMar>
            <w:hideMark/>
          </w:tcPr>
          <w:p w14:paraId="1A3500A4" w14:textId="77777777" w:rsidR="00BD596A" w:rsidRPr="00D11021" w:rsidRDefault="00BD596A" w:rsidP="008F5898">
            <w:pPr>
              <w:tabs>
                <w:tab w:val="center" w:pos="4"/>
              </w:tabs>
              <w:bidi/>
              <w:jc w:val="left"/>
              <w:rPr>
                <w:sz w:val="22"/>
                <w:szCs w:val="22"/>
                <w:rtl/>
                <w:lang w:bidi="ar-EG"/>
              </w:rPr>
            </w:pPr>
            <w:r w:rsidRPr="00D11021">
              <w:rPr>
                <w:rFonts w:hint="cs"/>
                <w:sz w:val="22"/>
                <w:szCs w:val="22"/>
                <w:rtl/>
                <w:lang w:bidi="ar-EG"/>
              </w:rPr>
              <w:t>كمية الهيدروكلوروفلوروكربون-22 المتوقع إزالتها بموجب المرحلة السابقة (طن من قدرات استنفاد الأوزون)</w:t>
            </w:r>
          </w:p>
        </w:tc>
        <w:tc>
          <w:tcPr>
            <w:tcW w:w="416" w:type="pct"/>
            <w:tcBorders>
              <w:top w:val="nil"/>
              <w:left w:val="single" w:sz="4" w:space="0" w:color="auto"/>
              <w:bottom w:val="single" w:sz="4" w:space="0" w:color="auto"/>
              <w:right w:val="single" w:sz="4" w:space="0" w:color="auto"/>
            </w:tcBorders>
            <w:shd w:val="clear" w:color="auto" w:fill="FFFFFF" w:themeFill="background1"/>
          </w:tcPr>
          <w:p w14:paraId="7E664FE4" w14:textId="77777777" w:rsidR="00BD596A" w:rsidRPr="00D11021" w:rsidRDefault="00BD596A" w:rsidP="008F5898">
            <w:pPr>
              <w:jc w:val="right"/>
              <w:rPr>
                <w:color w:val="000000"/>
                <w:sz w:val="20"/>
                <w:lang w:val="en-CA" w:eastAsia="en-CA"/>
              </w:rPr>
            </w:pPr>
            <w:r w:rsidRPr="00D11021">
              <w:rPr>
                <w:color w:val="000000"/>
                <w:sz w:val="20"/>
                <w:lang w:val="en-CA" w:eastAsia="en-CA"/>
              </w:rPr>
              <w:t>0.54</w:t>
            </w:r>
          </w:p>
        </w:tc>
      </w:tr>
      <w:tr w:rsidR="00BD596A" w:rsidRPr="000F4708" w14:paraId="36E0DC00" w14:textId="77777777" w:rsidTr="00DA207A">
        <w:tc>
          <w:tcPr>
            <w:tcW w:w="462" w:type="pct"/>
            <w:tcBorders>
              <w:top w:val="nil"/>
              <w:left w:val="single" w:sz="4" w:space="0" w:color="auto"/>
              <w:bottom w:val="single" w:sz="4" w:space="0" w:color="auto"/>
              <w:right w:val="single" w:sz="4" w:space="0" w:color="auto"/>
            </w:tcBorders>
            <w:shd w:val="clear" w:color="auto" w:fill="auto"/>
            <w:hideMark/>
          </w:tcPr>
          <w:p w14:paraId="347E7BF7" w14:textId="77777777" w:rsidR="00BD596A" w:rsidRPr="00D11021" w:rsidRDefault="00BD596A" w:rsidP="008F5898">
            <w:pPr>
              <w:jc w:val="left"/>
              <w:rPr>
                <w:color w:val="000000"/>
                <w:sz w:val="22"/>
                <w:szCs w:val="22"/>
                <w:lang w:eastAsia="en-CA"/>
              </w:rPr>
            </w:pPr>
            <w:r w:rsidRPr="00D11021">
              <w:rPr>
                <w:color w:val="000000"/>
                <w:sz w:val="22"/>
                <w:szCs w:val="22"/>
                <w:lang w:eastAsia="en-CA"/>
              </w:rPr>
              <w:t>3.1.4</w:t>
            </w:r>
          </w:p>
        </w:tc>
        <w:tc>
          <w:tcPr>
            <w:tcW w:w="4122" w:type="pct"/>
            <w:gridSpan w:val="8"/>
            <w:tcBorders>
              <w:top w:val="single" w:sz="4" w:space="0" w:color="auto"/>
              <w:left w:val="nil"/>
              <w:bottom w:val="single" w:sz="4" w:space="0" w:color="auto"/>
              <w:right w:val="single" w:sz="4" w:space="0" w:color="auto"/>
            </w:tcBorders>
            <w:shd w:val="clear" w:color="auto" w:fill="FFFFFF" w:themeFill="background1"/>
            <w:tcMar>
              <w:left w:w="29" w:type="dxa"/>
              <w:right w:w="29" w:type="dxa"/>
            </w:tcMar>
            <w:hideMark/>
          </w:tcPr>
          <w:p w14:paraId="736686CC" w14:textId="77777777" w:rsidR="00BD596A" w:rsidRPr="00D11021" w:rsidRDefault="00BD596A" w:rsidP="008F5898">
            <w:pPr>
              <w:tabs>
                <w:tab w:val="center" w:pos="4"/>
              </w:tabs>
              <w:bidi/>
              <w:jc w:val="left"/>
              <w:rPr>
                <w:sz w:val="22"/>
                <w:szCs w:val="22"/>
                <w:rtl/>
                <w:lang w:bidi="ar-EG"/>
              </w:rPr>
            </w:pPr>
            <w:r w:rsidRPr="00D11021">
              <w:rPr>
                <w:rFonts w:hint="cs"/>
                <w:sz w:val="22"/>
                <w:szCs w:val="22"/>
                <w:rtl/>
                <w:lang w:bidi="ar-EG"/>
              </w:rPr>
              <w:t>استهلاك الهيدروكلوروفلوروكربون-22 المتبقي المؤهل للتمويل (طن من قدرات استنفاد الأوزون)</w:t>
            </w:r>
          </w:p>
        </w:tc>
        <w:tc>
          <w:tcPr>
            <w:tcW w:w="416" w:type="pct"/>
            <w:tcBorders>
              <w:top w:val="nil"/>
              <w:left w:val="single" w:sz="4" w:space="0" w:color="auto"/>
              <w:bottom w:val="single" w:sz="4" w:space="0" w:color="auto"/>
              <w:right w:val="single" w:sz="4" w:space="0" w:color="auto"/>
            </w:tcBorders>
            <w:shd w:val="clear" w:color="auto" w:fill="FFFFFF" w:themeFill="background1"/>
          </w:tcPr>
          <w:p w14:paraId="3F4E38AB" w14:textId="77777777" w:rsidR="00BD596A" w:rsidRPr="00D11021" w:rsidRDefault="00BD596A" w:rsidP="008F5898">
            <w:pPr>
              <w:jc w:val="right"/>
              <w:rPr>
                <w:color w:val="000000"/>
                <w:sz w:val="20"/>
                <w:lang w:val="en-CA" w:eastAsia="en-CA"/>
              </w:rPr>
            </w:pPr>
            <w:r w:rsidRPr="00D11021">
              <w:rPr>
                <w:color w:val="000000"/>
                <w:sz w:val="20"/>
                <w:lang w:val="en-CA" w:eastAsia="en-CA"/>
              </w:rPr>
              <w:t>0.00</w:t>
            </w:r>
          </w:p>
        </w:tc>
      </w:tr>
    </w:tbl>
    <w:p w14:paraId="6B64CAB5" w14:textId="77777777" w:rsidR="00BD596A" w:rsidRDefault="00BD596A" w:rsidP="00BD596A">
      <w:pPr>
        <w:bidi/>
        <w:jc w:val="left"/>
        <w:rPr>
          <w:bCs/>
          <w:sz w:val="26"/>
          <w:szCs w:val="26"/>
          <w:rtl/>
          <w:lang w:bidi="ar-EG"/>
        </w:rPr>
      </w:pPr>
      <w:r w:rsidRPr="00F267CB">
        <w:rPr>
          <w:rFonts w:hint="cs"/>
          <w:b/>
          <w:sz w:val="26"/>
          <w:szCs w:val="26"/>
          <w:vertAlign w:val="superscript"/>
          <w:rtl/>
          <w:lang w:val="en-US"/>
        </w:rPr>
        <w:t xml:space="preserve">* </w:t>
      </w:r>
      <w:r w:rsidRPr="00F267CB">
        <w:rPr>
          <w:rFonts w:hint="cs"/>
          <w:b/>
          <w:sz w:val="20"/>
          <w:rtl/>
          <w:lang w:val="en-US"/>
        </w:rPr>
        <w:t xml:space="preserve">تاريخ إنجاز المرحلة الأولى </w:t>
      </w:r>
      <w:r w:rsidRPr="00F267CB">
        <w:rPr>
          <w:rFonts w:hint="cs"/>
          <w:b/>
          <w:sz w:val="20"/>
          <w:rtl/>
          <w:lang w:val="en-US" w:bidi="ar-EG"/>
        </w:rPr>
        <w:t>حسب اتفاق المرحلة الأولى: 31 ديسمبر 2021</w:t>
      </w:r>
    </w:p>
    <w:p w14:paraId="14C17260" w14:textId="77777777" w:rsidR="00BD596A" w:rsidRDefault="00BD596A" w:rsidP="00BD596A">
      <w:pPr>
        <w:jc w:val="right"/>
        <w:rPr>
          <w:b/>
          <w:sz w:val="26"/>
          <w:szCs w:val="26"/>
          <w:vertAlign w:val="superscript"/>
          <w:rtl/>
          <w:lang w:val="en-US" w:bidi="ar-EG"/>
        </w:rPr>
      </w:pPr>
    </w:p>
    <w:p w14:paraId="5C4D80A6" w14:textId="77777777" w:rsidR="00BD596A" w:rsidRDefault="00BD596A" w:rsidP="00BD596A">
      <w:pPr>
        <w:bidi/>
        <w:jc w:val="left"/>
        <w:rPr>
          <w:bCs/>
          <w:sz w:val="26"/>
          <w:szCs w:val="26"/>
          <w:lang w:val="en-US"/>
        </w:rPr>
      </w:pPr>
    </w:p>
    <w:p w14:paraId="437425E4" w14:textId="77777777" w:rsidR="00D11021" w:rsidRDefault="00D11021">
      <w:pPr>
        <w:jc w:val="left"/>
        <w:rPr>
          <w:bCs/>
          <w:sz w:val="26"/>
          <w:szCs w:val="26"/>
          <w:rtl/>
        </w:rPr>
      </w:pPr>
      <w:r>
        <w:rPr>
          <w:bCs/>
          <w:sz w:val="26"/>
          <w:szCs w:val="26"/>
          <w:rtl/>
        </w:rPr>
        <w:br w:type="page"/>
      </w:r>
    </w:p>
    <w:p w14:paraId="244D4DDA" w14:textId="7F10D2CE" w:rsidR="00BD596A" w:rsidRDefault="00BD596A" w:rsidP="00DA207A">
      <w:pPr>
        <w:bidi/>
        <w:ind w:left="90"/>
        <w:rPr>
          <w:bCs/>
          <w:sz w:val="26"/>
          <w:szCs w:val="26"/>
          <w:rtl/>
          <w:lang w:val="en-CA" w:bidi="ar-EG"/>
        </w:rPr>
      </w:pPr>
      <w:r>
        <w:rPr>
          <w:bCs/>
          <w:sz w:val="26"/>
          <w:szCs w:val="26"/>
          <w:rtl/>
        </w:rPr>
        <w:lastRenderedPageBreak/>
        <w:t>التذييل 3- ألف: الجدول الزمني للموافقة على التمويل</w:t>
      </w:r>
    </w:p>
    <w:p w14:paraId="44B06D1A" w14:textId="77777777" w:rsidR="00BD596A" w:rsidRDefault="00BD596A" w:rsidP="00BD596A">
      <w:pPr>
        <w:bidi/>
        <w:rPr>
          <w:sz w:val="26"/>
          <w:szCs w:val="26"/>
          <w:rtl/>
        </w:rPr>
      </w:pPr>
    </w:p>
    <w:p w14:paraId="3F564E2B" w14:textId="77777777" w:rsidR="00BD596A" w:rsidRDefault="00BD596A" w:rsidP="00BD596A">
      <w:pPr>
        <w:pStyle w:val="Heading1"/>
        <w:numPr>
          <w:ilvl w:val="0"/>
          <w:numId w:val="25"/>
        </w:numPr>
        <w:tabs>
          <w:tab w:val="clear" w:pos="0"/>
          <w:tab w:val="num" w:pos="90"/>
        </w:tabs>
        <w:bidi/>
        <w:ind w:left="90"/>
        <w:rPr>
          <w:sz w:val="26"/>
          <w:szCs w:val="26"/>
        </w:rPr>
      </w:pPr>
      <w:r>
        <w:rPr>
          <w:sz w:val="26"/>
          <w:szCs w:val="26"/>
          <w:rtl/>
        </w:rPr>
        <w:t>سيجري النظر في تمويل الشرائح المقبلة للموافقة عليه في الاجتم</w:t>
      </w:r>
      <w:r>
        <w:rPr>
          <w:rFonts w:hint="cs"/>
          <w:sz w:val="26"/>
          <w:szCs w:val="26"/>
          <w:rtl/>
        </w:rPr>
        <w:t>ـ</w:t>
      </w:r>
      <w:r>
        <w:rPr>
          <w:sz w:val="26"/>
          <w:szCs w:val="26"/>
          <w:rtl/>
        </w:rPr>
        <w:t xml:space="preserve">اع </w:t>
      </w:r>
      <w:r>
        <w:rPr>
          <w:rFonts w:hint="cs"/>
          <w:sz w:val="26"/>
          <w:szCs w:val="26"/>
          <w:rtl/>
        </w:rPr>
        <w:t>الأول</w:t>
      </w:r>
      <w:r>
        <w:rPr>
          <w:sz w:val="26"/>
          <w:szCs w:val="26"/>
          <w:rtl/>
        </w:rPr>
        <w:t xml:space="preserve"> في السن</w:t>
      </w:r>
      <w:r>
        <w:rPr>
          <w:rFonts w:hint="cs"/>
          <w:sz w:val="26"/>
          <w:szCs w:val="26"/>
          <w:rtl/>
        </w:rPr>
        <w:t>ـ</w:t>
      </w:r>
      <w:r>
        <w:rPr>
          <w:sz w:val="26"/>
          <w:szCs w:val="26"/>
          <w:rtl/>
        </w:rPr>
        <w:t>ة المحددة في التذيي</w:t>
      </w:r>
      <w:r>
        <w:rPr>
          <w:rFonts w:hint="cs"/>
          <w:sz w:val="26"/>
          <w:szCs w:val="26"/>
          <w:rtl/>
        </w:rPr>
        <w:t>ـ</w:t>
      </w:r>
      <w:r>
        <w:rPr>
          <w:sz w:val="26"/>
          <w:szCs w:val="26"/>
          <w:rtl/>
        </w:rPr>
        <w:t>ل</w:t>
      </w:r>
      <w:r>
        <w:rPr>
          <w:rFonts w:hint="cs"/>
          <w:sz w:val="26"/>
          <w:szCs w:val="26"/>
          <w:rtl/>
        </w:rPr>
        <w:t> </w:t>
      </w:r>
      <w:r>
        <w:rPr>
          <w:sz w:val="26"/>
          <w:szCs w:val="26"/>
          <w:rtl/>
        </w:rPr>
        <w:t>2</w:t>
      </w:r>
      <w:r>
        <w:rPr>
          <w:sz w:val="26"/>
          <w:szCs w:val="26"/>
          <w:rtl/>
        </w:rPr>
        <w:noBreakHyphen/>
        <w:t>ألف.</w:t>
      </w:r>
    </w:p>
    <w:p w14:paraId="6D01ABA6" w14:textId="77777777" w:rsidR="00BD596A" w:rsidRDefault="00BD596A" w:rsidP="002D1976">
      <w:pPr>
        <w:bidi/>
        <w:jc w:val="left"/>
        <w:rPr>
          <w:bCs/>
          <w:sz w:val="26"/>
          <w:szCs w:val="26"/>
          <w:rtl/>
        </w:rPr>
      </w:pPr>
      <w:r>
        <w:rPr>
          <w:bCs/>
          <w:sz w:val="26"/>
          <w:szCs w:val="26"/>
          <w:rtl/>
        </w:rPr>
        <w:t>التذييل 4- ألف : شكل تقارير وخطط التنفيذ</w:t>
      </w:r>
    </w:p>
    <w:p w14:paraId="7422EBF3" w14:textId="77777777" w:rsidR="00BD596A" w:rsidRDefault="00BD596A" w:rsidP="002D1976">
      <w:pPr>
        <w:tabs>
          <w:tab w:val="left" w:pos="1900"/>
        </w:tabs>
        <w:bidi/>
        <w:rPr>
          <w:b/>
          <w:bCs/>
          <w:sz w:val="26"/>
          <w:szCs w:val="26"/>
          <w:rtl/>
        </w:rPr>
      </w:pPr>
    </w:p>
    <w:p w14:paraId="7AC2B1CD" w14:textId="77777777" w:rsidR="00BD596A" w:rsidRDefault="00BD596A" w:rsidP="002D1976">
      <w:pPr>
        <w:pStyle w:val="Heading1"/>
        <w:numPr>
          <w:ilvl w:val="0"/>
          <w:numId w:val="26"/>
        </w:numPr>
        <w:tabs>
          <w:tab w:val="clear" w:pos="0"/>
          <w:tab w:val="num" w:pos="90"/>
        </w:tabs>
        <w:bidi/>
        <w:spacing w:after="0"/>
        <w:ind w:left="90"/>
        <w:rPr>
          <w:sz w:val="26"/>
          <w:szCs w:val="26"/>
        </w:rPr>
      </w:pPr>
      <w:r>
        <w:rPr>
          <w:sz w:val="26"/>
          <w:szCs w:val="26"/>
          <w:rtl/>
        </w:rPr>
        <w:t>سوف يتألف تقرير التنفيذ وخطة التنفيذ لطلب كل شريحة من خمسة أجزاء:</w:t>
      </w:r>
    </w:p>
    <w:p w14:paraId="1A2BEE4D" w14:textId="77777777" w:rsidR="00BD596A" w:rsidRDefault="00BD596A" w:rsidP="002D1976">
      <w:pPr>
        <w:pStyle w:val="Heading2"/>
        <w:widowControl/>
        <w:numPr>
          <w:ilvl w:val="0"/>
          <w:numId w:val="29"/>
        </w:numPr>
        <w:bidi/>
        <w:spacing w:after="0"/>
        <w:rPr>
          <w:sz w:val="26"/>
          <w:szCs w:val="26"/>
        </w:rPr>
      </w:pPr>
      <w:r>
        <w:rPr>
          <w:sz w:val="26"/>
          <w:szCs w:val="26"/>
          <w:rtl/>
        </w:rPr>
        <w:t xml:space="preserve">تقرير </w:t>
      </w:r>
      <w:r>
        <w:rPr>
          <w:rFonts w:hint="cs"/>
          <w:sz w:val="26"/>
          <w:szCs w:val="26"/>
          <w:rtl/>
        </w:rPr>
        <w:t>سردي</w:t>
      </w:r>
      <w:r>
        <w:rPr>
          <w:sz w:val="26"/>
          <w:szCs w:val="26"/>
          <w:rtl/>
        </w:rPr>
        <w:t xml:space="preserve">، </w:t>
      </w:r>
      <w:r>
        <w:rPr>
          <w:rFonts w:hint="cs"/>
          <w:sz w:val="26"/>
          <w:szCs w:val="26"/>
          <w:rtl/>
        </w:rPr>
        <w:t>تقدم فيه البيانات حسب الشريحة، تصف</w:t>
      </w:r>
      <w:r>
        <w:rPr>
          <w:sz w:val="26"/>
          <w:szCs w:val="26"/>
          <w:rtl/>
        </w:rPr>
        <w:t xml:space="preserve"> التقدم المحرز منذ </w:t>
      </w:r>
      <w:r>
        <w:rPr>
          <w:rFonts w:hint="cs"/>
          <w:sz w:val="26"/>
          <w:szCs w:val="26"/>
          <w:rtl/>
        </w:rPr>
        <w:t>التقرير السابق، وي</w:t>
      </w:r>
      <w:r>
        <w:rPr>
          <w:sz w:val="26"/>
          <w:szCs w:val="26"/>
          <w:rtl/>
        </w:rPr>
        <w:t xml:space="preserve">عكس حالة البلد فيما يتعلق </w:t>
      </w:r>
      <w:r>
        <w:rPr>
          <w:rFonts w:hint="cs"/>
          <w:sz w:val="26"/>
          <w:szCs w:val="26"/>
          <w:rtl/>
        </w:rPr>
        <w:t xml:space="preserve">بإزالة هذه </w:t>
      </w:r>
      <w:r>
        <w:rPr>
          <w:sz w:val="26"/>
          <w:szCs w:val="26"/>
          <w:rtl/>
        </w:rPr>
        <w:t>المواد، وكيف</w:t>
      </w:r>
      <w:r>
        <w:rPr>
          <w:rFonts w:hint="cs"/>
          <w:sz w:val="26"/>
          <w:szCs w:val="26"/>
          <w:rtl/>
        </w:rPr>
        <w:t xml:space="preserve"> تسهم مختلف الأنشطة فيها</w:t>
      </w:r>
      <w:r>
        <w:rPr>
          <w:sz w:val="26"/>
          <w:szCs w:val="26"/>
          <w:rtl/>
        </w:rPr>
        <w:t>، وكيف</w:t>
      </w:r>
      <w:r>
        <w:rPr>
          <w:rFonts w:hint="cs"/>
          <w:sz w:val="26"/>
          <w:szCs w:val="26"/>
          <w:rtl/>
        </w:rPr>
        <w:t xml:space="preserve"> تتصل ب</w:t>
      </w:r>
      <w:r>
        <w:rPr>
          <w:sz w:val="26"/>
          <w:szCs w:val="26"/>
          <w:rtl/>
        </w:rPr>
        <w:t xml:space="preserve">بعضها البعض. </w:t>
      </w:r>
      <w:r>
        <w:rPr>
          <w:rFonts w:hint="cs"/>
          <w:sz w:val="26"/>
          <w:szCs w:val="26"/>
          <w:rtl/>
        </w:rPr>
        <w:t>و</w:t>
      </w:r>
      <w:r>
        <w:rPr>
          <w:sz w:val="26"/>
          <w:szCs w:val="26"/>
          <w:rtl/>
        </w:rPr>
        <w:t xml:space="preserve">ينبغي أن يتضمن التقرير </w:t>
      </w:r>
      <w:r>
        <w:rPr>
          <w:rFonts w:hint="cs"/>
          <w:sz w:val="26"/>
          <w:szCs w:val="26"/>
          <w:rtl/>
        </w:rPr>
        <w:t xml:space="preserve">كمية </w:t>
      </w:r>
      <w:r>
        <w:rPr>
          <w:sz w:val="26"/>
          <w:szCs w:val="26"/>
          <w:rtl/>
        </w:rPr>
        <w:t xml:space="preserve">المواد المستنفدة للأوزون </w:t>
      </w:r>
      <w:r>
        <w:rPr>
          <w:rFonts w:hint="cs"/>
          <w:sz w:val="26"/>
          <w:szCs w:val="26"/>
          <w:rtl/>
        </w:rPr>
        <w:t>المزالة كنتيجة</w:t>
      </w:r>
      <w:r>
        <w:rPr>
          <w:sz w:val="26"/>
          <w:szCs w:val="26"/>
          <w:rtl/>
        </w:rPr>
        <w:t xml:space="preserve"> مباشرة </w:t>
      </w:r>
      <w:r>
        <w:rPr>
          <w:rFonts w:hint="cs"/>
          <w:sz w:val="26"/>
          <w:szCs w:val="26"/>
          <w:rtl/>
        </w:rPr>
        <w:t>ع</w:t>
      </w:r>
      <w:r>
        <w:rPr>
          <w:sz w:val="26"/>
          <w:szCs w:val="26"/>
          <w:rtl/>
        </w:rPr>
        <w:t xml:space="preserve">ن تنفيذ الأنشطة، </w:t>
      </w:r>
      <w:r>
        <w:rPr>
          <w:rFonts w:hint="cs"/>
          <w:sz w:val="26"/>
          <w:szCs w:val="26"/>
          <w:rtl/>
        </w:rPr>
        <w:t>حسب المادة</w:t>
      </w:r>
      <w:r>
        <w:rPr>
          <w:sz w:val="26"/>
          <w:szCs w:val="26"/>
          <w:rtl/>
        </w:rPr>
        <w:t xml:space="preserve">، والتكنولوجيا البديلة المستخدمة </w:t>
      </w:r>
      <w:r>
        <w:rPr>
          <w:rFonts w:hint="cs"/>
          <w:sz w:val="26"/>
          <w:szCs w:val="26"/>
          <w:rtl/>
        </w:rPr>
        <w:t>والإدخال ذي الصلة ل</w:t>
      </w:r>
      <w:r>
        <w:rPr>
          <w:sz w:val="26"/>
          <w:szCs w:val="26"/>
          <w:rtl/>
        </w:rPr>
        <w:t xml:space="preserve">لبدائل، للسماح للأمانة </w:t>
      </w:r>
      <w:r>
        <w:rPr>
          <w:rFonts w:hint="cs"/>
          <w:sz w:val="26"/>
          <w:szCs w:val="26"/>
          <w:rtl/>
        </w:rPr>
        <w:t>بتقديم معلومات</w:t>
      </w:r>
      <w:r>
        <w:rPr>
          <w:sz w:val="26"/>
          <w:szCs w:val="26"/>
          <w:rtl/>
        </w:rPr>
        <w:t xml:space="preserve"> إلى اللجنة التنفيذية </w:t>
      </w:r>
      <w:r>
        <w:rPr>
          <w:rFonts w:hint="cs"/>
          <w:sz w:val="26"/>
          <w:szCs w:val="26"/>
          <w:rtl/>
        </w:rPr>
        <w:t>عن</w:t>
      </w:r>
      <w:r>
        <w:rPr>
          <w:sz w:val="26"/>
          <w:szCs w:val="26"/>
          <w:rtl/>
        </w:rPr>
        <w:t xml:space="preserve"> التغير الناتج </w:t>
      </w:r>
      <w:r>
        <w:rPr>
          <w:rFonts w:hint="cs"/>
          <w:sz w:val="26"/>
          <w:szCs w:val="26"/>
          <w:rtl/>
        </w:rPr>
        <w:t>في</w:t>
      </w:r>
      <w:r>
        <w:rPr>
          <w:sz w:val="26"/>
          <w:szCs w:val="26"/>
          <w:rtl/>
        </w:rPr>
        <w:t xml:space="preserve"> الانبعاثات ذات الصلة بالمناخ. </w:t>
      </w:r>
      <w:r>
        <w:rPr>
          <w:rFonts w:hint="cs"/>
          <w:sz w:val="26"/>
          <w:szCs w:val="26"/>
          <w:rtl/>
        </w:rPr>
        <w:t xml:space="preserve">كما ينبغي أن يسلط </w:t>
      </w:r>
      <w:r>
        <w:rPr>
          <w:sz w:val="26"/>
          <w:szCs w:val="26"/>
          <w:rtl/>
        </w:rPr>
        <w:t>التقرير الضوء على النجاحات والخبرات والتحديات المتصلة ب</w:t>
      </w:r>
      <w:r>
        <w:rPr>
          <w:rFonts w:hint="cs"/>
          <w:sz w:val="26"/>
          <w:szCs w:val="26"/>
          <w:rtl/>
        </w:rPr>
        <w:t>ال</w:t>
      </w:r>
      <w:r>
        <w:rPr>
          <w:sz w:val="26"/>
          <w:szCs w:val="26"/>
          <w:rtl/>
        </w:rPr>
        <w:t xml:space="preserve">أنشطة </w:t>
      </w:r>
      <w:r>
        <w:rPr>
          <w:rFonts w:hint="cs"/>
          <w:sz w:val="26"/>
          <w:szCs w:val="26"/>
          <w:rtl/>
        </w:rPr>
        <w:t>ال</w:t>
      </w:r>
      <w:r>
        <w:rPr>
          <w:sz w:val="26"/>
          <w:szCs w:val="26"/>
          <w:rtl/>
        </w:rPr>
        <w:t xml:space="preserve">مختلفة المدرجة في الخطة، </w:t>
      </w:r>
      <w:r>
        <w:rPr>
          <w:rFonts w:hint="cs"/>
          <w:sz w:val="26"/>
          <w:szCs w:val="26"/>
          <w:rtl/>
        </w:rPr>
        <w:t>وأن</w:t>
      </w:r>
      <w:r>
        <w:rPr>
          <w:sz w:val="26"/>
          <w:szCs w:val="26"/>
          <w:rtl/>
        </w:rPr>
        <w:t xml:space="preserve"> يعكس أية تغييرات في الظروف السائدة في البلد، و</w:t>
      </w:r>
      <w:r>
        <w:rPr>
          <w:rFonts w:hint="cs"/>
          <w:sz w:val="26"/>
          <w:szCs w:val="26"/>
          <w:rtl/>
        </w:rPr>
        <w:t>أن يوفر</w:t>
      </w:r>
      <w:r>
        <w:rPr>
          <w:sz w:val="26"/>
          <w:szCs w:val="26"/>
          <w:rtl/>
        </w:rPr>
        <w:t xml:space="preserve"> المعلومات الأخرى ذات الصلة. </w:t>
      </w:r>
      <w:r>
        <w:rPr>
          <w:rFonts w:hint="cs"/>
          <w:sz w:val="26"/>
          <w:szCs w:val="26"/>
          <w:rtl/>
        </w:rPr>
        <w:t>و</w:t>
      </w:r>
      <w:r>
        <w:rPr>
          <w:sz w:val="26"/>
          <w:szCs w:val="26"/>
          <w:rtl/>
        </w:rPr>
        <w:t xml:space="preserve">ينبغي أن يتضمن التقرير أيضا معلومات عن أية تغييرات </w:t>
      </w:r>
      <w:r>
        <w:rPr>
          <w:rFonts w:hint="cs"/>
          <w:sz w:val="26"/>
          <w:szCs w:val="26"/>
          <w:rtl/>
        </w:rPr>
        <w:t>مقارنة ب</w:t>
      </w:r>
      <w:r>
        <w:rPr>
          <w:sz w:val="26"/>
          <w:szCs w:val="26"/>
          <w:rtl/>
        </w:rPr>
        <w:t xml:space="preserve">خطة </w:t>
      </w:r>
      <w:r>
        <w:rPr>
          <w:rFonts w:hint="cs"/>
          <w:sz w:val="26"/>
          <w:szCs w:val="26"/>
          <w:rtl/>
        </w:rPr>
        <w:t xml:space="preserve">(خطط) </w:t>
      </w:r>
      <w:r>
        <w:rPr>
          <w:sz w:val="26"/>
          <w:szCs w:val="26"/>
          <w:rtl/>
        </w:rPr>
        <w:t>التنفيذ السنوي المقدم</w:t>
      </w:r>
      <w:r>
        <w:rPr>
          <w:rFonts w:hint="cs"/>
          <w:sz w:val="26"/>
          <w:szCs w:val="26"/>
          <w:rtl/>
        </w:rPr>
        <w:t>ة</w:t>
      </w:r>
      <w:r>
        <w:rPr>
          <w:sz w:val="26"/>
          <w:szCs w:val="26"/>
          <w:rtl/>
        </w:rPr>
        <w:t xml:space="preserve"> من قبل </w:t>
      </w:r>
      <w:r>
        <w:rPr>
          <w:rFonts w:hint="cs"/>
          <w:sz w:val="26"/>
          <w:szCs w:val="26"/>
          <w:rtl/>
        </w:rPr>
        <w:t>وما يبرر هذه التغييرات</w:t>
      </w:r>
      <w:r>
        <w:rPr>
          <w:sz w:val="26"/>
          <w:szCs w:val="26"/>
          <w:rtl/>
        </w:rPr>
        <w:t>، مثل التأخير</w:t>
      </w:r>
      <w:r>
        <w:rPr>
          <w:rFonts w:hint="cs"/>
          <w:sz w:val="26"/>
          <w:szCs w:val="26"/>
          <w:rtl/>
        </w:rPr>
        <w:t>ات</w:t>
      </w:r>
      <w:r>
        <w:rPr>
          <w:sz w:val="26"/>
          <w:szCs w:val="26"/>
          <w:rtl/>
        </w:rPr>
        <w:t xml:space="preserve">، </w:t>
      </w:r>
      <w:r>
        <w:rPr>
          <w:rFonts w:hint="cs"/>
          <w:sz w:val="26"/>
          <w:szCs w:val="26"/>
          <w:rtl/>
        </w:rPr>
        <w:t xml:space="preserve">واستخدام بند </w:t>
      </w:r>
      <w:r>
        <w:rPr>
          <w:sz w:val="26"/>
          <w:szCs w:val="26"/>
          <w:rtl/>
        </w:rPr>
        <w:t>المرونة لإعادة تخصيص الأموال خلال تنفيذ الشريحة، على النحو المنصوص عليه في الفقرة</w:t>
      </w:r>
      <w:r>
        <w:rPr>
          <w:rFonts w:hint="cs"/>
          <w:sz w:val="26"/>
          <w:szCs w:val="26"/>
          <w:rtl/>
        </w:rPr>
        <w:t> </w:t>
      </w:r>
      <w:r>
        <w:rPr>
          <w:sz w:val="26"/>
          <w:szCs w:val="26"/>
          <w:rtl/>
        </w:rPr>
        <w:t xml:space="preserve">7 من هذا الاتفاق، أو </w:t>
      </w:r>
      <w:r>
        <w:rPr>
          <w:rFonts w:hint="cs"/>
          <w:sz w:val="26"/>
          <w:szCs w:val="26"/>
          <w:rtl/>
        </w:rPr>
        <w:t xml:space="preserve">أي </w:t>
      </w:r>
      <w:r>
        <w:rPr>
          <w:sz w:val="26"/>
          <w:szCs w:val="26"/>
          <w:rtl/>
        </w:rPr>
        <w:t>تغييرات أخرى</w:t>
      </w:r>
      <w:r>
        <w:rPr>
          <w:rFonts w:hint="cs"/>
          <w:sz w:val="26"/>
          <w:szCs w:val="26"/>
          <w:rtl/>
        </w:rPr>
        <w:t>؛</w:t>
      </w:r>
    </w:p>
    <w:p w14:paraId="2261B7F2" w14:textId="77777777" w:rsidR="00BD596A" w:rsidRDefault="00BD596A" w:rsidP="002D1976">
      <w:pPr>
        <w:pStyle w:val="Heading2"/>
        <w:widowControl/>
        <w:numPr>
          <w:ilvl w:val="0"/>
          <w:numId w:val="29"/>
        </w:numPr>
        <w:bidi/>
        <w:spacing w:after="0"/>
        <w:rPr>
          <w:sz w:val="26"/>
          <w:szCs w:val="26"/>
          <w:rtl/>
        </w:rPr>
      </w:pPr>
      <w:r>
        <w:rPr>
          <w:sz w:val="26"/>
          <w:szCs w:val="26"/>
          <w:rtl/>
        </w:rPr>
        <w:t xml:space="preserve">تقرير تحقق </w:t>
      </w:r>
      <w:r>
        <w:rPr>
          <w:rFonts w:hint="cs"/>
          <w:sz w:val="26"/>
          <w:szCs w:val="26"/>
          <w:rtl/>
        </w:rPr>
        <w:t>مستقل ل</w:t>
      </w:r>
      <w:r>
        <w:rPr>
          <w:sz w:val="26"/>
          <w:szCs w:val="26"/>
          <w:rtl/>
        </w:rPr>
        <w:t xml:space="preserve">نتائج خطة إدارة إزالة المواد الهيدروكلوروفلوروكربونية واستهلاك المواد، </w:t>
      </w:r>
      <w:r>
        <w:rPr>
          <w:rFonts w:hint="cs"/>
          <w:sz w:val="26"/>
          <w:szCs w:val="26"/>
          <w:rtl/>
        </w:rPr>
        <w:t>وفقا</w:t>
      </w:r>
      <w:r>
        <w:rPr>
          <w:sz w:val="26"/>
          <w:szCs w:val="26"/>
          <w:rtl/>
        </w:rPr>
        <w:t xml:space="preserve"> </w:t>
      </w:r>
      <w:r>
        <w:rPr>
          <w:rFonts w:hint="cs"/>
          <w:sz w:val="26"/>
          <w:szCs w:val="26"/>
          <w:rtl/>
        </w:rPr>
        <w:t>ل</w:t>
      </w:r>
      <w:r>
        <w:rPr>
          <w:sz w:val="26"/>
          <w:szCs w:val="26"/>
          <w:rtl/>
        </w:rPr>
        <w:t xml:space="preserve">لفقرة الفرعية 5(ب) </w:t>
      </w:r>
      <w:r>
        <w:rPr>
          <w:rFonts w:hint="cs"/>
          <w:sz w:val="26"/>
          <w:szCs w:val="26"/>
          <w:rtl/>
        </w:rPr>
        <w:t>في</w:t>
      </w:r>
      <w:r>
        <w:rPr>
          <w:sz w:val="26"/>
          <w:szCs w:val="26"/>
          <w:rtl/>
        </w:rPr>
        <w:t xml:space="preserve"> الاتفاق. وما لم تقرر اللجنة التنفيذية خلاف ذلك، يتعين تقديم هذا التحقق مع كل طلب خاص بشريحة من الشرائح ويتعين أن يقدم التحقق من الاستهلاك لجميع السنوات ذات الصلة على النحو المحدد في الفقرة الفرعية 5(أ) من الاتفاق التي لم تشر اللجنة إلى تسلم تقرير تحقق عنها؛</w:t>
      </w:r>
    </w:p>
    <w:p w14:paraId="19DA8CB1" w14:textId="77777777" w:rsidR="00BD596A" w:rsidRDefault="00BD596A" w:rsidP="002D1976">
      <w:pPr>
        <w:pStyle w:val="Heading2"/>
        <w:widowControl/>
        <w:numPr>
          <w:ilvl w:val="0"/>
          <w:numId w:val="29"/>
        </w:numPr>
        <w:bidi/>
        <w:spacing w:after="0"/>
        <w:rPr>
          <w:sz w:val="26"/>
          <w:szCs w:val="26"/>
          <w:rtl/>
        </w:rPr>
      </w:pPr>
      <w:r>
        <w:rPr>
          <w:sz w:val="26"/>
          <w:szCs w:val="26"/>
          <w:rtl/>
        </w:rPr>
        <w:t xml:space="preserve">وصف خطي للنشاطات التي سيُضطلع بها </w:t>
      </w:r>
      <w:r>
        <w:rPr>
          <w:rFonts w:hint="cs"/>
          <w:sz w:val="26"/>
          <w:szCs w:val="26"/>
          <w:rtl/>
        </w:rPr>
        <w:t xml:space="preserve">خلال الفترة المشمولة بالشريحة المطلوبة، </w:t>
      </w:r>
      <w:r>
        <w:rPr>
          <w:sz w:val="26"/>
          <w:szCs w:val="26"/>
          <w:rtl/>
        </w:rPr>
        <w:t xml:space="preserve">مع إبراز </w:t>
      </w:r>
      <w:r>
        <w:rPr>
          <w:rFonts w:hint="cs"/>
          <w:sz w:val="26"/>
          <w:szCs w:val="26"/>
          <w:rtl/>
        </w:rPr>
        <w:t>المعالم الرئيسية للتنفيذ، ووقت الإتمام و</w:t>
      </w:r>
      <w:r>
        <w:rPr>
          <w:sz w:val="26"/>
          <w:szCs w:val="26"/>
          <w:rtl/>
        </w:rPr>
        <w:t>الترابط بين</w:t>
      </w:r>
      <w:r>
        <w:rPr>
          <w:rFonts w:hint="cs"/>
          <w:sz w:val="26"/>
          <w:szCs w:val="26"/>
          <w:rtl/>
        </w:rPr>
        <w:t xml:space="preserve"> الأنشطة،</w:t>
      </w:r>
      <w:r>
        <w:rPr>
          <w:sz w:val="26"/>
          <w:szCs w:val="26"/>
          <w:rtl/>
        </w:rPr>
        <w:t xml:space="preserve"> و</w:t>
      </w:r>
      <w:r>
        <w:rPr>
          <w:rFonts w:hint="cs"/>
          <w:sz w:val="26"/>
          <w:szCs w:val="26"/>
          <w:rtl/>
        </w:rPr>
        <w:t xml:space="preserve">مع </w:t>
      </w:r>
      <w:r>
        <w:rPr>
          <w:sz w:val="26"/>
          <w:szCs w:val="26"/>
          <w:rtl/>
        </w:rPr>
        <w:t>أخذ التجارب المكتسبة والتقدم المحرز في تنفيذ الشرائح السابقة بعين الاعتبار</w:t>
      </w:r>
      <w:r>
        <w:rPr>
          <w:rFonts w:hint="cs"/>
          <w:sz w:val="26"/>
          <w:szCs w:val="26"/>
          <w:rtl/>
        </w:rPr>
        <w:t>؛ وستقدم البيانات الواردة في الخطة حسب السنة التقويمية</w:t>
      </w:r>
      <w:r>
        <w:rPr>
          <w:sz w:val="26"/>
          <w:szCs w:val="26"/>
          <w:rtl/>
        </w:rPr>
        <w:t xml:space="preserve">. وينبغي أن يتضمن الوصف أيضا الإشارة إلى الخطة الشاملة والتقدم المحرز، فضلا عن أي تغييرات ممكنة من المنظور أن تطرأ على الخطة الشاملة. كما ينبغي أن يحدد الوصف </w:t>
      </w:r>
      <w:r>
        <w:rPr>
          <w:rFonts w:hint="cs"/>
          <w:sz w:val="26"/>
          <w:szCs w:val="26"/>
          <w:rtl/>
        </w:rPr>
        <w:t>بالتفصيل التغييرات التي أدخلت</w:t>
      </w:r>
      <w:r>
        <w:rPr>
          <w:sz w:val="26"/>
          <w:szCs w:val="26"/>
          <w:rtl/>
        </w:rPr>
        <w:t xml:space="preserve"> على الخطة الشاملة وأن يقدم تفسيرا لها</w:t>
      </w:r>
      <w:r>
        <w:rPr>
          <w:rFonts w:hint="cs"/>
          <w:sz w:val="26"/>
          <w:szCs w:val="26"/>
          <w:rtl/>
        </w:rPr>
        <w:t>. ويمكن تقديم وصف الأنشطة المستقبلية كجزء من نفس الوثيقة بوصفه التقرير السردي بموجب الفقرة الفرعية (ب) أعلاه</w:t>
      </w:r>
      <w:r>
        <w:rPr>
          <w:sz w:val="26"/>
          <w:szCs w:val="26"/>
          <w:rtl/>
        </w:rPr>
        <w:t>؛</w:t>
      </w:r>
    </w:p>
    <w:p w14:paraId="70542A9B" w14:textId="77777777" w:rsidR="00BD596A" w:rsidRDefault="00BD596A" w:rsidP="002D1976">
      <w:pPr>
        <w:pStyle w:val="Heading2"/>
        <w:widowControl/>
        <w:numPr>
          <w:ilvl w:val="0"/>
          <w:numId w:val="29"/>
        </w:numPr>
        <w:bidi/>
        <w:spacing w:after="0"/>
        <w:rPr>
          <w:sz w:val="26"/>
          <w:szCs w:val="26"/>
          <w:rtl/>
        </w:rPr>
      </w:pPr>
      <w:r>
        <w:rPr>
          <w:sz w:val="26"/>
          <w:szCs w:val="26"/>
          <w:rtl/>
        </w:rPr>
        <w:t xml:space="preserve">مجموعة من المعلومات الكمية الخاصة </w:t>
      </w:r>
      <w:r>
        <w:rPr>
          <w:rFonts w:hint="cs"/>
          <w:sz w:val="26"/>
          <w:szCs w:val="26"/>
          <w:rtl/>
        </w:rPr>
        <w:t>بجميع تقارير التنفيذ السنوية</w:t>
      </w:r>
      <w:r>
        <w:rPr>
          <w:sz w:val="26"/>
          <w:szCs w:val="26"/>
          <w:rtl/>
        </w:rPr>
        <w:t xml:space="preserve"> </w:t>
      </w:r>
      <w:r>
        <w:rPr>
          <w:rFonts w:hint="cs"/>
          <w:sz w:val="26"/>
          <w:szCs w:val="26"/>
          <w:rtl/>
        </w:rPr>
        <w:t>و</w:t>
      </w:r>
      <w:r>
        <w:rPr>
          <w:sz w:val="26"/>
          <w:szCs w:val="26"/>
          <w:rtl/>
        </w:rPr>
        <w:t>خط</w:t>
      </w:r>
      <w:r>
        <w:rPr>
          <w:rFonts w:hint="cs"/>
          <w:sz w:val="26"/>
          <w:szCs w:val="26"/>
          <w:rtl/>
        </w:rPr>
        <w:t xml:space="preserve">ط التنفيذ السنوية المقدمة من خلال </w:t>
      </w:r>
      <w:r>
        <w:rPr>
          <w:sz w:val="26"/>
          <w:szCs w:val="26"/>
          <w:rtl/>
        </w:rPr>
        <w:t>قاعدة بيانات</w:t>
      </w:r>
      <w:r>
        <w:rPr>
          <w:rFonts w:hint="cs"/>
          <w:sz w:val="26"/>
          <w:szCs w:val="26"/>
          <w:rtl/>
        </w:rPr>
        <w:t xml:space="preserve"> على الإنترنت</w:t>
      </w:r>
      <w:r>
        <w:rPr>
          <w:sz w:val="26"/>
          <w:szCs w:val="26"/>
          <w:rtl/>
        </w:rPr>
        <w:t>؛</w:t>
      </w:r>
    </w:p>
    <w:p w14:paraId="67F36103" w14:textId="6E8CA5B3" w:rsidR="00BD596A" w:rsidRDefault="00BD596A" w:rsidP="002D1976">
      <w:pPr>
        <w:pStyle w:val="Heading2"/>
        <w:widowControl/>
        <w:numPr>
          <w:ilvl w:val="0"/>
          <w:numId w:val="29"/>
        </w:numPr>
        <w:bidi/>
        <w:spacing w:after="0"/>
        <w:rPr>
          <w:sz w:val="26"/>
          <w:szCs w:val="26"/>
          <w:rtl/>
        </w:rPr>
      </w:pPr>
      <w:r>
        <w:rPr>
          <w:sz w:val="26"/>
          <w:szCs w:val="26"/>
          <w:rtl/>
        </w:rPr>
        <w:t>موجز تنفيذي من حوالي خمس فقرات، يلخص الفقرات الفرعية من 1(أ) إلى 1(د) أعلاه.</w:t>
      </w:r>
    </w:p>
    <w:p w14:paraId="7EDD8EB9" w14:textId="77777777" w:rsidR="00BD596A" w:rsidRDefault="00BD596A" w:rsidP="002D1976">
      <w:pPr>
        <w:bidi/>
        <w:rPr>
          <w:sz w:val="26"/>
          <w:szCs w:val="26"/>
          <w:rtl/>
        </w:rPr>
      </w:pPr>
      <w:r>
        <w:rPr>
          <w:rFonts w:hint="cs"/>
          <w:sz w:val="26"/>
          <w:szCs w:val="26"/>
          <w:rtl/>
        </w:rPr>
        <w:t>2.</w:t>
      </w:r>
      <w:r>
        <w:rPr>
          <w:rFonts w:hint="cs"/>
          <w:sz w:val="26"/>
          <w:szCs w:val="26"/>
          <w:rtl/>
        </w:rPr>
        <w:tab/>
        <w:t>في حال وجود مرحلتين لخطة إدارة إزالة المواد الهيدروكلوروفلوروكربونية في سنة معينة واحدة تنفذ بشكل متوازي، ينبغي أخذ الاعتبارات التالية في الحسبان عند إعداد تقارير تنفيذ الشريحة والخطط:</w:t>
      </w:r>
    </w:p>
    <w:p w14:paraId="14B938DC" w14:textId="77777777" w:rsidR="00BD596A" w:rsidRDefault="00BD596A" w:rsidP="00BD596A">
      <w:pPr>
        <w:bidi/>
        <w:spacing w:after="240"/>
        <w:ind w:left="1440" w:hanging="720"/>
        <w:rPr>
          <w:sz w:val="26"/>
          <w:szCs w:val="26"/>
          <w:rtl/>
        </w:rPr>
      </w:pPr>
      <w:r>
        <w:rPr>
          <w:rFonts w:hint="cs"/>
          <w:sz w:val="26"/>
          <w:szCs w:val="26"/>
          <w:rtl/>
        </w:rPr>
        <w:t>(أ)</w:t>
      </w:r>
      <w:r>
        <w:rPr>
          <w:rFonts w:hint="cs"/>
          <w:sz w:val="26"/>
          <w:szCs w:val="26"/>
          <w:rtl/>
        </w:rPr>
        <w:tab/>
        <w:t>تقارير عن تنفيذ الشريحة والخطط المشار إليها كجزء من هذا الاتفاق، ستشير بشكل حصري إلى الأنشطة والأموال المشمولة بهذا الاتفاق؛</w:t>
      </w:r>
    </w:p>
    <w:p w14:paraId="20C707E5" w14:textId="77777777" w:rsidR="00BD596A" w:rsidRPr="00D11021" w:rsidRDefault="00BD596A" w:rsidP="00BD596A">
      <w:pPr>
        <w:bidi/>
        <w:spacing w:after="240"/>
        <w:ind w:left="1440" w:hanging="720"/>
        <w:rPr>
          <w:sz w:val="26"/>
          <w:szCs w:val="26"/>
          <w:rtl/>
        </w:rPr>
      </w:pPr>
      <w:r>
        <w:rPr>
          <w:rFonts w:hint="cs"/>
          <w:sz w:val="26"/>
          <w:szCs w:val="26"/>
          <w:rtl/>
        </w:rPr>
        <w:t>(ب)</w:t>
      </w:r>
      <w:r>
        <w:rPr>
          <w:rFonts w:hint="cs"/>
          <w:sz w:val="26"/>
          <w:szCs w:val="26"/>
          <w:rtl/>
        </w:rPr>
        <w:tab/>
        <w:t xml:space="preserve">وإذا كانت المراحل قيد التنفيذ لها أهداف استهلاك مختلفة للمواد الهيدروكلوروفلوروكربونية في إطار التذييل 2-ألف </w:t>
      </w:r>
      <w:r w:rsidRPr="00D11021">
        <w:rPr>
          <w:rFonts w:hint="cs"/>
          <w:sz w:val="26"/>
          <w:szCs w:val="26"/>
          <w:rtl/>
        </w:rPr>
        <w:t>في كل اتفاق في سنة معينة، فإن هدف استهلاك المواد الهيدروكلوروفلوروكربونية الأقل سيستخدم كمرجع للامتثال لهذه الاتفاقات وسيشكل الأساس للتحقيق المستقل.</w:t>
      </w:r>
    </w:p>
    <w:p w14:paraId="0E86A9F8" w14:textId="4E1CB0FE" w:rsidR="00BD596A" w:rsidRPr="00D11021" w:rsidRDefault="00D11021" w:rsidP="00D11021">
      <w:pPr>
        <w:keepNext/>
        <w:bidi/>
        <w:rPr>
          <w:rFonts w:hint="cs"/>
          <w:bCs/>
          <w:sz w:val="26"/>
          <w:szCs w:val="26"/>
          <w:rtl/>
          <w:lang w:bidi="ar-SY"/>
        </w:rPr>
      </w:pPr>
      <w:r w:rsidRPr="00D11021">
        <w:rPr>
          <w:bCs/>
          <w:sz w:val="26"/>
          <w:szCs w:val="26"/>
          <w:rtl/>
        </w:rPr>
        <w:lastRenderedPageBreak/>
        <w:t>التذييل 5- ألف: مؤسّسات الرصد و</w:t>
      </w:r>
      <w:r w:rsidR="00BD596A" w:rsidRPr="00D11021">
        <w:rPr>
          <w:bCs/>
          <w:sz w:val="26"/>
          <w:szCs w:val="26"/>
          <w:rtl/>
        </w:rPr>
        <w:t>أدوار</w:t>
      </w:r>
      <w:r w:rsidRPr="00D11021">
        <w:rPr>
          <w:rFonts w:hint="cs"/>
          <w:bCs/>
          <w:sz w:val="26"/>
          <w:szCs w:val="26"/>
          <w:rtl/>
        </w:rPr>
        <w:t>ها</w:t>
      </w:r>
      <w:r w:rsidR="00BD596A" w:rsidRPr="00D11021">
        <w:rPr>
          <w:bCs/>
          <w:sz w:val="26"/>
          <w:szCs w:val="26"/>
          <w:rtl/>
        </w:rPr>
        <w:t xml:space="preserve"> </w:t>
      </w:r>
    </w:p>
    <w:p w14:paraId="5F335766" w14:textId="77777777" w:rsidR="00BD596A" w:rsidRPr="00D11021" w:rsidRDefault="00BD596A" w:rsidP="00BD596A">
      <w:pPr>
        <w:keepNext/>
        <w:bidi/>
        <w:rPr>
          <w:sz w:val="26"/>
          <w:szCs w:val="26"/>
          <w:lang w:val="en-US"/>
        </w:rPr>
      </w:pPr>
    </w:p>
    <w:p w14:paraId="4FACC8C2" w14:textId="77777777" w:rsidR="00BD596A" w:rsidRPr="00D11021" w:rsidRDefault="00BD596A" w:rsidP="00BD596A">
      <w:pPr>
        <w:keepNext/>
        <w:bidi/>
        <w:spacing w:after="240"/>
        <w:rPr>
          <w:sz w:val="26"/>
          <w:szCs w:val="26"/>
          <w:rtl/>
        </w:rPr>
      </w:pPr>
      <w:r w:rsidRPr="00D11021">
        <w:rPr>
          <w:sz w:val="26"/>
          <w:szCs w:val="26"/>
          <w:rtl/>
        </w:rPr>
        <w:t>1</w:t>
      </w:r>
      <w:r w:rsidRPr="00D11021">
        <w:rPr>
          <w:rFonts w:hint="cs"/>
          <w:sz w:val="26"/>
          <w:szCs w:val="26"/>
          <w:rtl/>
        </w:rPr>
        <w:t>.</w:t>
      </w:r>
      <w:r w:rsidRPr="00D11021">
        <w:rPr>
          <w:rFonts w:hint="cs"/>
          <w:sz w:val="26"/>
          <w:szCs w:val="26"/>
          <w:rtl/>
        </w:rPr>
        <w:tab/>
      </w:r>
      <w:r w:rsidRPr="00D11021">
        <w:rPr>
          <w:sz w:val="26"/>
          <w:szCs w:val="26"/>
          <w:rtl/>
        </w:rPr>
        <w:t>سيجري رصد أنشطة المشروع والتزاماته للامتثال بالمشاركة بين وحدة الأوزون الوطنية للبلد والوكالة المنفذة الرئيسية كما كان الحال في إطار المرحلة الأولى. وستتولى وحدة الأوزون الوطنية المسؤولية عن رصد أنشطة التنفيذ على أرض الواقع. وستضطلع وحدة الأوزون الوطنية أيضا بمهمة ضمان وجود حوار منتظم ومستمر مع أصحاب المصلحة من أجل التأكد من أن الأنشطة يتم إجراؤها بما يتماشى مع احتياجات أصحاب المصلحة المعنيين المتوقع أن يستفيدوا من الأنشطة وضمان الوفاء بالتزامات الإزالة بالتالي.</w:t>
      </w:r>
    </w:p>
    <w:p w14:paraId="329E991D" w14:textId="77777777" w:rsidR="00BD596A" w:rsidRPr="00D11021" w:rsidRDefault="00BD596A" w:rsidP="00BD596A">
      <w:pPr>
        <w:bidi/>
        <w:rPr>
          <w:sz w:val="26"/>
          <w:szCs w:val="26"/>
        </w:rPr>
      </w:pPr>
    </w:p>
    <w:p w14:paraId="0964B0D3" w14:textId="77777777" w:rsidR="00BD596A" w:rsidRPr="00D11021" w:rsidRDefault="00BD596A" w:rsidP="00BD596A">
      <w:pPr>
        <w:bidi/>
        <w:jc w:val="left"/>
        <w:rPr>
          <w:bCs/>
          <w:sz w:val="26"/>
          <w:szCs w:val="26"/>
          <w:rtl/>
        </w:rPr>
      </w:pPr>
      <w:r w:rsidRPr="00D11021">
        <w:rPr>
          <w:bCs/>
          <w:sz w:val="26"/>
          <w:szCs w:val="26"/>
          <w:rtl/>
        </w:rPr>
        <w:t>التذييل 6- ألف: دور الوكالة المنفذة الرئيسية</w:t>
      </w:r>
    </w:p>
    <w:p w14:paraId="76E04679" w14:textId="77777777" w:rsidR="00BD596A" w:rsidRDefault="00BD596A" w:rsidP="00BD596A">
      <w:pPr>
        <w:bidi/>
        <w:rPr>
          <w:bCs/>
          <w:sz w:val="26"/>
          <w:szCs w:val="26"/>
        </w:rPr>
      </w:pPr>
    </w:p>
    <w:p w14:paraId="14FC762A" w14:textId="77777777" w:rsidR="00BD596A" w:rsidRPr="006045C2" w:rsidRDefault="00BD596A" w:rsidP="006045C2">
      <w:pPr>
        <w:pStyle w:val="Heading1"/>
        <w:numPr>
          <w:ilvl w:val="0"/>
          <w:numId w:val="34"/>
        </w:numPr>
        <w:tabs>
          <w:tab w:val="clear" w:pos="0"/>
          <w:tab w:val="num" w:pos="90"/>
        </w:tabs>
        <w:bidi/>
        <w:rPr>
          <w:sz w:val="26"/>
          <w:szCs w:val="26"/>
        </w:rPr>
      </w:pPr>
      <w:r w:rsidRPr="006045C2">
        <w:rPr>
          <w:sz w:val="26"/>
          <w:szCs w:val="26"/>
          <w:rtl/>
        </w:rPr>
        <w:t>ستكـون الوكالـة الرئيسيـة مسؤولة عن مجموعـة من الأنشطة</w:t>
      </w:r>
      <w:r w:rsidRPr="006045C2">
        <w:rPr>
          <w:rFonts w:hint="cs"/>
          <w:sz w:val="26"/>
          <w:szCs w:val="26"/>
          <w:rtl/>
        </w:rPr>
        <w:t xml:space="preserve"> </w:t>
      </w:r>
      <w:r w:rsidRPr="006045C2">
        <w:rPr>
          <w:sz w:val="26"/>
          <w:szCs w:val="26"/>
          <w:rtl/>
        </w:rPr>
        <w:t>تشمل على الأقل ما يلي:</w:t>
      </w:r>
    </w:p>
    <w:p w14:paraId="344DD372" w14:textId="77777777" w:rsidR="00BD596A" w:rsidRDefault="00BD596A" w:rsidP="00DA207A">
      <w:pPr>
        <w:pStyle w:val="Heading2"/>
        <w:widowControl/>
        <w:numPr>
          <w:ilvl w:val="1"/>
          <w:numId w:val="27"/>
        </w:numPr>
        <w:bidi/>
        <w:rPr>
          <w:sz w:val="26"/>
          <w:szCs w:val="26"/>
        </w:rPr>
      </w:pPr>
      <w:r>
        <w:rPr>
          <w:sz w:val="26"/>
          <w:szCs w:val="26"/>
          <w:rtl/>
        </w:rPr>
        <w:t>ضمان التحقّق من الأداء والتحقّق المالي بمقتضى هذا الاتفاق والإجراءات والمتطلّبات الداخلية الخاصّة به، على النحو المبيّن في خطة إدارة إزالة المواد الهيدروكلوروفلوروكربونية الخاصّة بالبلد؛</w:t>
      </w:r>
    </w:p>
    <w:p w14:paraId="28B57A02" w14:textId="77777777" w:rsidR="00BD596A" w:rsidRDefault="00BD596A" w:rsidP="00DA207A">
      <w:pPr>
        <w:pStyle w:val="Heading2"/>
        <w:widowControl/>
        <w:numPr>
          <w:ilvl w:val="1"/>
          <w:numId w:val="27"/>
        </w:numPr>
        <w:bidi/>
        <w:rPr>
          <w:spacing w:val="12"/>
          <w:sz w:val="26"/>
          <w:szCs w:val="26"/>
        </w:rPr>
      </w:pPr>
      <w:r>
        <w:rPr>
          <w:spacing w:val="12"/>
          <w:sz w:val="26"/>
          <w:szCs w:val="26"/>
          <w:rtl/>
        </w:rPr>
        <w:t xml:space="preserve">مساعدة البلد في إعـداد خطط </w:t>
      </w:r>
      <w:r>
        <w:rPr>
          <w:rFonts w:hint="cs"/>
          <w:spacing w:val="12"/>
          <w:sz w:val="26"/>
          <w:szCs w:val="26"/>
          <w:rtl/>
        </w:rPr>
        <w:t>ال</w:t>
      </w:r>
      <w:r>
        <w:rPr>
          <w:spacing w:val="12"/>
          <w:sz w:val="26"/>
          <w:szCs w:val="26"/>
          <w:rtl/>
        </w:rPr>
        <w:t xml:space="preserve">تنفيذ </w:t>
      </w:r>
      <w:r>
        <w:rPr>
          <w:rFonts w:hint="cs"/>
          <w:spacing w:val="12"/>
          <w:sz w:val="26"/>
          <w:szCs w:val="26"/>
          <w:rtl/>
        </w:rPr>
        <w:t xml:space="preserve">السنوية </w:t>
      </w:r>
      <w:r>
        <w:rPr>
          <w:spacing w:val="12"/>
          <w:sz w:val="26"/>
          <w:szCs w:val="26"/>
          <w:rtl/>
        </w:rPr>
        <w:t>والتقاريـر اللاحقة على النحو المبيـن في التذييل 4-ألف؛</w:t>
      </w:r>
    </w:p>
    <w:p w14:paraId="55165E0A" w14:textId="77777777" w:rsidR="00BD596A" w:rsidRDefault="00BD596A" w:rsidP="00DA207A">
      <w:pPr>
        <w:pStyle w:val="Heading2"/>
        <w:numPr>
          <w:ilvl w:val="1"/>
          <w:numId w:val="27"/>
        </w:numPr>
        <w:bidi/>
        <w:rPr>
          <w:sz w:val="26"/>
          <w:szCs w:val="26"/>
        </w:rPr>
      </w:pPr>
      <w:r>
        <w:rPr>
          <w:sz w:val="26"/>
          <w:szCs w:val="26"/>
          <w:rtl/>
        </w:rPr>
        <w:t xml:space="preserve">تقديم تحقّق </w:t>
      </w:r>
      <w:r>
        <w:rPr>
          <w:rFonts w:hint="cs"/>
          <w:sz w:val="26"/>
          <w:szCs w:val="26"/>
          <w:rtl/>
        </w:rPr>
        <w:t xml:space="preserve">مستقل </w:t>
      </w:r>
      <w:r>
        <w:rPr>
          <w:sz w:val="26"/>
          <w:szCs w:val="26"/>
          <w:rtl/>
        </w:rPr>
        <w:t xml:space="preserve">إلى اللجنة التنفيذية من أن الأهداف قد تحققت وأن الأنشطة </w:t>
      </w:r>
      <w:r>
        <w:rPr>
          <w:rFonts w:hint="cs"/>
          <w:sz w:val="26"/>
          <w:szCs w:val="26"/>
          <w:rtl/>
        </w:rPr>
        <w:t>الشرائح</w:t>
      </w:r>
      <w:r>
        <w:rPr>
          <w:sz w:val="26"/>
          <w:szCs w:val="26"/>
          <w:rtl/>
        </w:rPr>
        <w:t xml:space="preserve"> المرتبطة بها قد أُكملت على النحو المبيّن في خطة تنفيذ </w:t>
      </w:r>
      <w:r>
        <w:rPr>
          <w:rFonts w:hint="cs"/>
          <w:sz w:val="26"/>
          <w:szCs w:val="26"/>
          <w:rtl/>
        </w:rPr>
        <w:t xml:space="preserve">الشرائح </w:t>
      </w:r>
      <w:r>
        <w:rPr>
          <w:sz w:val="26"/>
          <w:szCs w:val="26"/>
          <w:rtl/>
        </w:rPr>
        <w:t>بما يتمشى مع التذييل 4-ألف؛</w:t>
      </w:r>
    </w:p>
    <w:p w14:paraId="56229221" w14:textId="77777777" w:rsidR="00BD596A" w:rsidRDefault="00BD596A" w:rsidP="00DA207A">
      <w:pPr>
        <w:pStyle w:val="Heading2"/>
        <w:numPr>
          <w:ilvl w:val="1"/>
          <w:numId w:val="27"/>
        </w:numPr>
        <w:bidi/>
        <w:rPr>
          <w:sz w:val="26"/>
          <w:szCs w:val="26"/>
        </w:rPr>
      </w:pPr>
      <w:r>
        <w:rPr>
          <w:sz w:val="26"/>
          <w:szCs w:val="26"/>
          <w:rtl/>
        </w:rPr>
        <w:t>التأكّد من أخذ التجارب المكتسبة والتقدم المحرز بعين الاعتبار في استكمالات الخطة الشاملة وفي خطط التنفيذ السنوية المقبلة تمشيا مع الفقرتين الفرعيتين 1(ج) و1(د) من التذييل 4-ألف؛</w:t>
      </w:r>
    </w:p>
    <w:p w14:paraId="074CD66E" w14:textId="6D14CA87" w:rsidR="00BD596A" w:rsidRDefault="00BD596A" w:rsidP="00DA207A">
      <w:pPr>
        <w:pStyle w:val="Heading2"/>
        <w:numPr>
          <w:ilvl w:val="1"/>
          <w:numId w:val="27"/>
        </w:numPr>
        <w:bidi/>
        <w:rPr>
          <w:sz w:val="26"/>
          <w:szCs w:val="26"/>
        </w:rPr>
      </w:pPr>
      <w:r>
        <w:rPr>
          <w:sz w:val="26"/>
          <w:szCs w:val="26"/>
          <w:rtl/>
        </w:rPr>
        <w:t xml:space="preserve">الوفاء بمتطلبات الإبلاغ الخاصة بتقارير </w:t>
      </w:r>
      <w:r>
        <w:rPr>
          <w:rFonts w:hint="cs"/>
          <w:sz w:val="26"/>
          <w:szCs w:val="26"/>
          <w:rtl/>
        </w:rPr>
        <w:t>ال</w:t>
      </w:r>
      <w:r>
        <w:rPr>
          <w:sz w:val="26"/>
          <w:szCs w:val="26"/>
          <w:rtl/>
        </w:rPr>
        <w:t xml:space="preserve">تنفيذ </w:t>
      </w:r>
      <w:r>
        <w:rPr>
          <w:rFonts w:hint="cs"/>
          <w:sz w:val="26"/>
          <w:szCs w:val="26"/>
          <w:rtl/>
        </w:rPr>
        <w:t>السنوية</w:t>
      </w:r>
      <w:r>
        <w:rPr>
          <w:sz w:val="26"/>
          <w:szCs w:val="26"/>
          <w:rtl/>
        </w:rPr>
        <w:t xml:space="preserve"> وخطط التنفيذ والخطة الشاملة على النحو المحدد في التذييل 4-</w:t>
      </w:r>
      <w:r>
        <w:rPr>
          <w:rFonts w:hint="cs"/>
          <w:sz w:val="26"/>
          <w:szCs w:val="26"/>
          <w:rtl/>
        </w:rPr>
        <w:t xml:space="preserve"> </w:t>
      </w:r>
      <w:r>
        <w:rPr>
          <w:sz w:val="26"/>
          <w:szCs w:val="26"/>
          <w:rtl/>
        </w:rPr>
        <w:t>ألف لتقديمها إلى اللجنة التنفيذية</w:t>
      </w:r>
      <w:r>
        <w:rPr>
          <w:rFonts w:hint="cs"/>
          <w:sz w:val="26"/>
          <w:szCs w:val="26"/>
          <w:rtl/>
        </w:rPr>
        <w:t xml:space="preserve">. </w:t>
      </w:r>
    </w:p>
    <w:p w14:paraId="29CAF6A8" w14:textId="05247AF2" w:rsidR="00BD596A" w:rsidRDefault="00BD596A" w:rsidP="00DA207A">
      <w:pPr>
        <w:pStyle w:val="Heading2"/>
        <w:numPr>
          <w:ilvl w:val="1"/>
          <w:numId w:val="27"/>
        </w:numPr>
        <w:bidi/>
        <w:rPr>
          <w:sz w:val="26"/>
          <w:szCs w:val="26"/>
          <w:rtl/>
        </w:rPr>
      </w:pPr>
      <w:r>
        <w:rPr>
          <w:rFonts w:hint="cs"/>
          <w:sz w:val="26"/>
          <w:szCs w:val="26"/>
          <w:rtl/>
        </w:rPr>
        <w:t>في حال طلب التمويل للشريحة الأخيرة قبل سنة أو أكثر من السنة الأخيرة التي تم تحديد هدف للاستهلاك فيها، ينبغي تقديم تقارير تنفيذ الشريحة السنوية، وحسب الاقتضاء، تقارير التحقق عن المرحلة الجارية من الخطة إلى أن يتم إتمام جميع الأنشطة المتوقعة والوفاء بأهداف استهلاك الهيدروكلوروفلوروكربون؛</w:t>
      </w:r>
    </w:p>
    <w:p w14:paraId="6A654373" w14:textId="140DECB6" w:rsidR="00BD596A" w:rsidRDefault="00BD596A" w:rsidP="00DA207A">
      <w:pPr>
        <w:pStyle w:val="Heading2"/>
        <w:numPr>
          <w:ilvl w:val="1"/>
          <w:numId w:val="27"/>
        </w:numPr>
        <w:bidi/>
        <w:rPr>
          <w:sz w:val="26"/>
          <w:szCs w:val="26"/>
        </w:rPr>
      </w:pPr>
      <w:r>
        <w:rPr>
          <w:sz w:val="26"/>
          <w:szCs w:val="26"/>
          <w:rtl/>
        </w:rPr>
        <w:t>ضمان تنفيذ الخبراء التقنيين المستقلين المؤهّلين للمراجعات التقنيَّة؛</w:t>
      </w:r>
    </w:p>
    <w:p w14:paraId="49D98A5D" w14:textId="5F0C8D16" w:rsidR="00BD596A" w:rsidRDefault="00BD596A" w:rsidP="00DA207A">
      <w:pPr>
        <w:pStyle w:val="Heading2"/>
        <w:numPr>
          <w:ilvl w:val="1"/>
          <w:numId w:val="27"/>
        </w:numPr>
        <w:bidi/>
        <w:rPr>
          <w:sz w:val="26"/>
          <w:szCs w:val="26"/>
        </w:rPr>
      </w:pPr>
      <w:r>
        <w:rPr>
          <w:sz w:val="26"/>
          <w:szCs w:val="26"/>
          <w:rtl/>
        </w:rPr>
        <w:t>إجراء مهامّ الإشراف المطلوبة؛</w:t>
      </w:r>
    </w:p>
    <w:p w14:paraId="399DE7BB" w14:textId="289441FD" w:rsidR="00BD596A" w:rsidRDefault="00BD596A" w:rsidP="00DA207A">
      <w:pPr>
        <w:pStyle w:val="Heading2"/>
        <w:numPr>
          <w:ilvl w:val="1"/>
          <w:numId w:val="27"/>
        </w:numPr>
        <w:bidi/>
        <w:rPr>
          <w:sz w:val="26"/>
          <w:szCs w:val="26"/>
          <w:rtl/>
        </w:rPr>
      </w:pPr>
      <w:r>
        <w:rPr>
          <w:sz w:val="26"/>
          <w:szCs w:val="26"/>
          <w:rtl/>
        </w:rPr>
        <w:t>ضمان وجود آليّة تشغيلية تمكّن من تنفيذ خطة التنفيذ بطريقة فعالة ومتسمة بالشفافية والإبلاغ الدقيق عن البيانات؛</w:t>
      </w:r>
    </w:p>
    <w:p w14:paraId="79CFB185" w14:textId="66438C2E" w:rsidR="00BD596A" w:rsidRDefault="00BD596A" w:rsidP="00DA207A">
      <w:pPr>
        <w:pStyle w:val="Heading2"/>
        <w:numPr>
          <w:ilvl w:val="1"/>
          <w:numId w:val="27"/>
        </w:numPr>
        <w:bidi/>
        <w:rPr>
          <w:sz w:val="26"/>
          <w:szCs w:val="26"/>
        </w:rPr>
      </w:pPr>
      <w:r>
        <w:rPr>
          <w:sz w:val="26"/>
          <w:szCs w:val="26"/>
          <w:rtl/>
        </w:rPr>
        <w:t xml:space="preserve">في حالة خفض التمويل نتيجة عدم الامتثال وفقا للفقرة 11 من الاتفاق، تحديد، بالتشاور مع البلد، تخصيص التخفيضات لمختلف بنود الميزانية ولتمويل </w:t>
      </w:r>
      <w:r>
        <w:rPr>
          <w:rFonts w:hint="cs"/>
          <w:sz w:val="26"/>
          <w:szCs w:val="26"/>
          <w:rtl/>
        </w:rPr>
        <w:t>ال</w:t>
      </w:r>
      <w:r>
        <w:rPr>
          <w:sz w:val="26"/>
          <w:szCs w:val="26"/>
          <w:rtl/>
        </w:rPr>
        <w:t xml:space="preserve">وكالة </w:t>
      </w:r>
      <w:r>
        <w:rPr>
          <w:rFonts w:hint="cs"/>
          <w:sz w:val="26"/>
          <w:szCs w:val="26"/>
          <w:rtl/>
        </w:rPr>
        <w:t>ال</w:t>
      </w:r>
      <w:r>
        <w:rPr>
          <w:sz w:val="26"/>
          <w:szCs w:val="26"/>
          <w:rtl/>
        </w:rPr>
        <w:t xml:space="preserve">منفذة </w:t>
      </w:r>
      <w:r>
        <w:rPr>
          <w:rFonts w:hint="cs"/>
          <w:sz w:val="26"/>
          <w:szCs w:val="26"/>
          <w:rtl/>
        </w:rPr>
        <w:t xml:space="preserve">الرئيسية </w:t>
      </w:r>
      <w:r>
        <w:rPr>
          <w:sz w:val="26"/>
          <w:szCs w:val="26"/>
          <w:rtl/>
        </w:rPr>
        <w:t>؛</w:t>
      </w:r>
    </w:p>
    <w:p w14:paraId="2FDA2B30" w14:textId="3BC5BD30" w:rsidR="00BD596A" w:rsidRDefault="00BD596A" w:rsidP="00DA207A">
      <w:pPr>
        <w:pStyle w:val="Heading2"/>
        <w:numPr>
          <w:ilvl w:val="1"/>
          <w:numId w:val="27"/>
        </w:numPr>
        <w:bidi/>
        <w:rPr>
          <w:sz w:val="26"/>
          <w:szCs w:val="26"/>
        </w:rPr>
      </w:pPr>
      <w:r>
        <w:rPr>
          <w:sz w:val="26"/>
          <w:szCs w:val="26"/>
          <w:rtl/>
        </w:rPr>
        <w:t>ضمان أنَّ المبالغ المدفوعة للبلد ي</w:t>
      </w:r>
      <w:r>
        <w:rPr>
          <w:rFonts w:hint="cs"/>
          <w:sz w:val="26"/>
          <w:szCs w:val="26"/>
          <w:rtl/>
        </w:rPr>
        <w:t>ُ</w:t>
      </w:r>
      <w:r>
        <w:rPr>
          <w:sz w:val="26"/>
          <w:szCs w:val="26"/>
          <w:rtl/>
        </w:rPr>
        <w:t>ستند فيها إلى استعمال المؤشرات؛</w:t>
      </w:r>
    </w:p>
    <w:p w14:paraId="5FB78B41" w14:textId="7933B69B" w:rsidR="00BD596A" w:rsidRDefault="00BD596A" w:rsidP="00DA207A">
      <w:pPr>
        <w:pStyle w:val="Heading2"/>
        <w:numPr>
          <w:ilvl w:val="1"/>
          <w:numId w:val="27"/>
        </w:numPr>
        <w:bidi/>
        <w:rPr>
          <w:sz w:val="26"/>
          <w:szCs w:val="26"/>
          <w:rtl/>
        </w:rPr>
      </w:pPr>
      <w:r>
        <w:rPr>
          <w:sz w:val="26"/>
          <w:szCs w:val="26"/>
          <w:rtl/>
        </w:rPr>
        <w:lastRenderedPageBreak/>
        <w:t>تقديم المساعدة فيما يتعلق بدعم السياسات العامة والدعم الإداري والتقني عند الطلب.</w:t>
      </w:r>
    </w:p>
    <w:p w14:paraId="1F662D02" w14:textId="18809448" w:rsidR="00BD596A" w:rsidRDefault="00BD596A" w:rsidP="00DA207A">
      <w:pPr>
        <w:pStyle w:val="Heading2"/>
        <w:numPr>
          <w:ilvl w:val="1"/>
          <w:numId w:val="27"/>
        </w:numPr>
        <w:bidi/>
        <w:rPr>
          <w:sz w:val="26"/>
          <w:szCs w:val="26"/>
        </w:rPr>
      </w:pPr>
      <w:r>
        <w:rPr>
          <w:rFonts w:hint="cs"/>
          <w:sz w:val="26"/>
          <w:szCs w:val="26"/>
          <w:rtl/>
        </w:rPr>
        <w:t>الإفراج الآني للأموال إلى البلد المشارك / المنشآت المشاركة لاستكمال الأنشطة المتصلة بالمشروع.</w:t>
      </w:r>
    </w:p>
    <w:p w14:paraId="2DD96AE3" w14:textId="77777777" w:rsidR="00BD596A" w:rsidRDefault="00BD596A" w:rsidP="00DA207A">
      <w:pPr>
        <w:pStyle w:val="Heading1"/>
        <w:numPr>
          <w:ilvl w:val="0"/>
          <w:numId w:val="27"/>
        </w:numPr>
        <w:tabs>
          <w:tab w:val="clear" w:pos="0"/>
          <w:tab w:val="num" w:pos="90"/>
        </w:tabs>
        <w:bidi/>
        <w:spacing w:after="280"/>
        <w:ind w:left="90"/>
        <w:rPr>
          <w:sz w:val="26"/>
          <w:szCs w:val="26"/>
          <w:rtl/>
        </w:rPr>
      </w:pPr>
      <w:r>
        <w:rPr>
          <w:sz w:val="26"/>
          <w:szCs w:val="26"/>
          <w:rtl/>
        </w:rPr>
        <w:t>بعد التشاور مع البلد وأخذ أي آراء يعرَب عنها بعين الاعتبار، ستقوم الوكالة المنفذة الرئيسية باختيار منظمة مستقلة وتكليفها بإجراء التحقق من نتائج خطة إدارة إزالة المواد الهيدروكلوروفلوروكربونية واستهلاك المواد المذكورة في التذييل 1-ألف، وفقا لما جاء بالفق</w:t>
      </w:r>
      <w:r>
        <w:rPr>
          <w:rFonts w:hint="cs"/>
          <w:sz w:val="26"/>
          <w:szCs w:val="26"/>
          <w:rtl/>
        </w:rPr>
        <w:t>ـ</w:t>
      </w:r>
      <w:r>
        <w:rPr>
          <w:sz w:val="26"/>
          <w:szCs w:val="26"/>
          <w:rtl/>
        </w:rPr>
        <w:t>رة الفرعي</w:t>
      </w:r>
      <w:r>
        <w:rPr>
          <w:rFonts w:hint="cs"/>
          <w:sz w:val="26"/>
          <w:szCs w:val="26"/>
          <w:rtl/>
        </w:rPr>
        <w:t>ـ</w:t>
      </w:r>
      <w:r>
        <w:rPr>
          <w:sz w:val="26"/>
          <w:szCs w:val="26"/>
          <w:rtl/>
        </w:rPr>
        <w:t>ة 5(ب) من الاتف</w:t>
      </w:r>
      <w:r>
        <w:rPr>
          <w:rFonts w:hint="cs"/>
          <w:sz w:val="26"/>
          <w:szCs w:val="26"/>
          <w:rtl/>
        </w:rPr>
        <w:t>ـ</w:t>
      </w:r>
      <w:r>
        <w:rPr>
          <w:sz w:val="26"/>
          <w:szCs w:val="26"/>
          <w:rtl/>
        </w:rPr>
        <w:t>اق والفقرة الفرعي</w:t>
      </w:r>
      <w:r>
        <w:rPr>
          <w:rFonts w:hint="cs"/>
          <w:sz w:val="26"/>
          <w:szCs w:val="26"/>
          <w:rtl/>
        </w:rPr>
        <w:t>ـ</w:t>
      </w:r>
      <w:r>
        <w:rPr>
          <w:sz w:val="26"/>
          <w:szCs w:val="26"/>
          <w:rtl/>
        </w:rPr>
        <w:t>ة 1(ب) من التذيي</w:t>
      </w:r>
      <w:r>
        <w:rPr>
          <w:rFonts w:hint="cs"/>
          <w:sz w:val="26"/>
          <w:szCs w:val="26"/>
          <w:rtl/>
        </w:rPr>
        <w:t>ـ</w:t>
      </w:r>
      <w:r>
        <w:rPr>
          <w:sz w:val="26"/>
          <w:szCs w:val="26"/>
          <w:rtl/>
        </w:rPr>
        <w:t>ل 4-ألف.</w:t>
      </w:r>
    </w:p>
    <w:p w14:paraId="08E6530C" w14:textId="77777777" w:rsidR="00BD596A" w:rsidRDefault="00BD596A" w:rsidP="00BD596A">
      <w:pPr>
        <w:bidi/>
        <w:jc w:val="left"/>
        <w:rPr>
          <w:rtl/>
          <w:lang w:val="en-CA" w:bidi="ar-EG"/>
        </w:rPr>
      </w:pPr>
    </w:p>
    <w:p w14:paraId="070C98E7" w14:textId="77777777" w:rsidR="00BD596A" w:rsidRDefault="00BD596A" w:rsidP="00BD596A">
      <w:pPr>
        <w:bidi/>
        <w:jc w:val="left"/>
        <w:rPr>
          <w:bCs/>
          <w:sz w:val="26"/>
          <w:szCs w:val="26"/>
          <w:rtl/>
          <w:lang w:val="en-CA" w:bidi="ar-EG"/>
        </w:rPr>
      </w:pPr>
      <w:r>
        <w:rPr>
          <w:bCs/>
          <w:sz w:val="26"/>
          <w:szCs w:val="26"/>
          <w:rtl/>
        </w:rPr>
        <w:t>التذييل 7- ألف: تخفيضات في التمويل بسبب عدم الامتثال</w:t>
      </w:r>
    </w:p>
    <w:p w14:paraId="09528979" w14:textId="77777777" w:rsidR="00BD596A" w:rsidRDefault="00BD596A" w:rsidP="00BD596A">
      <w:pPr>
        <w:bidi/>
        <w:rPr>
          <w:sz w:val="32"/>
          <w:szCs w:val="32"/>
        </w:rPr>
      </w:pPr>
    </w:p>
    <w:p w14:paraId="3E70993C" w14:textId="77777777" w:rsidR="00BD596A" w:rsidRDefault="00BD596A" w:rsidP="00BD596A">
      <w:pPr>
        <w:pStyle w:val="Heading1"/>
        <w:numPr>
          <w:ilvl w:val="0"/>
          <w:numId w:val="28"/>
        </w:numPr>
        <w:tabs>
          <w:tab w:val="clear" w:pos="0"/>
          <w:tab w:val="num" w:pos="90"/>
        </w:tabs>
        <w:bidi/>
        <w:ind w:left="90"/>
        <w:rPr>
          <w:sz w:val="26"/>
          <w:szCs w:val="26"/>
        </w:rPr>
      </w:pPr>
      <w:r>
        <w:rPr>
          <w:sz w:val="26"/>
          <w:szCs w:val="26"/>
          <w:rtl/>
        </w:rPr>
        <w:t xml:space="preserve">وفقا للفقرة 11 من هذا الاتفاق، يمكن تخفيض مبلغ التمويل المخصّص بمقدار </w:t>
      </w:r>
      <w:r>
        <w:rPr>
          <w:rFonts w:hint="cs"/>
          <w:sz w:val="26"/>
          <w:szCs w:val="26"/>
          <w:rtl/>
        </w:rPr>
        <w:t xml:space="preserve">180 </w:t>
      </w:r>
      <w:r>
        <w:rPr>
          <w:sz w:val="26"/>
          <w:szCs w:val="26"/>
          <w:rtl/>
        </w:rPr>
        <w:t>دولار</w:t>
      </w:r>
      <w:r>
        <w:rPr>
          <w:rFonts w:hint="cs"/>
          <w:sz w:val="26"/>
          <w:szCs w:val="26"/>
          <w:rtl/>
        </w:rPr>
        <w:t>ا</w:t>
      </w:r>
      <w:r>
        <w:rPr>
          <w:sz w:val="26"/>
          <w:szCs w:val="26"/>
          <w:rtl/>
        </w:rPr>
        <w:t xml:space="preserve"> أمريكي</w:t>
      </w:r>
      <w:r>
        <w:rPr>
          <w:rFonts w:hint="cs"/>
          <w:sz w:val="26"/>
          <w:szCs w:val="26"/>
          <w:rtl/>
        </w:rPr>
        <w:t>ا</w:t>
      </w:r>
      <w:r>
        <w:rPr>
          <w:sz w:val="26"/>
          <w:szCs w:val="26"/>
          <w:rtl/>
        </w:rPr>
        <w:t xml:space="preserve"> عن كلّ كيلوغرام </w:t>
      </w:r>
      <w:r>
        <w:rPr>
          <w:rFonts w:hint="cs"/>
          <w:sz w:val="26"/>
          <w:szCs w:val="26"/>
          <w:rtl/>
        </w:rPr>
        <w:t xml:space="preserve">من أطنان قدرات استنفاد الأوزون </w:t>
      </w:r>
      <w:r>
        <w:rPr>
          <w:sz w:val="26"/>
          <w:szCs w:val="26"/>
          <w:rtl/>
        </w:rPr>
        <w:t xml:space="preserve">من الاستهلاك الذي يتجاوز المستوى المحدد في </w:t>
      </w:r>
      <w:r>
        <w:rPr>
          <w:rFonts w:hint="cs"/>
          <w:sz w:val="26"/>
          <w:szCs w:val="26"/>
          <w:rtl/>
        </w:rPr>
        <w:t>الصف</w:t>
      </w:r>
      <w:r>
        <w:rPr>
          <w:sz w:val="26"/>
          <w:szCs w:val="26"/>
          <w:rtl/>
        </w:rPr>
        <w:t xml:space="preserve"> </w:t>
      </w:r>
      <w:r>
        <w:rPr>
          <w:rFonts w:hint="cs"/>
          <w:sz w:val="26"/>
          <w:szCs w:val="26"/>
          <w:rtl/>
        </w:rPr>
        <w:t>1</w:t>
      </w:r>
      <w:r>
        <w:rPr>
          <w:rFonts w:hint="cs"/>
          <w:sz w:val="26"/>
          <w:szCs w:val="26"/>
          <w:rtl/>
        </w:rPr>
        <w:noBreakHyphen/>
        <w:t xml:space="preserve">2 </w:t>
      </w:r>
      <w:r>
        <w:rPr>
          <w:sz w:val="26"/>
          <w:szCs w:val="26"/>
          <w:rtl/>
        </w:rPr>
        <w:t>من التذييل 2</w:t>
      </w:r>
      <w:r>
        <w:rPr>
          <w:rFonts w:hint="cs"/>
          <w:sz w:val="26"/>
          <w:szCs w:val="26"/>
          <w:rtl/>
        </w:rPr>
        <w:noBreakHyphen/>
      </w:r>
      <w:r>
        <w:rPr>
          <w:sz w:val="26"/>
          <w:szCs w:val="26"/>
          <w:rtl/>
        </w:rPr>
        <w:t>ألف لكل سنة لم يتحقق فيها الهدف المحدد في الصف</w:t>
      </w:r>
      <w:r>
        <w:rPr>
          <w:rFonts w:hint="cs"/>
          <w:sz w:val="26"/>
          <w:szCs w:val="26"/>
          <w:rtl/>
        </w:rPr>
        <w:t xml:space="preserve"> 1</w:t>
      </w:r>
      <w:r>
        <w:rPr>
          <w:rFonts w:hint="cs"/>
          <w:sz w:val="26"/>
          <w:szCs w:val="26"/>
          <w:rtl/>
        </w:rPr>
        <w:noBreakHyphen/>
        <w:t xml:space="preserve">2 </w:t>
      </w:r>
      <w:r>
        <w:rPr>
          <w:sz w:val="26"/>
          <w:szCs w:val="26"/>
          <w:rtl/>
        </w:rPr>
        <w:t>من التذييل 2-</w:t>
      </w:r>
      <w:r>
        <w:rPr>
          <w:rFonts w:hint="cs"/>
          <w:sz w:val="26"/>
          <w:szCs w:val="26"/>
          <w:rtl/>
        </w:rPr>
        <w:t xml:space="preserve"> </w:t>
      </w:r>
      <w:r>
        <w:rPr>
          <w:sz w:val="26"/>
          <w:szCs w:val="26"/>
          <w:rtl/>
        </w:rPr>
        <w:t>ألف</w:t>
      </w:r>
      <w:r>
        <w:rPr>
          <w:rFonts w:hint="cs"/>
          <w:sz w:val="26"/>
          <w:szCs w:val="26"/>
          <w:rtl/>
        </w:rPr>
        <w:t>، على أساس الفهم بأن الحد الأقصى من خفض التمويل لن يتجاوز مستوى تمويل الشريحة التي يتم طلبها. ويمكن النظر في تدابير إضافية في الحالات التي يمتد فيها عدم الامتثال لسنتين متعاقبتين.</w:t>
      </w:r>
    </w:p>
    <w:p w14:paraId="00B36812" w14:textId="77777777" w:rsidR="00BD596A" w:rsidRDefault="00BD596A" w:rsidP="00BD596A">
      <w:pPr>
        <w:pStyle w:val="Heading1"/>
        <w:numPr>
          <w:ilvl w:val="0"/>
          <w:numId w:val="28"/>
        </w:numPr>
        <w:tabs>
          <w:tab w:val="clear" w:pos="0"/>
          <w:tab w:val="num" w:pos="90"/>
        </w:tabs>
        <w:bidi/>
        <w:ind w:left="90"/>
        <w:rPr>
          <w:sz w:val="26"/>
          <w:szCs w:val="26"/>
        </w:rPr>
      </w:pPr>
      <w:r>
        <w:rPr>
          <w:rFonts w:hint="cs"/>
          <w:sz w:val="26"/>
          <w:szCs w:val="26"/>
          <w:rtl/>
        </w:rPr>
        <w:t>وفي حالة وجود تطبيق الجزاء لسنة يوجد فيها اتفاقين ساريان (مرحلتين من خطة إدارة إزالة المواد الهيدروكلوروفلوروكربونية يتم تنفيذهما بالتوازي) مع مستويات جزاء مختلفة، فإن تطبيق الجزاء سيتقرر على أساس كل حالة على حدة مع مراعاة القطاعات المحددة التي تؤدي إلى عدم الامتثال. وإذا لم يكن من الممكن تقرير قطاع ما، أو إذا كانت كلتا المرحلتين يعالجان نفس القطاع، فإن مستوى الجزاء المطبق سيكون الأكبر.</w:t>
      </w:r>
    </w:p>
    <w:p w14:paraId="49B71D88" w14:textId="77777777" w:rsidR="00CF24C1" w:rsidRDefault="00CF24C1" w:rsidP="00CF24C1">
      <w:pPr>
        <w:rPr>
          <w:rtl/>
          <w:lang w:val="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9"/>
        <w:gridCol w:w="1560"/>
        <w:gridCol w:w="1560"/>
        <w:gridCol w:w="1560"/>
        <w:gridCol w:w="1560"/>
        <w:gridCol w:w="1561"/>
      </w:tblGrid>
      <w:tr w:rsidR="00BD596A" w14:paraId="66375E33" w14:textId="77777777" w:rsidTr="00BD596A">
        <w:tc>
          <w:tcPr>
            <w:tcW w:w="1559" w:type="dxa"/>
          </w:tcPr>
          <w:p w14:paraId="10F4CF90" w14:textId="77777777" w:rsidR="00BD596A" w:rsidRDefault="00BD596A" w:rsidP="009B1FC6">
            <w:pPr>
              <w:rPr>
                <w:lang w:val="en-CA"/>
              </w:rPr>
            </w:pPr>
          </w:p>
        </w:tc>
        <w:tc>
          <w:tcPr>
            <w:tcW w:w="1560" w:type="dxa"/>
          </w:tcPr>
          <w:p w14:paraId="1ACB8308" w14:textId="77777777" w:rsidR="00BD596A" w:rsidRDefault="00BD596A" w:rsidP="009B1FC6">
            <w:pPr>
              <w:rPr>
                <w:lang w:val="en-CA"/>
              </w:rPr>
            </w:pPr>
          </w:p>
        </w:tc>
        <w:tc>
          <w:tcPr>
            <w:tcW w:w="1560" w:type="dxa"/>
          </w:tcPr>
          <w:p w14:paraId="4F918AC2" w14:textId="77777777" w:rsidR="00BD596A" w:rsidRDefault="00BD596A" w:rsidP="009B1FC6">
            <w:pPr>
              <w:rPr>
                <w:b/>
                <w:bCs/>
                <w:lang w:val="en-CA"/>
              </w:rPr>
            </w:pPr>
          </w:p>
        </w:tc>
        <w:tc>
          <w:tcPr>
            <w:tcW w:w="1560" w:type="dxa"/>
            <w:tcBorders>
              <w:bottom w:val="single" w:sz="4" w:space="0" w:color="auto"/>
            </w:tcBorders>
          </w:tcPr>
          <w:p w14:paraId="0C6E9AD5" w14:textId="2D8B2EDC" w:rsidR="00BD596A" w:rsidRDefault="00BD596A" w:rsidP="009B1FC6">
            <w:pPr>
              <w:rPr>
                <w:b/>
                <w:bCs/>
                <w:lang w:val="en-CA"/>
              </w:rPr>
            </w:pPr>
          </w:p>
        </w:tc>
        <w:tc>
          <w:tcPr>
            <w:tcW w:w="1560" w:type="dxa"/>
          </w:tcPr>
          <w:p w14:paraId="0A369774" w14:textId="77777777" w:rsidR="00BD596A" w:rsidRDefault="00BD596A" w:rsidP="009B1FC6">
            <w:pPr>
              <w:rPr>
                <w:lang w:val="en-CA"/>
              </w:rPr>
            </w:pPr>
          </w:p>
        </w:tc>
        <w:tc>
          <w:tcPr>
            <w:tcW w:w="1561" w:type="dxa"/>
          </w:tcPr>
          <w:p w14:paraId="6B5CE7D9" w14:textId="77777777" w:rsidR="00BD596A" w:rsidRDefault="00BD596A" w:rsidP="009B1FC6">
            <w:pPr>
              <w:rPr>
                <w:lang w:val="en-CA"/>
              </w:rPr>
            </w:pPr>
          </w:p>
        </w:tc>
      </w:tr>
    </w:tbl>
    <w:p w14:paraId="4A03EBA5" w14:textId="1E137DBE" w:rsidR="00245558" w:rsidRPr="00245558" w:rsidRDefault="00245558" w:rsidP="00245558">
      <w:pPr>
        <w:sectPr w:rsidR="00245558" w:rsidRPr="00245558" w:rsidSect="00BD596A">
          <w:headerReference w:type="even" r:id="rId15"/>
          <w:headerReference w:type="default" r:id="rId16"/>
          <w:footerReference w:type="default" r:id="rId17"/>
          <w:headerReference w:type="first" r:id="rId18"/>
          <w:footerReference w:type="first" r:id="rId19"/>
          <w:pgSz w:w="12240" w:h="15840" w:code="1"/>
          <w:pgMar w:top="850" w:right="1440" w:bottom="1440" w:left="1440" w:header="720" w:footer="706" w:gutter="0"/>
          <w:pgNumType w:start="1"/>
          <w:cols w:space="720"/>
          <w:titlePg/>
        </w:sectPr>
      </w:pPr>
    </w:p>
    <w:p w14:paraId="10B8BFF3" w14:textId="77777777" w:rsidR="007E5D09" w:rsidRPr="00074A8D" w:rsidRDefault="007E5D09">
      <w:pPr>
        <w:rPr>
          <w:rtl/>
        </w:rPr>
      </w:pPr>
    </w:p>
    <w:sectPr w:rsidR="007E5D09" w:rsidRPr="00074A8D">
      <w:headerReference w:type="even" r:id="rId20"/>
      <w:headerReference w:type="default" r:id="rId21"/>
      <w:footerReference w:type="even" r:id="rId22"/>
      <w:footerReference w:type="default" r:id="rId23"/>
      <w:headerReference w:type="first" r:id="rId24"/>
      <w:footerReference w:type="first" r:id="rId25"/>
      <w:pgSz w:w="12240" w:h="15840" w:code="1"/>
      <w:pgMar w:top="720" w:right="1440" w:bottom="864" w:left="1440"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4E7222" w14:textId="77777777" w:rsidR="00ED0FD5" w:rsidRDefault="00ED0FD5">
      <w:r>
        <w:separator/>
      </w:r>
    </w:p>
  </w:endnote>
  <w:endnote w:type="continuationSeparator" w:id="0">
    <w:p w14:paraId="346ED3AA" w14:textId="77777777" w:rsidR="00ED0FD5" w:rsidRDefault="00ED0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abic Transparent">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altName w:val="Dubai Medium"/>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Akhbar MT">
    <w:panose1 w:val="0000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C2D900" w14:textId="27109BD1" w:rsidR="007817AE" w:rsidRDefault="007817AE">
    <w:pPr>
      <w:pStyle w:val="Footer"/>
      <w:jc w:val="center"/>
    </w:pPr>
    <w:r>
      <w:rPr>
        <w:rStyle w:val="PageNumber"/>
      </w:rPr>
      <w:fldChar w:fldCharType="begin"/>
    </w:r>
    <w:r>
      <w:rPr>
        <w:rStyle w:val="PageNumber"/>
      </w:rPr>
      <w:instrText xml:space="preserve"> PAGE </w:instrText>
    </w:r>
    <w:r>
      <w:rPr>
        <w:rStyle w:val="PageNumber"/>
      </w:rPr>
      <w:fldChar w:fldCharType="separate"/>
    </w:r>
    <w:r w:rsidR="006D5D5F">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1141DA" w14:textId="2D83A5A7" w:rsidR="007817AE" w:rsidRDefault="007817AE">
    <w:pPr>
      <w:jc w:val="center"/>
    </w:pPr>
    <w:r>
      <w:rPr>
        <w:rStyle w:val="PageNumber"/>
      </w:rPr>
      <w:fldChar w:fldCharType="begin"/>
    </w:r>
    <w:r>
      <w:rPr>
        <w:rStyle w:val="PageNumber"/>
      </w:rPr>
      <w:instrText xml:space="preserve"> PAGE </w:instrText>
    </w:r>
    <w:r>
      <w:rPr>
        <w:rStyle w:val="PageNumber"/>
      </w:rPr>
      <w:fldChar w:fldCharType="separate"/>
    </w:r>
    <w:r w:rsidR="006D5D5F">
      <w:rPr>
        <w:rStyle w:val="PageNumber"/>
        <w:noProof/>
      </w:rPr>
      <w:t>11</w:t>
    </w:r>
    <w:r>
      <w:rPr>
        <w:rStyle w:val="PageNumber"/>
      </w:rPr>
      <w:fldChar w:fldCharType="end"/>
    </w:r>
  </w:p>
  <w:p w14:paraId="2517F06F" w14:textId="77777777" w:rsidR="007817AE" w:rsidRDefault="007817AE"/>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6CC8C6" w14:textId="77777777" w:rsidR="007817AE" w:rsidRDefault="007817AE">
    <w:pPr>
      <w:pBdr>
        <w:top w:val="single" w:sz="4" w:space="1" w:color="auto"/>
        <w:left w:val="single" w:sz="4" w:space="0" w:color="auto"/>
        <w:bottom w:val="single" w:sz="4" w:space="1" w:color="auto"/>
        <w:right w:val="single" w:sz="4" w:space="0" w:color="auto"/>
      </w:pBdr>
      <w:bidi/>
      <w:jc w:val="center"/>
      <w:rPr>
        <w:rFonts w:cs="Arabic Transparent"/>
        <w:rtl/>
      </w:rPr>
    </w:pPr>
    <w:r>
      <w:rPr>
        <w:rFonts w:cs="Arabic Transparent" w:hint="cs"/>
        <w:rtl/>
      </w:rPr>
      <w:t>إن وثائق ما قبل دورات اللجنة التنفيذية للصندوق المتعدد الأطراف لتنفيذ بروتوكول مونتريال</w:t>
    </w:r>
    <w:r>
      <w:rPr>
        <w:rFonts w:cs="Arabic Transparent"/>
      </w:rPr>
      <w:t xml:space="preserve"> </w:t>
    </w:r>
  </w:p>
  <w:p w14:paraId="205F0F46" w14:textId="77777777" w:rsidR="007817AE" w:rsidRDefault="007817AE">
    <w:pPr>
      <w:pBdr>
        <w:top w:val="single" w:sz="4" w:space="1" w:color="auto"/>
        <w:left w:val="single" w:sz="4" w:space="0" w:color="auto"/>
        <w:bottom w:val="single" w:sz="4" w:space="1" w:color="auto"/>
        <w:right w:val="single" w:sz="4" w:space="0" w:color="auto"/>
      </w:pBdr>
      <w:bidi/>
      <w:jc w:val="center"/>
      <w:rPr>
        <w:rFonts w:cs="Arabic Transparent"/>
      </w:rPr>
    </w:pPr>
    <w:r>
      <w:rPr>
        <w:rFonts w:cs="Arabic Transparent" w:hint="cs"/>
        <w:rtl/>
      </w:rPr>
      <w:t>قد تصدر دون إخلال بأي قرار تتخذه اللجنة التنفيذية بعد صدورها.</w:t>
    </w:r>
    <w:r>
      <w:rPr>
        <w:rFonts w:cs="Arabic Transparent"/>
      </w:rPr>
      <w:t xml:space="preserve"> </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FCF2FC" w14:textId="6ECFA941" w:rsidR="00BD596A" w:rsidRDefault="00BD596A">
    <w:pPr>
      <w:jc w:val="center"/>
    </w:pPr>
    <w:r>
      <w:rPr>
        <w:rStyle w:val="PageNumber"/>
      </w:rPr>
      <w:fldChar w:fldCharType="begin"/>
    </w:r>
    <w:r>
      <w:rPr>
        <w:rStyle w:val="PageNumber"/>
      </w:rPr>
      <w:instrText xml:space="preserve"> PAGE </w:instrText>
    </w:r>
    <w:r>
      <w:rPr>
        <w:rStyle w:val="PageNumber"/>
      </w:rPr>
      <w:fldChar w:fldCharType="separate"/>
    </w:r>
    <w:r w:rsidR="006D5D5F">
      <w:rPr>
        <w:rStyle w:val="PageNumber"/>
        <w:noProof/>
      </w:rPr>
      <w:t>7</w:t>
    </w:r>
    <w:r>
      <w:rPr>
        <w:rStyle w:val="PageNumber"/>
      </w:rPr>
      <w:fldChar w:fldCharType="end"/>
    </w:r>
  </w:p>
  <w:p w14:paraId="5D026D4F" w14:textId="77777777" w:rsidR="00BD596A" w:rsidRDefault="00BD596A"/>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5430003"/>
      <w:docPartObj>
        <w:docPartGallery w:val="Page Numbers (Bottom of Page)"/>
        <w:docPartUnique/>
      </w:docPartObj>
    </w:sdtPr>
    <w:sdtEndPr>
      <w:rPr>
        <w:noProof/>
      </w:rPr>
    </w:sdtEndPr>
    <w:sdtContent>
      <w:p w14:paraId="70C3F280" w14:textId="29E65515" w:rsidR="00BD596A" w:rsidRDefault="00BD596A">
        <w:pPr>
          <w:pStyle w:val="Footer"/>
          <w:jc w:val="center"/>
        </w:pPr>
        <w:r>
          <w:fldChar w:fldCharType="begin"/>
        </w:r>
        <w:r>
          <w:instrText xml:space="preserve"> PAGE   \* MERGEFORMAT </w:instrText>
        </w:r>
        <w:r>
          <w:fldChar w:fldCharType="separate"/>
        </w:r>
        <w:r w:rsidR="006D5D5F">
          <w:rPr>
            <w:noProof/>
          </w:rPr>
          <w:t>1</w:t>
        </w:r>
        <w:r>
          <w:rPr>
            <w:noProof/>
          </w:rPr>
          <w:fldChar w:fldCharType="end"/>
        </w:r>
      </w:p>
    </w:sdtContent>
  </w:sdt>
  <w:p w14:paraId="02DB9500" w14:textId="610AA760" w:rsidR="00BD596A" w:rsidRPr="00BD596A" w:rsidRDefault="00BD596A" w:rsidP="00BD596A">
    <w:pPr>
      <w:pStyle w:val="Foote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93E7FC" w14:textId="77777777" w:rsidR="007817AE" w:rsidRDefault="007817AE">
    <w:pPr>
      <w:jc w:val="center"/>
    </w:pPr>
    <w:r>
      <w:fldChar w:fldCharType="begin"/>
    </w:r>
    <w:r>
      <w:instrText xml:space="preserve"> PAGE </w:instrText>
    </w:r>
    <w:r>
      <w:fldChar w:fldCharType="separate"/>
    </w:r>
    <w:r>
      <w:rPr>
        <w:noProof/>
      </w:rPr>
      <w:t>2</w:t>
    </w:r>
    <w:r>
      <w:rPr>
        <w:noProof/>
      </w:rPr>
      <w:fldChar w:fldCharType="end"/>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B4986E" w14:textId="77777777" w:rsidR="007817AE" w:rsidRDefault="007817AE">
    <w:pPr>
      <w:jc w:val="center"/>
    </w:pPr>
    <w:r>
      <w:fldChar w:fldCharType="begin"/>
    </w:r>
    <w:r>
      <w:instrText xml:space="preserve"> PAGE </w:instrText>
    </w:r>
    <w:r>
      <w:fldChar w:fldCharType="separate"/>
    </w:r>
    <w:r>
      <w:rPr>
        <w:noProof/>
      </w:rPr>
      <w:t>3</w:t>
    </w:r>
    <w:r>
      <w:rPr>
        <w:noProof/>
      </w:rPr>
      <w:fldChar w:fldCharType="end"/>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8752022"/>
      <w:docPartObj>
        <w:docPartGallery w:val="Page Numbers (Bottom of Page)"/>
        <w:docPartUnique/>
      </w:docPartObj>
    </w:sdtPr>
    <w:sdtEndPr>
      <w:rPr>
        <w:noProof/>
      </w:rPr>
    </w:sdtEndPr>
    <w:sdtContent>
      <w:p w14:paraId="6C8BD31F" w14:textId="496BB0F9" w:rsidR="007817AE" w:rsidRDefault="007817AE">
        <w:pPr>
          <w:pStyle w:val="Footer"/>
          <w:jc w:val="center"/>
        </w:pPr>
        <w:r>
          <w:fldChar w:fldCharType="begin"/>
        </w:r>
        <w:r>
          <w:instrText xml:space="preserve"> PAGE   \* MERGEFORMAT </w:instrText>
        </w:r>
        <w:r>
          <w:fldChar w:fldCharType="separate"/>
        </w:r>
        <w:r w:rsidR="006D5D5F">
          <w:rPr>
            <w:noProof/>
          </w:rPr>
          <w:t>1</w:t>
        </w:r>
        <w:r>
          <w:rPr>
            <w:noProof/>
          </w:rPr>
          <w:fldChar w:fldCharType="end"/>
        </w:r>
      </w:p>
    </w:sdtContent>
  </w:sdt>
  <w:p w14:paraId="4B2F4B57" w14:textId="77777777" w:rsidR="007817AE" w:rsidRDefault="007817A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819662" w14:textId="77777777" w:rsidR="00ED0FD5" w:rsidRDefault="00ED0FD5">
      <w:r>
        <w:separator/>
      </w:r>
    </w:p>
  </w:footnote>
  <w:footnote w:type="continuationSeparator" w:id="0">
    <w:p w14:paraId="47629740" w14:textId="77777777" w:rsidR="00ED0FD5" w:rsidRDefault="00ED0FD5">
      <w:r>
        <w:continuationSeparator/>
      </w:r>
    </w:p>
  </w:footnote>
  <w:footnote w:id="1">
    <w:p w14:paraId="2A72FF09" w14:textId="77777777" w:rsidR="007817AE" w:rsidRPr="00C0337B" w:rsidRDefault="007817AE" w:rsidP="00983FD1">
      <w:pPr>
        <w:pStyle w:val="FootnoteText"/>
        <w:bidi/>
        <w:jc w:val="left"/>
        <w:rPr>
          <w:rtl/>
          <w:lang w:val="en-US" w:bidi="ar-SY"/>
        </w:rPr>
      </w:pPr>
      <w:r>
        <w:rPr>
          <w:rStyle w:val="FootnoteReference"/>
        </w:rPr>
        <w:footnoteRef/>
      </w:r>
      <w:r>
        <w:rPr>
          <w:lang w:val="en-US" w:bidi="ar-BH"/>
        </w:rPr>
        <w:t xml:space="preserve"> </w:t>
      </w:r>
      <w:r>
        <w:rPr>
          <w:rFonts w:hint="cs"/>
          <w:rtl/>
          <w:lang w:val="en-US" w:bidi="ar-SY"/>
        </w:rPr>
        <w:t xml:space="preserve"> </w:t>
      </w:r>
      <w:r>
        <w:rPr>
          <w:rFonts w:hint="cs"/>
          <w:rtl/>
          <w:lang w:val="en-US" w:bidi="ar-BH"/>
        </w:rPr>
        <w:t xml:space="preserve">ستعقد اجتماعات عبر الانترنت وعملية الموافقة فيما بين الدورات </w:t>
      </w:r>
      <w:r>
        <w:rPr>
          <w:rFonts w:hint="cs"/>
          <w:rtl/>
          <w:lang w:val="en-US" w:bidi="ar-SA"/>
        </w:rPr>
        <w:t>في يونيه/ حزيران ويوليه/ تموز 2021 بسبب فيروس كورونا (كوفيد-19)</w:t>
      </w:r>
    </w:p>
  </w:footnote>
  <w:footnote w:id="2">
    <w:p w14:paraId="003F8891" w14:textId="66B9EB0C" w:rsidR="007817AE" w:rsidRDefault="007817AE" w:rsidP="0012233F">
      <w:pPr>
        <w:pStyle w:val="FootnoteText"/>
        <w:bidi/>
        <w:rPr>
          <w:rtl/>
          <w:lang w:bidi="ar-EG"/>
        </w:rPr>
      </w:pPr>
      <w:r>
        <w:rPr>
          <w:rStyle w:val="FootnoteReference"/>
        </w:rPr>
        <w:footnoteRef/>
      </w:r>
      <w:r>
        <w:rPr>
          <w:rFonts w:hint="cs"/>
          <w:sz w:val="18"/>
          <w:szCs w:val="18"/>
          <w:rtl/>
          <w:lang w:val="en-CA"/>
        </w:rPr>
        <w:t xml:space="preserve"> حسب رسالة مؤرخة في 8 آذار/مارس 2021 من هيئة خدمات الأرصاد في ليسوتو إلى الأمانة.</w:t>
      </w:r>
    </w:p>
  </w:footnote>
  <w:footnote w:id="3">
    <w:p w14:paraId="2F5C9483" w14:textId="743D5522" w:rsidR="007817AE" w:rsidRDefault="007817AE" w:rsidP="00C05C9C">
      <w:pPr>
        <w:pStyle w:val="FootnoteText"/>
        <w:bidi/>
        <w:rPr>
          <w:rtl/>
          <w:lang w:bidi="ar-EG"/>
        </w:rPr>
      </w:pPr>
      <w:r>
        <w:rPr>
          <w:rStyle w:val="FootnoteReference"/>
        </w:rPr>
        <w:footnoteRef/>
      </w:r>
      <w:r>
        <w:rPr>
          <w:rFonts w:hint="cs"/>
          <w:sz w:val="18"/>
          <w:szCs w:val="18"/>
          <w:rtl/>
          <w:lang w:val="en-CA"/>
        </w:rPr>
        <w:t xml:space="preserve"> </w:t>
      </w:r>
      <w:r w:rsidRPr="00DB6950">
        <w:rPr>
          <w:lang w:val="en-CA"/>
        </w:rPr>
        <w:t>UNEP/OzL.Pro/ExCom</w:t>
      </w:r>
      <w:r w:rsidRPr="00936E4A">
        <w:rPr>
          <w:lang w:val="en-CA"/>
        </w:rPr>
        <w:t>/64/53</w:t>
      </w:r>
      <w:r>
        <w:rPr>
          <w:rFonts w:hint="cs"/>
          <w:sz w:val="18"/>
          <w:szCs w:val="18"/>
          <w:rtl/>
          <w:lang w:val="en-CA"/>
        </w:rPr>
        <w:t>.</w:t>
      </w:r>
    </w:p>
  </w:footnote>
  <w:footnote w:id="4">
    <w:p w14:paraId="26D824DD" w14:textId="29B76B60" w:rsidR="007817AE" w:rsidRDefault="007817AE" w:rsidP="00C05C9C">
      <w:pPr>
        <w:pStyle w:val="FootnoteText"/>
        <w:bidi/>
        <w:rPr>
          <w:rtl/>
          <w:lang w:bidi="ar-EG"/>
        </w:rPr>
      </w:pPr>
      <w:r>
        <w:rPr>
          <w:rStyle w:val="FootnoteReference"/>
        </w:rPr>
        <w:footnoteRef/>
      </w:r>
      <w:r>
        <w:rPr>
          <w:rFonts w:hint="cs"/>
          <w:sz w:val="18"/>
          <w:szCs w:val="18"/>
          <w:rtl/>
          <w:lang w:val="en-CA"/>
        </w:rPr>
        <w:t xml:space="preserve"> </w:t>
      </w:r>
      <w:r>
        <w:rPr>
          <w:rFonts w:hint="cs"/>
          <w:rtl/>
          <w:lang w:val="en-CA"/>
        </w:rPr>
        <w:t xml:space="preserve">المرفق 12 من الوثيقة </w:t>
      </w:r>
      <w:r w:rsidRPr="00936E4A">
        <w:t>UNEP/OzL.Pro/ExCom/73/62</w:t>
      </w:r>
      <w:r>
        <w:rPr>
          <w:rFonts w:hint="cs"/>
          <w:sz w:val="18"/>
          <w:szCs w:val="18"/>
          <w:rtl/>
          <w:lang w:val="en-CA"/>
        </w:rPr>
        <w:t xml:space="preserve">. </w:t>
      </w:r>
    </w:p>
  </w:footnote>
  <w:footnote w:id="5">
    <w:p w14:paraId="1D4E9260" w14:textId="54774261" w:rsidR="007817AE" w:rsidRPr="00C73D87" w:rsidRDefault="007817AE" w:rsidP="00C05C9C">
      <w:pPr>
        <w:pStyle w:val="FootnoteText"/>
        <w:bidi/>
        <w:rPr>
          <w:rtl/>
          <w:lang w:val="en-US" w:bidi="ar-EG"/>
        </w:rPr>
      </w:pPr>
      <w:r>
        <w:rPr>
          <w:rStyle w:val="FootnoteReference"/>
        </w:rPr>
        <w:footnoteRef/>
      </w:r>
      <w:r>
        <w:rPr>
          <w:rFonts w:hint="cs"/>
          <w:sz w:val="18"/>
          <w:szCs w:val="18"/>
          <w:rtl/>
          <w:lang w:val="en-CA"/>
        </w:rPr>
        <w:t xml:space="preserve"> </w:t>
      </w:r>
      <w:r>
        <w:rPr>
          <w:rFonts w:hint="cs"/>
          <w:rtl/>
          <w:lang w:val="en-CA"/>
        </w:rPr>
        <w:t xml:space="preserve">المرفق 25 من الوثيقة </w:t>
      </w:r>
      <w:r w:rsidRPr="00DB6950">
        <w:rPr>
          <w:lang w:val="en-CA"/>
        </w:rPr>
        <w:t>UNEP/OzL.Pro/ExCom/</w:t>
      </w:r>
      <w:r>
        <w:rPr>
          <w:lang w:val="en-CA"/>
        </w:rPr>
        <w:t>80/59</w:t>
      </w:r>
      <w:r>
        <w:rPr>
          <w:rFonts w:hint="cs"/>
          <w:sz w:val="18"/>
          <w:szCs w:val="18"/>
          <w:rtl/>
          <w:lang w:val="en-CA"/>
        </w:rPr>
        <w:t xml:space="preserve">. في الاجتماع الثمانين تمت إعادة النظر في نقطة البداية من </w:t>
      </w:r>
      <w:r>
        <w:rPr>
          <w:sz w:val="18"/>
          <w:szCs w:val="18"/>
          <w:lang w:val="en-US"/>
        </w:rPr>
        <w:t>3.50</w:t>
      </w:r>
      <w:r>
        <w:rPr>
          <w:rFonts w:hint="cs"/>
          <w:sz w:val="18"/>
          <w:szCs w:val="18"/>
          <w:rtl/>
          <w:lang w:val="en-US" w:bidi="ar-EG"/>
        </w:rPr>
        <w:t xml:space="preserve"> طن من قدرات استنفاد الأوزون إلى </w:t>
      </w:r>
      <w:r>
        <w:rPr>
          <w:sz w:val="18"/>
          <w:szCs w:val="18"/>
          <w:lang w:val="en-US" w:bidi="ar-EG"/>
        </w:rPr>
        <w:t>1.54</w:t>
      </w:r>
      <w:r>
        <w:rPr>
          <w:rFonts w:hint="cs"/>
          <w:sz w:val="18"/>
          <w:szCs w:val="18"/>
          <w:rtl/>
          <w:lang w:val="en-US" w:bidi="ar-EG"/>
        </w:rPr>
        <w:t xml:space="preserve"> طن. ومن المفروض أن يكون مستوى التمويل المتعلق بالمرحلة الأولى </w:t>
      </w:r>
      <w:r>
        <w:rPr>
          <w:sz w:val="18"/>
          <w:szCs w:val="18"/>
          <w:lang w:val="en-US" w:bidi="ar-EG"/>
        </w:rPr>
        <w:t>210,000</w:t>
      </w:r>
      <w:r>
        <w:rPr>
          <w:rFonts w:hint="cs"/>
          <w:sz w:val="18"/>
          <w:szCs w:val="18"/>
          <w:rtl/>
          <w:lang w:val="en-US" w:bidi="ar-EG"/>
        </w:rPr>
        <w:t xml:space="preserve"> دولار أمريكي؛ وسيتم تعديل التمويل في المرحلة الثانية من الخطة.</w:t>
      </w:r>
    </w:p>
  </w:footnote>
  <w:footnote w:id="6">
    <w:p w14:paraId="7F249FDE" w14:textId="6400BD93" w:rsidR="007817AE" w:rsidRDefault="007817AE" w:rsidP="009B4182">
      <w:pPr>
        <w:pStyle w:val="FootnoteText"/>
        <w:bidi/>
        <w:rPr>
          <w:rtl/>
          <w:lang w:bidi="ar-EG"/>
        </w:rPr>
      </w:pPr>
      <w:r>
        <w:rPr>
          <w:rStyle w:val="FootnoteReference"/>
        </w:rPr>
        <w:footnoteRef/>
      </w:r>
      <w:r>
        <w:rPr>
          <w:rFonts w:hint="cs"/>
          <w:sz w:val="18"/>
          <w:szCs w:val="18"/>
          <w:rtl/>
          <w:lang w:val="en-CA"/>
        </w:rPr>
        <w:t xml:space="preserve"> مضخات فراغية وأجهزة قياس، وأجهزة قياس متشعبة وموازين رقمية، وأجهزة قياس مترية، وأجهزة كشف التسرب وحوافظ كاملة للحام وأسطوانات نيتروجين ومنظمات وهي بعض الأدوات التي طلبتها المؤسسات.</w:t>
      </w:r>
    </w:p>
  </w:footnote>
  <w:footnote w:id="7">
    <w:p w14:paraId="5312AE02" w14:textId="73DCC852" w:rsidR="007817AE" w:rsidRDefault="007817AE" w:rsidP="009B4182">
      <w:pPr>
        <w:pStyle w:val="FootnoteText"/>
        <w:bidi/>
        <w:rPr>
          <w:rtl/>
          <w:lang w:bidi="ar-EG"/>
        </w:rPr>
      </w:pPr>
      <w:r>
        <w:rPr>
          <w:rStyle w:val="FootnoteReference"/>
        </w:rPr>
        <w:footnoteRef/>
      </w:r>
      <w:r>
        <w:rPr>
          <w:rFonts w:hint="cs"/>
          <w:sz w:val="18"/>
          <w:szCs w:val="18"/>
          <w:rtl/>
          <w:lang w:val="en-CA"/>
        </w:rPr>
        <w:t xml:space="preserve"> عندما تعتمد مدارس التأهيل المهني برنامج الدراسة سيتخرج فنيو التبريد وتكييف الهواء المقبلون وهم مزودو بمهارات مناسبة ومعرفة ويتم اعتمادهم.</w:t>
      </w:r>
    </w:p>
  </w:footnote>
  <w:footnote w:id="8">
    <w:p w14:paraId="3EA2C18E" w14:textId="1A6C5640" w:rsidR="007817AE" w:rsidRPr="00312470" w:rsidRDefault="007817AE" w:rsidP="002E3C27">
      <w:pPr>
        <w:pStyle w:val="FootnoteText"/>
        <w:bidi/>
        <w:rPr>
          <w:rtl/>
          <w:lang w:val="en-US" w:bidi="ar-EG"/>
        </w:rPr>
      </w:pPr>
      <w:r>
        <w:rPr>
          <w:rStyle w:val="FootnoteReference"/>
        </w:rPr>
        <w:footnoteRef/>
      </w:r>
      <w:r>
        <w:rPr>
          <w:rFonts w:hint="cs"/>
          <w:sz w:val="18"/>
          <w:szCs w:val="18"/>
          <w:rtl/>
          <w:lang w:val="en-CA"/>
        </w:rPr>
        <w:t xml:space="preserve"> أشار مقترح المشروع إلى أن البلد يعي تماما أن إعادة التهيئة أو الإسقاط بالمواد الهيدروكربونية أو أي غازات تبريد طبيعية لا يوصى به ولا يشجع عليه وأن كل المسؤولية ستقع على عاتق البلد.</w:t>
      </w:r>
    </w:p>
  </w:footnote>
  <w:footnote w:id="9">
    <w:p w14:paraId="1E628CDF" w14:textId="1E6A6096" w:rsidR="007817AE" w:rsidRPr="00312470" w:rsidRDefault="007817AE" w:rsidP="00312470">
      <w:pPr>
        <w:pStyle w:val="FootnoteText"/>
        <w:bidi/>
        <w:rPr>
          <w:rtl/>
          <w:lang w:val="en-US" w:bidi="ar-EG"/>
        </w:rPr>
      </w:pPr>
      <w:r>
        <w:rPr>
          <w:rStyle w:val="FootnoteReference"/>
        </w:rPr>
        <w:footnoteRef/>
      </w:r>
      <w:r>
        <w:rPr>
          <w:rFonts w:hint="cs"/>
          <w:sz w:val="18"/>
          <w:szCs w:val="18"/>
          <w:rtl/>
          <w:lang w:val="en-CA"/>
        </w:rPr>
        <w:t xml:space="preserve"> المقرر </w:t>
      </w:r>
      <w:r>
        <w:rPr>
          <w:sz w:val="18"/>
          <w:szCs w:val="18"/>
          <w:lang w:val="en-US"/>
        </w:rPr>
        <w:t>92/84</w:t>
      </w:r>
      <w:r>
        <w:rPr>
          <w:rFonts w:hint="cs"/>
          <w:sz w:val="18"/>
          <w:szCs w:val="18"/>
          <w:rtl/>
          <w:lang w:val="en-US" w:bidi="ar-EG"/>
        </w:rPr>
        <w:t xml:space="preserve"> (د) طالب الوكالات الثنائية والمنفذة أن تطبق سياسة عملية بشأن إدماج البعد الجنساني في كل دورة المشروع.</w:t>
      </w:r>
    </w:p>
  </w:footnote>
  <w:footnote w:id="10">
    <w:p w14:paraId="1E30252B" w14:textId="1B48B22B" w:rsidR="007817AE" w:rsidRPr="00E9091B" w:rsidRDefault="007817AE" w:rsidP="002E3C27">
      <w:pPr>
        <w:pStyle w:val="FootnoteText"/>
        <w:bidi/>
        <w:rPr>
          <w:lang w:val="en-US" w:bidi="ar-EG"/>
        </w:rPr>
      </w:pPr>
      <w:r>
        <w:rPr>
          <w:rStyle w:val="FootnoteReference"/>
        </w:rPr>
        <w:footnoteRef/>
      </w:r>
      <w:r>
        <w:rPr>
          <w:rFonts w:hint="cs"/>
          <w:sz w:val="18"/>
          <w:szCs w:val="18"/>
          <w:rtl/>
          <w:lang w:val="en-CA"/>
        </w:rPr>
        <w:t xml:space="preserve"> يمكن أن يتخطى استهلاك المواد الهيدروكلوروفلوروكربونية الصفر في أي سنة طالما أن مجموع مستوياته المحسوبة للاستهلاك على مدى فترة العشر سنوات من أول كانون الثاني/يناير 2023 إلى أو كانون الثاني/يناير 2040 مقسوما على عشرة لا يتخطى </w:t>
      </w:r>
      <w:r>
        <w:rPr>
          <w:sz w:val="18"/>
          <w:szCs w:val="18"/>
          <w:lang w:val="en-US"/>
        </w:rPr>
        <w:t>2.5</w:t>
      </w:r>
      <w:r>
        <w:rPr>
          <w:rFonts w:hint="cs"/>
          <w:sz w:val="18"/>
          <w:szCs w:val="18"/>
          <w:rtl/>
          <w:lang w:val="en-US" w:bidi="ar-EG"/>
        </w:rPr>
        <w:t xml:space="preserve"> في المائة من خط أساس هذه المواد وشريطة أن يقتصر هذا الاستهلاك على خدمة معدات التبريد وتكييف الهواء الموجودة فعلا بتاريخ أول كانون الثاني/يناير 2030. ويمكن لتطبيقات أخرى تستخدم فيها المواد الهيدروكلوروفلوروكربونية خدمة معدات مكافحة الحرائق والحماية منها الموجود أول كانون الثاني/يناير 2030 وتطبيقات المذيبات في تصنيع محركات الصواريخ والتطبيقات الطبية للأيروسول للعلاج المتخصص للحروق.</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D19443" w14:textId="5FBE0DC1" w:rsidR="00BC361F" w:rsidRPr="003F73BA" w:rsidRDefault="006D5D5F" w:rsidP="00D41411">
    <w:pPr>
      <w:jc w:val="right"/>
    </w:pPr>
    <w:r>
      <w:fldChar w:fldCharType="begin"/>
    </w:r>
    <w:r>
      <w:instrText xml:space="preserve"> DOCPROPERTY "Document number"  \* MERGEFORMAT </w:instrText>
    </w:r>
    <w:r>
      <w:fldChar w:fldCharType="separate"/>
    </w:r>
    <w:r w:rsidR="00BC361F">
      <w:t>UNEP/OzL.Pro/ExCom/87/31</w:t>
    </w:r>
    <w:r>
      <w:fldChar w:fldCharType="end"/>
    </w:r>
  </w:p>
  <w:p w14:paraId="650CD5DC" w14:textId="77777777" w:rsidR="007817AE" w:rsidRDefault="007817AE"/>
  <w:p w14:paraId="387547F7" w14:textId="77777777" w:rsidR="007817AE" w:rsidRDefault="007817AE"/>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380F7C" w14:textId="061B26FF" w:rsidR="00BC361F" w:rsidRPr="003F73BA" w:rsidRDefault="006D5D5F" w:rsidP="00BD596A">
    <w:pPr>
      <w:jc w:val="left"/>
    </w:pPr>
    <w:r>
      <w:fldChar w:fldCharType="begin"/>
    </w:r>
    <w:r>
      <w:instrText xml:space="preserve"> DOCPROPERTY "Document number"  \* MERGEFORMAT </w:instrText>
    </w:r>
    <w:r>
      <w:fldChar w:fldCharType="separate"/>
    </w:r>
    <w:r w:rsidR="00BC361F">
      <w:t>UNEP/OzL.Pro/ExCom/87/31</w:t>
    </w:r>
    <w:r>
      <w:fldChar w:fldCharType="end"/>
    </w:r>
  </w:p>
  <w:p w14:paraId="20353ACB" w14:textId="77777777" w:rsidR="007817AE" w:rsidRDefault="007817AE"/>
  <w:p w14:paraId="351D4A53" w14:textId="77777777" w:rsidR="007817AE" w:rsidRDefault="007817AE">
    <w:pPr>
      <w:pStyle w:val="Header"/>
      <w:jc w:val="cent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207266" w14:textId="77777777" w:rsidR="00BD596A" w:rsidRPr="003F73BA" w:rsidRDefault="00BD596A" w:rsidP="00BD596A">
    <w:pPr>
      <w:jc w:val="right"/>
    </w:pPr>
    <w:r>
      <w:fldChar w:fldCharType="begin"/>
    </w:r>
    <w:r>
      <w:instrText xml:space="preserve"> DOCPROPERTY "Document number"  \* MERGEFORMAT </w:instrText>
    </w:r>
    <w:r>
      <w:fldChar w:fldCharType="separate"/>
    </w:r>
    <w:r>
      <w:t>UNEP/</w:t>
    </w:r>
    <w:proofErr w:type="spellStart"/>
    <w:r>
      <w:t>OzL.Pro</w:t>
    </w:r>
    <w:proofErr w:type="spellEnd"/>
    <w:r>
      <w:t>/</w:t>
    </w:r>
    <w:proofErr w:type="spellStart"/>
    <w:r>
      <w:t>ExCom</w:t>
    </w:r>
    <w:proofErr w:type="spellEnd"/>
    <w:r>
      <w:t>/87/31</w:t>
    </w:r>
    <w:r>
      <w:fldChar w:fldCharType="end"/>
    </w:r>
  </w:p>
  <w:p w14:paraId="67D17D15" w14:textId="301D5546" w:rsidR="00BD596A" w:rsidRDefault="00BD596A" w:rsidP="00BD596A">
    <w:pPr>
      <w:jc w:val="right"/>
    </w:pPr>
    <w:r>
      <w:t>Annex I</w:t>
    </w:r>
  </w:p>
  <w:p w14:paraId="6AB87A26" w14:textId="77777777" w:rsidR="00BD596A" w:rsidRDefault="00BD596A" w:rsidP="00BD596A">
    <w:pPr>
      <w:jc w:val="right"/>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A23C0E" w14:textId="77777777" w:rsidR="00BD596A" w:rsidRPr="003F73BA" w:rsidRDefault="00BD596A" w:rsidP="00BD596A">
    <w:pPr>
      <w:jc w:val="left"/>
    </w:pPr>
    <w:r>
      <w:fldChar w:fldCharType="begin"/>
    </w:r>
    <w:r>
      <w:instrText xml:space="preserve"> DOCPROPERTY "Document number"  \* MERGEFORMAT </w:instrText>
    </w:r>
    <w:r>
      <w:fldChar w:fldCharType="separate"/>
    </w:r>
    <w:r>
      <w:t>UNEP/</w:t>
    </w:r>
    <w:proofErr w:type="spellStart"/>
    <w:r>
      <w:t>OzL.Pro</w:t>
    </w:r>
    <w:proofErr w:type="spellEnd"/>
    <w:r>
      <w:t>/</w:t>
    </w:r>
    <w:proofErr w:type="spellStart"/>
    <w:r>
      <w:t>ExCom</w:t>
    </w:r>
    <w:proofErr w:type="spellEnd"/>
    <w:r>
      <w:t>/87/31</w:t>
    </w:r>
    <w:r>
      <w:fldChar w:fldCharType="end"/>
    </w:r>
  </w:p>
  <w:p w14:paraId="21E6A11B" w14:textId="1CDC2A80" w:rsidR="00BD596A" w:rsidRDefault="00BD596A">
    <w:r>
      <w:t>Annex I</w:t>
    </w:r>
  </w:p>
  <w:p w14:paraId="27BF4F3E" w14:textId="77777777" w:rsidR="00BD596A" w:rsidRDefault="00BD596A">
    <w:pPr>
      <w:pStyle w:val="Header"/>
      <w:jc w:val="cent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315D2B" w14:textId="77777777" w:rsidR="00BD596A" w:rsidRPr="003F73BA" w:rsidRDefault="00BD596A" w:rsidP="00BD596A">
    <w:pPr>
      <w:jc w:val="left"/>
    </w:pPr>
    <w:r>
      <w:fldChar w:fldCharType="begin"/>
    </w:r>
    <w:r>
      <w:instrText xml:space="preserve"> DOCPROPERTY "Document number"  \* MERGEFORMAT </w:instrText>
    </w:r>
    <w:r>
      <w:fldChar w:fldCharType="separate"/>
    </w:r>
    <w:r>
      <w:t>UNEP/</w:t>
    </w:r>
    <w:proofErr w:type="spellStart"/>
    <w:r>
      <w:t>OzL.Pro</w:t>
    </w:r>
    <w:proofErr w:type="spellEnd"/>
    <w:r>
      <w:t>/</w:t>
    </w:r>
    <w:proofErr w:type="spellStart"/>
    <w:r>
      <w:t>ExCom</w:t>
    </w:r>
    <w:proofErr w:type="spellEnd"/>
    <w:r>
      <w:t>/87/31</w:t>
    </w:r>
    <w:r>
      <w:fldChar w:fldCharType="end"/>
    </w:r>
  </w:p>
  <w:p w14:paraId="3C156E96" w14:textId="406D39D7" w:rsidR="00BD596A" w:rsidRDefault="00BD596A">
    <w:pPr>
      <w:pStyle w:val="Header"/>
    </w:pPr>
    <w:r>
      <w:t>Annex I</w:t>
    </w:r>
  </w:p>
  <w:p w14:paraId="3950CCDD" w14:textId="77777777" w:rsidR="00BD596A" w:rsidRDefault="00BD596A">
    <w:pPr>
      <w:pStyle w:val="Heade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62940D" w14:textId="03ADAD1E" w:rsidR="007817AE" w:rsidRDefault="006D5D5F">
    <w:r>
      <w:fldChar w:fldCharType="begin"/>
    </w:r>
    <w:r>
      <w:instrText xml:space="preserve"> DOCPROPERTY "Document number"  \* MERGEFORMAT </w:instrText>
    </w:r>
    <w:r>
      <w:fldChar w:fldCharType="separate"/>
    </w:r>
    <w:r w:rsidR="007817AE">
      <w:t>UNEP/OzL.Pro/ExCom/87/1</w:t>
    </w:r>
    <w:r>
      <w:fldChar w:fldCharType="end"/>
    </w:r>
  </w:p>
  <w:p w14:paraId="0AD68613" w14:textId="77777777" w:rsidR="007817AE" w:rsidRDefault="007817AE"/>
  <w:p w14:paraId="62E24817" w14:textId="77777777" w:rsidR="007817AE" w:rsidRDefault="007817AE"/>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42B206" w14:textId="2F1559F1" w:rsidR="007817AE" w:rsidRDefault="006D5D5F">
    <w:pPr>
      <w:jc w:val="right"/>
    </w:pPr>
    <w:r>
      <w:fldChar w:fldCharType="begin"/>
    </w:r>
    <w:r>
      <w:instrText xml:space="preserve"> DOCPROPERTY "Document number"  \* MERGEFORMAT </w:instrText>
    </w:r>
    <w:r>
      <w:fldChar w:fldCharType="separate"/>
    </w:r>
    <w:r w:rsidR="007817AE">
      <w:t>UNEP/OzL.Pro/ExCom/87/1</w:t>
    </w:r>
    <w:r>
      <w:fldChar w:fldCharType="end"/>
    </w:r>
  </w:p>
  <w:p w14:paraId="07B47C9B" w14:textId="77777777" w:rsidR="007817AE" w:rsidRDefault="007817AE"/>
  <w:p w14:paraId="321CF36B" w14:textId="77777777" w:rsidR="007817AE" w:rsidRDefault="007817AE">
    <w:pPr>
      <w:pStyle w:val="Header"/>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23EFD2" w14:textId="09F8DB63" w:rsidR="007817AE" w:rsidRPr="00074A8D" w:rsidRDefault="007817AE">
    <w:pPr>
      <w:jc w:val="left"/>
      <w:rPr>
        <w:lang w:val="en-US"/>
      </w:rPr>
    </w:pPr>
    <w:r>
      <w:t>UNEP/OzL.Pro/ExCom/87/</w:t>
    </w:r>
    <w:r>
      <w:rPr>
        <w:lang w:val="en-US"/>
      </w:rPr>
      <w:t>31</w:t>
    </w:r>
  </w:p>
  <w:p w14:paraId="10B4274E" w14:textId="77777777" w:rsidR="007817AE" w:rsidRDefault="007817AE">
    <w:r>
      <w:t>Annex I</w:t>
    </w:r>
  </w:p>
  <w:p w14:paraId="6A5490E8" w14:textId="77777777" w:rsidR="007817AE" w:rsidRDefault="007817A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4761E4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5B627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C923A9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532B5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27AF7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B6EE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EEBB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5C453D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D8EA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F256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5ABAEDB8"/>
    <w:lvl w:ilvl="0">
      <w:start w:val="1"/>
      <w:numFmt w:val="decimal"/>
      <w:pStyle w:val="Heading1"/>
      <w:lvlText w:val="%1."/>
      <w:lvlJc w:val="left"/>
      <w:pPr>
        <w:tabs>
          <w:tab w:val="num" w:pos="0"/>
        </w:tabs>
        <w:ind w:left="0" w:firstLine="0"/>
      </w:pPr>
    </w:lvl>
    <w:lvl w:ilvl="1">
      <w:start w:val="1"/>
      <w:numFmt w:val="arabicAbjad"/>
      <w:lvlText w:val="%2."/>
      <w:lvlJc w:val="left"/>
      <w:pPr>
        <w:tabs>
          <w:tab w:val="num" w:pos="0"/>
        </w:tabs>
        <w:ind w:left="1440" w:hanging="720"/>
      </w:pPr>
      <w:rPr>
        <w:rFonts w:hint="default"/>
      </w:rPr>
    </w:lvl>
    <w:lvl w:ilvl="2">
      <w:start w:val="1"/>
      <w:numFmt w:val="lowerRoman"/>
      <w:pStyle w:val="Heading3"/>
      <w:lvlText w:val="(%3)"/>
      <w:lvlJc w:val="left"/>
      <w:pPr>
        <w:tabs>
          <w:tab w:val="num" w:pos="0"/>
        </w:tabs>
        <w:ind w:left="2160" w:hanging="720"/>
      </w:pPr>
    </w:lvl>
    <w:lvl w:ilvl="3">
      <w:start w:val="1"/>
      <w:numFmt w:val="lowerLetter"/>
      <w:pStyle w:val="Heading4"/>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pStyle w:val="Heading6"/>
      <w:lvlText w:val="(%6)"/>
      <w:lvlJc w:val="left"/>
      <w:pPr>
        <w:tabs>
          <w:tab w:val="num" w:pos="0"/>
        </w:tabs>
        <w:ind w:left="4291" w:hanging="720"/>
      </w:pPr>
    </w:lvl>
    <w:lvl w:ilvl="6">
      <w:start w:val="1"/>
      <w:numFmt w:val="lowerRoman"/>
      <w:pStyle w:val="Heading7"/>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pStyle w:val="Heading9"/>
      <w:lvlText w:val="(%9)"/>
      <w:lvlJc w:val="left"/>
      <w:pPr>
        <w:tabs>
          <w:tab w:val="num" w:pos="0"/>
        </w:tabs>
        <w:ind w:left="6408" w:hanging="706"/>
      </w:pPr>
    </w:lvl>
  </w:abstractNum>
  <w:abstractNum w:abstractNumId="11" w15:restartNumberingAfterBreak="0">
    <w:nsid w:val="0EA91885"/>
    <w:multiLevelType w:val="hybridMultilevel"/>
    <w:tmpl w:val="DACA1944"/>
    <w:lvl w:ilvl="0" w:tplc="A914E8D6">
      <w:start w:val="1"/>
      <w:numFmt w:val="arabicAbjad"/>
      <w:lvlText w:val="(%1)"/>
      <w:lvlJc w:val="left"/>
      <w:pPr>
        <w:tabs>
          <w:tab w:val="num" w:pos="0"/>
        </w:tabs>
        <w:ind w:left="1440" w:hanging="720"/>
      </w:pPr>
      <w:rPr>
        <w:rFonts w:ascii="Times New Roman" w:hAnsi="Times New Roman" w:cs="Arabic Transparent" w:hint="default"/>
        <w:b w:val="0"/>
        <w:bCs w:val="0"/>
        <w:i w:val="0"/>
        <w:iCs w:val="0"/>
        <w:vanish w:val="0"/>
        <w:color w:val="auto"/>
        <w:sz w:val="24"/>
        <w:szCs w:val="26"/>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A585F7A"/>
    <w:multiLevelType w:val="hybridMultilevel"/>
    <w:tmpl w:val="17FEC13C"/>
    <w:lvl w:ilvl="0" w:tplc="F32A4D94">
      <w:start w:val="1"/>
      <w:numFmt w:val="arabicAbjad"/>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2F2D0A08"/>
    <w:multiLevelType w:val="hybridMultilevel"/>
    <w:tmpl w:val="14789E5C"/>
    <w:lvl w:ilvl="0" w:tplc="B136E804">
      <w:start w:val="1"/>
      <w:numFmt w:val="decimal"/>
      <w:lvlText w:val="(%1)"/>
      <w:lvlJc w:val="left"/>
      <w:pPr>
        <w:tabs>
          <w:tab w:val="num" w:pos="0"/>
        </w:tabs>
        <w:ind w:left="1814"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16" w15:restartNumberingAfterBreak="0">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5E7F69CF"/>
    <w:multiLevelType w:val="hybridMultilevel"/>
    <w:tmpl w:val="1092F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num w:numId="1">
    <w:abstractNumId w:val="10"/>
  </w:num>
  <w:num w:numId="2">
    <w:abstractNumId w:val="10"/>
  </w:num>
  <w:num w:numId="3">
    <w:abstractNumId w:val="10"/>
  </w:num>
  <w:num w:numId="4">
    <w:abstractNumId w:val="10"/>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3"/>
  </w:num>
  <w:num w:numId="17">
    <w:abstractNumId w:val="16"/>
  </w:num>
  <w:num w:numId="18">
    <w:abstractNumId w:val="17"/>
  </w:num>
  <w:num w:numId="19">
    <w:abstractNumId w:val="19"/>
  </w:num>
  <w:num w:numId="20">
    <w:abstractNumId w:val="15"/>
  </w:num>
  <w:num w:numId="21">
    <w:abstractNumId w:val="11"/>
  </w:num>
  <w:num w:numId="22">
    <w:abstractNumId w:val="14"/>
  </w:num>
  <w:num w:numId="23">
    <w:abstractNumId w:val="18"/>
  </w:num>
  <w:num w:numId="24">
    <w:abstractNumId w:val="19"/>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num>
  <w:num w:numId="30">
    <w:abstractNumId w:val="10"/>
  </w:num>
  <w:num w:numId="31">
    <w:abstractNumId w:val="10"/>
  </w:num>
  <w:num w:numId="32">
    <w:abstractNumId w:val="10"/>
  </w:num>
  <w:num w:numId="33">
    <w:abstractNumId w:val="10"/>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4"/>
  <w:embedSystemFonts/>
  <w:proofState w:spelling="clean" w:grammar="clean"/>
  <w:attachedTemplate r:id="rId1"/>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F10"/>
    <w:rsid w:val="00013372"/>
    <w:rsid w:val="000140CE"/>
    <w:rsid w:val="00017133"/>
    <w:rsid w:val="00025303"/>
    <w:rsid w:val="0004254A"/>
    <w:rsid w:val="00074A8D"/>
    <w:rsid w:val="000861FE"/>
    <w:rsid w:val="000C2FE8"/>
    <w:rsid w:val="0012233F"/>
    <w:rsid w:val="00185316"/>
    <w:rsid w:val="00245558"/>
    <w:rsid w:val="00290F10"/>
    <w:rsid w:val="002C25F0"/>
    <w:rsid w:val="002C28CF"/>
    <w:rsid w:val="002D1976"/>
    <w:rsid w:val="002E3C27"/>
    <w:rsid w:val="002E45DB"/>
    <w:rsid w:val="002E7EF7"/>
    <w:rsid w:val="002F505F"/>
    <w:rsid w:val="00312470"/>
    <w:rsid w:val="00351407"/>
    <w:rsid w:val="003645C3"/>
    <w:rsid w:val="00390821"/>
    <w:rsid w:val="003B1B66"/>
    <w:rsid w:val="003F2852"/>
    <w:rsid w:val="00456AA4"/>
    <w:rsid w:val="00467D47"/>
    <w:rsid w:val="0047648F"/>
    <w:rsid w:val="004B186C"/>
    <w:rsid w:val="004C5B74"/>
    <w:rsid w:val="004E00CA"/>
    <w:rsid w:val="004F23B4"/>
    <w:rsid w:val="005C7D4A"/>
    <w:rsid w:val="006045C2"/>
    <w:rsid w:val="006142CE"/>
    <w:rsid w:val="00662A73"/>
    <w:rsid w:val="00685F6C"/>
    <w:rsid w:val="00694D52"/>
    <w:rsid w:val="006A5750"/>
    <w:rsid w:val="006D5D5F"/>
    <w:rsid w:val="006F1D94"/>
    <w:rsid w:val="006F2A2C"/>
    <w:rsid w:val="0072750A"/>
    <w:rsid w:val="007817AE"/>
    <w:rsid w:val="00781AEC"/>
    <w:rsid w:val="00786775"/>
    <w:rsid w:val="007D1FB7"/>
    <w:rsid w:val="007D567C"/>
    <w:rsid w:val="007E5D09"/>
    <w:rsid w:val="007F3CC2"/>
    <w:rsid w:val="00893DA2"/>
    <w:rsid w:val="008D62BF"/>
    <w:rsid w:val="008E3DF3"/>
    <w:rsid w:val="0094473F"/>
    <w:rsid w:val="00966D7B"/>
    <w:rsid w:val="00983FD1"/>
    <w:rsid w:val="009A7284"/>
    <w:rsid w:val="009B1FC6"/>
    <w:rsid w:val="009B4182"/>
    <w:rsid w:val="00A000BA"/>
    <w:rsid w:val="00A065D2"/>
    <w:rsid w:val="00A13410"/>
    <w:rsid w:val="00A15F70"/>
    <w:rsid w:val="00A44778"/>
    <w:rsid w:val="00A65B5C"/>
    <w:rsid w:val="00A775CB"/>
    <w:rsid w:val="00A8046D"/>
    <w:rsid w:val="00AB4886"/>
    <w:rsid w:val="00AC52D4"/>
    <w:rsid w:val="00B10937"/>
    <w:rsid w:val="00B11DB6"/>
    <w:rsid w:val="00B15D68"/>
    <w:rsid w:val="00B3293E"/>
    <w:rsid w:val="00B40E87"/>
    <w:rsid w:val="00B70D5D"/>
    <w:rsid w:val="00B81E83"/>
    <w:rsid w:val="00BC361F"/>
    <w:rsid w:val="00BD596A"/>
    <w:rsid w:val="00BF737D"/>
    <w:rsid w:val="00C0337B"/>
    <w:rsid w:val="00C05C9C"/>
    <w:rsid w:val="00C26C59"/>
    <w:rsid w:val="00C4579D"/>
    <w:rsid w:val="00C55EF2"/>
    <w:rsid w:val="00C73D87"/>
    <w:rsid w:val="00CF24C1"/>
    <w:rsid w:val="00CF5871"/>
    <w:rsid w:val="00D11021"/>
    <w:rsid w:val="00D41411"/>
    <w:rsid w:val="00D42331"/>
    <w:rsid w:val="00DA207A"/>
    <w:rsid w:val="00DD2A74"/>
    <w:rsid w:val="00E011FB"/>
    <w:rsid w:val="00E1360E"/>
    <w:rsid w:val="00E47B2B"/>
    <w:rsid w:val="00E866CD"/>
    <w:rsid w:val="00E9091B"/>
    <w:rsid w:val="00E91BF1"/>
    <w:rsid w:val="00E937A1"/>
    <w:rsid w:val="00EC108E"/>
    <w:rsid w:val="00ED0FD5"/>
    <w:rsid w:val="00ED7103"/>
    <w:rsid w:val="00EE3C03"/>
    <w:rsid w:val="00F62B9B"/>
    <w:rsid w:val="00F8532A"/>
    <w:rsid w:val="00FA1CD0"/>
    <w:rsid w:val="00FB4598"/>
    <w:rsid w:val="00FC66F0"/>
    <w:rsid w:val="00FE6F1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FC68DF4"/>
  <w15:docId w15:val="{385BFD16-4A3A-45A1-8386-A93490F81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24C1"/>
    <w:pPr>
      <w:jc w:val="both"/>
    </w:pPr>
    <w:rPr>
      <w:sz w:val="24"/>
      <w:lang w:val="en-GB" w:bidi="ar-DZ"/>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
    <w:basedOn w:val="Normal"/>
    <w:next w:val="Normal"/>
    <w:link w:val="Heading1Char1"/>
    <w:qFormat/>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SubPara (أ),Heading 2 Char1 Char"/>
    <w:basedOn w:val="Normal"/>
    <w:next w:val="Normal"/>
    <w:qFormat/>
    <w:pPr>
      <w:widowControl w:val="0"/>
      <w:spacing w:after="240"/>
      <w:outlineLvl w:val="1"/>
    </w:pPr>
  </w:style>
  <w:style w:type="paragraph" w:styleId="Heading3">
    <w:name w:val="heading 3"/>
    <w:aliases w:val="Char"/>
    <w:basedOn w:val="Normal"/>
    <w:next w:val="Normal"/>
    <w:qFormat/>
    <w:pPr>
      <w:widowControl w:val="0"/>
      <w:numPr>
        <w:ilvl w:val="2"/>
        <w:numId w:val="3"/>
      </w:numPr>
      <w:spacing w:after="240"/>
      <w:outlineLvl w:val="2"/>
    </w:pPr>
  </w:style>
  <w:style w:type="paragraph" w:styleId="Heading4">
    <w:name w:val="heading 4"/>
    <w:aliases w:val="Heading 11"/>
    <w:basedOn w:val="Normal"/>
    <w:next w:val="Heading9"/>
    <w:qFormat/>
    <w:pPr>
      <w:keepNext/>
      <w:numPr>
        <w:ilvl w:val="3"/>
        <w:numId w:val="4"/>
      </w:numPr>
      <w:spacing w:before="240" w:after="60"/>
      <w:outlineLvl w:val="3"/>
    </w:pPr>
  </w:style>
  <w:style w:type="paragraph" w:styleId="Heading5">
    <w:name w:val="heading 5"/>
    <w:basedOn w:val="Normal"/>
    <w:next w:val="Normal"/>
    <w:qFormat/>
    <w:pPr>
      <w:keepNext/>
      <w:numPr>
        <w:numId w:val="20"/>
      </w:numPr>
      <w:spacing w:after="240"/>
      <w:ind w:left="3600" w:hanging="720"/>
      <w:outlineLvl w:val="4"/>
    </w:pPr>
  </w:style>
  <w:style w:type="paragraph" w:styleId="Heading6">
    <w:name w:val="heading 6"/>
    <w:basedOn w:val="Normal"/>
    <w:next w:val="Normal"/>
    <w:qFormat/>
    <w:pPr>
      <w:numPr>
        <w:ilvl w:val="5"/>
        <w:numId w:val="1"/>
      </w:numPr>
      <w:spacing w:before="240" w:after="60"/>
      <w:outlineLvl w:val="5"/>
    </w:pPr>
    <w:rPr>
      <w:rFonts w:ascii="Arial" w:hAnsi="Arial"/>
      <w:i/>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outlineLvl w:val="7"/>
    </w:pPr>
    <w:rPr>
      <w:b/>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pPr>
      <w:numPr>
        <w:numId w:val="16"/>
      </w:numPr>
    </w:pPr>
  </w:style>
  <w:style w:type="paragraph" w:styleId="Header">
    <w:name w:val="header"/>
    <w:basedOn w:val="Normal"/>
    <w:pPr>
      <w:tabs>
        <w:tab w:val="center" w:pos="4320"/>
        <w:tab w:val="right" w:pos="8640"/>
      </w:tabs>
    </w:pPr>
  </w:style>
  <w:style w:type="paragraph" w:customStyle="1" w:styleId="sub-title">
    <w:name w:val="sub-title"/>
    <w:pPr>
      <w:jc w:val="both"/>
      <w:outlineLvl w:val="0"/>
    </w:pPr>
    <w:rPr>
      <w:b/>
      <w:noProof/>
      <w:sz w:val="22"/>
      <w:szCs w:val="22"/>
    </w:rPr>
  </w:style>
  <w:style w:type="paragraph" w:customStyle="1" w:styleId="Title1">
    <w:name w:val="Title1"/>
    <w:pPr>
      <w:jc w:val="center"/>
      <w:outlineLvl w:val="0"/>
    </w:pPr>
    <w:rPr>
      <w:b/>
      <w:caps/>
      <w:sz w:val="22"/>
      <w:szCs w:val="22"/>
      <w:lang w:val="en-GB"/>
    </w:rPr>
  </w:style>
  <w:style w:type="paragraph" w:customStyle="1" w:styleId="Decision">
    <w:name w:val="Decision"/>
    <w:basedOn w:val="Normal"/>
    <w:pPr>
      <w:keepLines/>
      <w:jc w:val="right"/>
    </w:pPr>
    <w:rPr>
      <w:b/>
    </w:rPr>
  </w:style>
  <w:style w:type="paragraph" w:customStyle="1" w:styleId="0Heading0">
    <w:name w:val="0 Heading 0"/>
    <w:uiPriority w:val="99"/>
    <w:rPr>
      <w:sz w:val="22"/>
      <w:szCs w:val="22"/>
      <w:lang w:val="en-GB"/>
    </w:rPr>
  </w:style>
  <w:style w:type="paragraph" w:styleId="Footer">
    <w:name w:val="footer"/>
    <w:basedOn w:val="Normal"/>
    <w:link w:val="FooterChar"/>
    <w:uiPriority w:val="99"/>
    <w:pPr>
      <w:tabs>
        <w:tab w:val="center" w:pos="4320"/>
        <w:tab w:val="right" w:pos="8640"/>
      </w:tabs>
    </w:pPr>
  </w:style>
  <w:style w:type="numbering" w:styleId="1ai">
    <w:name w:val="Outline List 1"/>
    <w:basedOn w:val="NoList"/>
    <w:semiHidden/>
    <w:pPr>
      <w:numPr>
        <w:numId w:val="17"/>
      </w:numPr>
    </w:pPr>
  </w:style>
  <w:style w:type="numbering" w:styleId="ArticleSection">
    <w:name w:val="Outline List 3"/>
    <w:basedOn w:val="NoList"/>
    <w:semiHidden/>
    <w:pPr>
      <w:numPr>
        <w:numId w:val="18"/>
      </w:numPr>
    </w:pPr>
  </w:style>
  <w:style w:type="paragraph" w:styleId="BlockText">
    <w:name w:val="Block Text"/>
    <w:basedOn w:val="Normal"/>
    <w:semiHidden/>
    <w:pPr>
      <w:spacing w:after="120"/>
      <w:ind w:left="1440" w:right="1440"/>
    </w:pPr>
  </w:style>
  <w:style w:type="paragraph" w:styleId="BodyText3">
    <w:name w:val="Body Text 3"/>
    <w:basedOn w:val="Normal"/>
    <w:semiHidden/>
    <w:pPr>
      <w:spacing w:after="120"/>
    </w:pPr>
    <w:rPr>
      <w:sz w:val="16"/>
      <w:szCs w:val="16"/>
    </w:rPr>
  </w:style>
  <w:style w:type="paragraph" w:styleId="BodyTextIndent3">
    <w:name w:val="Body Text Indent 3"/>
    <w:basedOn w:val="Normal"/>
    <w:semiHidden/>
    <w:pPr>
      <w:spacing w:after="120"/>
      <w:ind w:left="360"/>
    </w:pPr>
    <w:rPr>
      <w:sz w:val="16"/>
      <w:szCs w:val="16"/>
    </w:rPr>
  </w:style>
  <w:style w:type="paragraph" w:styleId="PlainText">
    <w:name w:val="Plain Text"/>
    <w:basedOn w:val="Normal"/>
    <w:semiHidden/>
    <w:rPr>
      <w:rFonts w:ascii="Courier New" w:hAnsi="Courier New" w:cs="Courier New"/>
      <w:sz w:val="20"/>
    </w:rPr>
  </w:style>
  <w:style w:type="table" w:styleId="Table3Deffects1">
    <w:name w:val="Table 3D effects 1"/>
    <w:basedOn w:val="TableNormal"/>
    <w:semiHidden/>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Pr>
      <w:sz w:val="22"/>
      <w:szCs w:val="22"/>
      <w:lang w:val="en-GB"/>
    </w:rPr>
  </w:style>
  <w:style w:type="paragraph" w:customStyle="1" w:styleId="Header4">
    <w:name w:val="Header4"/>
    <w:aliases w:val="Para 4"/>
    <w:basedOn w:val="Normal"/>
    <w:next w:val="Normal"/>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Pr>
      <w:sz w:val="16"/>
      <w:szCs w:val="16"/>
    </w:rPr>
  </w:style>
  <w:style w:type="paragraph" w:styleId="Subtitle">
    <w:name w:val="Subtitle"/>
    <w:basedOn w:val="Normal"/>
    <w:qFormat/>
    <w:pPr>
      <w:spacing w:after="60"/>
      <w:jc w:val="center"/>
      <w:outlineLvl w:val="1"/>
    </w:pPr>
    <w:rPr>
      <w:rFonts w:ascii="Arial" w:hAnsi="Arial" w:cs="Arial"/>
    </w:rPr>
  </w:style>
  <w:style w:type="paragraph" w:styleId="Title">
    <w:name w:val="Title"/>
    <w:basedOn w:val="Normal"/>
    <w:qFormat/>
    <w:pPr>
      <w:spacing w:before="240" w:after="60"/>
      <w:jc w:val="center"/>
      <w:outlineLvl w:val="0"/>
    </w:pPr>
    <w:rPr>
      <w:rFonts w:ascii="Arial" w:hAnsi="Arial" w:cs="Arial"/>
      <w:b/>
      <w:bCs/>
      <w:kern w:val="28"/>
    </w:rPr>
  </w:style>
  <w:style w:type="paragraph" w:styleId="Date">
    <w:name w:val="Date"/>
    <w:basedOn w:val="Normal"/>
    <w:next w:val="Normal"/>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lang w:val="en-GB"/>
    </w:rPr>
  </w:style>
  <w:style w:type="paragraph" w:customStyle="1" w:styleId="StyleHeader4Para4Left0Firstline0">
    <w:name w:val="Style Header4Para 4 + Left:  0&quot; First line:  0&quot;"/>
    <w:basedOn w:val="Header4"/>
    <w:pPr>
      <w:ind w:left="3600" w:hanging="360"/>
    </w:pPr>
    <w:rPr>
      <w:sz w:val="20"/>
    </w:rPr>
  </w:style>
  <w:style w:type="paragraph" w:styleId="Caption">
    <w:name w:val="caption"/>
    <w:basedOn w:val="Normal"/>
    <w:next w:val="Normal"/>
    <w:qFormat/>
    <w:pPr>
      <w:bidi/>
      <w:ind w:left="180" w:hanging="180"/>
      <w:jc w:val="lowKashida"/>
    </w:pPr>
    <w:rPr>
      <w:rFonts w:cs="Simplified Arabic"/>
      <w:szCs w:val="32"/>
      <w:lang w:val="en-US" w:eastAsia="en-CA"/>
    </w:rPr>
  </w:style>
  <w:style w:type="character" w:styleId="PageNumber">
    <w:name w:val="page number"/>
    <w:basedOn w:val="DefaultParagraphFont"/>
    <w:semiHidden/>
  </w:style>
  <w:style w:type="character" w:customStyle="1" w:styleId="FooterChar">
    <w:name w:val="Footer Char"/>
    <w:basedOn w:val="DefaultParagraphFont"/>
    <w:link w:val="Footer"/>
    <w:uiPriority w:val="99"/>
    <w:rPr>
      <w:sz w:val="24"/>
      <w:lang w:val="en-GB" w:bidi="ar-DZ"/>
    </w:rPr>
  </w:style>
  <w:style w:type="paragraph" w:styleId="FootnoteText">
    <w:name w:val="footnote text"/>
    <w:basedOn w:val="Normal"/>
    <w:link w:val="FootnoteTextChar"/>
    <w:uiPriority w:val="99"/>
    <w:semiHidden/>
    <w:unhideWhenUsed/>
    <w:rsid w:val="00C0337B"/>
    <w:rPr>
      <w:sz w:val="20"/>
    </w:rPr>
  </w:style>
  <w:style w:type="character" w:customStyle="1" w:styleId="FootnoteTextChar">
    <w:name w:val="Footnote Text Char"/>
    <w:basedOn w:val="DefaultParagraphFont"/>
    <w:link w:val="FootnoteText"/>
    <w:uiPriority w:val="99"/>
    <w:semiHidden/>
    <w:rsid w:val="00C0337B"/>
    <w:rPr>
      <w:lang w:val="en-GB" w:bidi="ar-DZ"/>
    </w:rPr>
  </w:style>
  <w:style w:type="character" w:styleId="FootnoteReference">
    <w:name w:val="footnote reference"/>
    <w:basedOn w:val="DefaultParagraphFont"/>
    <w:uiPriority w:val="99"/>
    <w:semiHidden/>
    <w:unhideWhenUsed/>
    <w:rsid w:val="00C0337B"/>
    <w:rPr>
      <w:vertAlign w:val="superscript"/>
    </w:rPr>
  </w:style>
  <w:style w:type="table" w:customStyle="1" w:styleId="TableGrid10">
    <w:name w:val="Table Grid1"/>
    <w:basedOn w:val="TableNormal"/>
    <w:next w:val="TableGrid"/>
    <w:uiPriority w:val="59"/>
    <w:rsid w:val="004B186C"/>
    <w:pPr>
      <w:jc w:val="both"/>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A20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7.xml"/><Relationship Id="rId28" Type="http://schemas.openxmlformats.org/officeDocument/2006/relationships/customXml" Target="../customXml/item2.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theme" Target="theme/theme1.xml"/><Relationship Id="rId30"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raf.hassan\Downloads\A87-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3344F64B3C0BD4E94486C1C70C35CAD" ma:contentTypeVersion="2" ma:contentTypeDescription="Create a new document." ma:contentTypeScope="" ma:versionID="01cbea7de0b77e343a564bcfd9a09bdc">
  <xsd:schema xmlns:xsd="http://www.w3.org/2001/XMLSchema" xmlns:p="http://schemas.microsoft.com/office/2006/metadata/properties" xmlns:ns2="ca155cdd-9bf1-4174-8a2d-8747f528ddda" xmlns:ns3="48d2d36d-b4e3-478b-a344-cdbeebaca89a" targetNamespace="http://schemas.microsoft.com/office/2006/metadata/properties" ma:root="true" ma:fieldsID="53ffe79d91a16ddf248dfa0cc0f22a42" ns2:_="" ns3:_="">
    <xsd:import namespace="ca155cdd-9bf1-4174-8a2d-8747f528ddda"/>
    <xsd:import namespace="48d2d36d-b4e3-478b-a344-cdbeebaca89a"/>
    <xsd:element name="properties">
      <xsd:complexType>
        <xsd:sequence>
          <xsd:element name="documentManagement">
            <xsd:complexType>
              <xsd:all>
                <xsd:element ref="ns2:Document_x0020_Number" minOccurs="0"/>
                <xsd:element ref="ns3:DocumentType" minOccurs="0"/>
              </xsd:all>
            </xsd:complexType>
          </xsd:element>
        </xsd:sequence>
      </xsd:complexType>
    </xsd:element>
  </xsd:schema>
  <xsd:schema xmlns:xsd="http://www.w3.org/2001/XMLSchema" xmlns:dms="http://schemas.microsoft.com/office/2006/documentManagement/types" targetNamespace="ca155cdd-9bf1-4174-8a2d-8747f528ddda" elementFormDefault="qualified">
    <xsd:import namespace="http://schemas.microsoft.com/office/2006/documentManagement/types"/>
    <xsd:element name="Document_x0020_Number" ma:index="8" nillable="true" ma:displayName="Document Number" ma:default="UNEP/OzL.Pro/ExCom/83/" ma:internalName="Document_x0020_Number">
      <xsd:simpleType>
        <xsd:restriction base="dms:Text">
          <xsd:maxLength value="255"/>
        </xsd:restriction>
      </xsd:simpleType>
    </xsd:element>
  </xsd:schema>
  <xsd:schema xmlns:xsd="http://www.w3.org/2001/XMLSchema" xmlns:dms="http://schemas.microsoft.com/office/2006/documentManagement/types" targetNamespace="48d2d36d-b4e3-478b-a344-cdbeebaca89a" elementFormDefault="qualified">
    <xsd:import namespace="http://schemas.microsoft.com/office/2006/documentManagement/types"/>
    <xsd:element name="DocumentType" ma:index="9" nillable="true" ma:displayName="DocumentType" ma:default="Pre-session" ma:format="Dropdown" ma:internalName="DocumentType">
      <xsd:simpleType>
        <xsd:restriction base="dms:Choice">
          <xsd:enumeration value="Pre-session"/>
          <xsd:enumeration value="In-session"/>
          <xsd:enumeration value="Final report"/>
          <xsd:enumeration value="Information Note"/>
          <xsd:enumeration value="Information Docume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ocument_x0020_Number xmlns="ca155cdd-9bf1-4174-8a2d-8747f528ddda">UNEP/OzL.Pro/ExCom/87/31</Document_x0020_Number>
    <DocumentType xmlns="48d2d36d-b4e3-478b-a344-cdbeebaca89a">Pre-session</DocumentType>
  </documentManagement>
</p:properties>
</file>

<file path=customXml/itemProps1.xml><?xml version="1.0" encoding="utf-8"?>
<ds:datastoreItem xmlns:ds="http://schemas.openxmlformats.org/officeDocument/2006/customXml" ds:itemID="{1FC111B4-AEA3-461B-A0CA-0AF7CC890DE4}"/>
</file>

<file path=customXml/itemProps2.xml><?xml version="1.0" encoding="utf-8"?>
<ds:datastoreItem xmlns:ds="http://schemas.openxmlformats.org/officeDocument/2006/customXml" ds:itemID="{29F4F395-5B52-4727-B1AF-4E3045D93BA7}"/>
</file>

<file path=customXml/itemProps3.xml><?xml version="1.0" encoding="utf-8"?>
<ds:datastoreItem xmlns:ds="http://schemas.openxmlformats.org/officeDocument/2006/customXml" ds:itemID="{2034AB6E-DA67-4F9B-BF56-4A30FF5F9853}"/>
</file>

<file path=customXml/itemProps4.xml><?xml version="1.0" encoding="utf-8"?>
<ds:datastoreItem xmlns:ds="http://schemas.openxmlformats.org/officeDocument/2006/customXml" ds:itemID="{922E278C-7C7D-4F9D-A1B1-F19CBBDC3936}"/>
</file>

<file path=docProps/app.xml><?xml version="1.0" encoding="utf-8"?>
<Properties xmlns="http://schemas.openxmlformats.org/officeDocument/2006/extended-properties" xmlns:vt="http://schemas.openxmlformats.org/officeDocument/2006/docPropsVTypes">
  <Template>A87-template</Template>
  <TotalTime>1730</TotalTime>
  <Pages>21</Pages>
  <Words>6518</Words>
  <Characters>35646</Characters>
  <Application>Microsoft Office Word</Application>
  <DocSecurity>0</DocSecurity>
  <Lines>297</Lines>
  <Paragraphs>84</Paragraphs>
  <ScaleCrop>false</ScaleCrop>
  <HeadingPairs>
    <vt:vector size="2" baseType="variant">
      <vt:variant>
        <vt:lpstr>Title</vt:lpstr>
      </vt:variant>
      <vt:variant>
        <vt:i4>1</vt:i4>
      </vt:variant>
    </vt:vector>
  </HeadingPairs>
  <TitlesOfParts>
    <vt:vector size="1" baseType="lpstr">
      <vt:lpstr>مقترح مشروع: ليسوتو</vt:lpstr>
    </vt:vector>
  </TitlesOfParts>
  <Company/>
  <LinksUpToDate>false</LinksUpToDate>
  <CharactersWithSpaces>42080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مقترح مشروع: ليسوتو</dc:title>
  <cp:lastModifiedBy>HB</cp:lastModifiedBy>
  <cp:revision>16</cp:revision>
  <cp:lastPrinted>2021-06-22T12:51:00Z</cp:lastPrinted>
  <dcterms:created xsi:type="dcterms:W3CDTF">2021-06-22T08:49:00Z</dcterms:created>
  <dcterms:modified xsi:type="dcterms:W3CDTF">2021-07-09T04:59:00Z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UNEP/OzL.Pro/ExCom/87/31</vt:lpwstr>
  </property>
  <property fmtid="{D5CDD505-2E9C-101B-9397-08002B2CF9AE}" pid="3" name="Revision date">
    <vt:lpwstr>6/14/2021</vt:lpwstr>
  </property>
  <property fmtid="{D5CDD505-2E9C-101B-9397-08002B2CF9AE}" pid="4" name="ContentTypeId">
    <vt:lpwstr>0x010100B3344F64B3C0BD4E94486C1C70C35CAD</vt:lpwstr>
  </property>
</Properties>
</file>

<file path=userCustomization/customUI.xml><?xml version="1.0" encoding="utf-8"?>
<mso:customUI xmlns:doc="http://schemas.microsoft.com/office/2006/01/customui/currentDocument" xmlns:mso="http://schemas.microsoft.com/office/2006/01/customui">
  <mso:ribbon>
    <mso:qat>
      <mso:documentControls>
        <mso:separator idQ="doc:sep1" visible="true"/>
      </mso:documentControls>
    </mso:qat>
  </mso:ribbon>
</mso:customUI>
</file>