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word/header19.xml" ContentType="application/vnd.openxmlformats-officedocument.wordprocessingml.header+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367A674D" w14:textId="77777777" w:rsidTr="00F71FF8">
        <w:trPr>
          <w:trHeight w:val="720"/>
        </w:trPr>
        <w:tc>
          <w:tcPr>
            <w:tcW w:w="5490" w:type="dxa"/>
            <w:gridSpan w:val="2"/>
            <w:tcBorders>
              <w:bottom w:val="single" w:sz="18" w:space="0" w:color="auto"/>
            </w:tcBorders>
          </w:tcPr>
          <w:p w14:paraId="52C4A5E3" w14:textId="77777777" w:rsidR="00C15867" w:rsidRPr="0000434E" w:rsidRDefault="00C15867" w:rsidP="00F71F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5D1CD73F" w14:textId="77777777" w:rsidR="00C15867" w:rsidRPr="00493D40" w:rsidRDefault="00C15867" w:rsidP="00F71FF8">
            <w:pPr>
              <w:jc w:val="right"/>
              <w:rPr>
                <w:sz w:val="52"/>
                <w:szCs w:val="52"/>
              </w:rPr>
            </w:pPr>
            <w:r>
              <w:rPr>
                <w:rFonts w:ascii="Univers Bold" w:hAnsi="Univers Bold"/>
                <w:b/>
                <w:sz w:val="72"/>
              </w:rPr>
              <w:t>EP</w:t>
            </w:r>
          </w:p>
        </w:tc>
      </w:tr>
      <w:tr w:rsidR="00C15867" w14:paraId="27D0950B" w14:textId="77777777" w:rsidTr="00F71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0D9BF88" w14:textId="77777777" w:rsidR="00C15867" w:rsidRDefault="00E52838" w:rsidP="00F71FF8">
            <w:pPr>
              <w:spacing w:before="120"/>
            </w:pPr>
            <w:r>
              <w:rPr>
                <w:noProof/>
                <w:lang w:val="en-US"/>
              </w:rPr>
              <mc:AlternateContent>
                <mc:Choice Requires="wpg">
                  <w:drawing>
                    <wp:anchor distT="0" distB="0" distL="114300" distR="114300" simplePos="0" relativeHeight="251660288" behindDoc="0" locked="0" layoutInCell="1" allowOverlap="1" wp14:anchorId="4678399A" wp14:editId="0D46A2DD">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6D6E05"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C956D9F" w14:textId="77777777" w:rsidR="00C15867" w:rsidRDefault="00C15867" w:rsidP="00F71F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5B9B1C7D" w14:textId="77777777" w:rsidR="00C15867" w:rsidRDefault="00C15867" w:rsidP="00F71F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68A0DC4C" w14:textId="77777777" w:rsidR="00C15867" w:rsidRDefault="00C15867" w:rsidP="00F71F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7E30373B" w14:textId="77777777" w:rsidR="00C15867" w:rsidRDefault="00C15867" w:rsidP="00F71FF8">
            <w:pPr>
              <w:spacing w:before="720"/>
              <w:ind w:left="158"/>
            </w:pPr>
          </w:p>
        </w:tc>
        <w:tc>
          <w:tcPr>
            <w:tcW w:w="4590" w:type="dxa"/>
            <w:tcBorders>
              <w:top w:val="nil"/>
              <w:left w:val="nil"/>
              <w:bottom w:val="single" w:sz="36" w:space="0" w:color="auto"/>
              <w:right w:val="nil"/>
            </w:tcBorders>
          </w:tcPr>
          <w:p w14:paraId="1AC3DAA8" w14:textId="77777777" w:rsidR="00C15867" w:rsidRPr="0033525D" w:rsidRDefault="00C15867" w:rsidP="00F71FF8">
            <w:r w:rsidRPr="0033525D">
              <w:t>Distr.</w:t>
            </w:r>
          </w:p>
          <w:p w14:paraId="66A81B32" w14:textId="77777777" w:rsidR="00923540" w:rsidRPr="0033525D" w:rsidRDefault="00923540" w:rsidP="00923540">
            <w:r w:rsidRPr="0033525D">
              <w:t>GENERAL</w:t>
            </w:r>
          </w:p>
          <w:p w14:paraId="5A2847E5" w14:textId="77777777" w:rsidR="00C15867" w:rsidRPr="0033525D" w:rsidRDefault="00C15867" w:rsidP="00F71FF8"/>
          <w:p w14:paraId="565B0A43" w14:textId="77777777" w:rsidR="00C15867" w:rsidRPr="003F73BA" w:rsidRDefault="00C15867" w:rsidP="00F71FF8"/>
          <w:p w14:paraId="7DA57FA8" w14:textId="77777777" w:rsidR="00C15867" w:rsidRPr="003F73BA" w:rsidRDefault="006C7AE9" w:rsidP="00F71FF8">
            <w:fldSimple w:instr=" DOCPROPERTY &quot;Document number&quot;  \* MERGEFORMAT ">
              <w:r w:rsidR="00FF033E">
                <w:t>UNEP/OzL.Pro/ExCom/87/9</w:t>
              </w:r>
            </w:fldSimple>
          </w:p>
          <w:p w14:paraId="511F4FA2" w14:textId="7D71BEC5" w:rsidR="00C15867" w:rsidRPr="006D5A7C" w:rsidRDefault="00BC2495" w:rsidP="00F71FF8">
            <w:pPr>
              <w:rPr>
                <w:lang w:val="fr-CA"/>
              </w:rPr>
            </w:pPr>
            <w:r>
              <w:fldChar w:fldCharType="begin"/>
            </w:r>
            <w:r w:rsidR="00851352">
              <w:instrText xml:space="preserve"> DOCPROPERTY "Revision date" \@ "d MMMM YYYY"  \* MERGEFORMAT </w:instrText>
            </w:r>
            <w:r>
              <w:fldChar w:fldCharType="separate"/>
            </w:r>
            <w:r w:rsidR="007537AB">
              <w:t>19 June 2021</w:t>
            </w:r>
            <w:r>
              <w:fldChar w:fldCharType="end"/>
            </w:r>
          </w:p>
          <w:p w14:paraId="393EE094" w14:textId="77777777" w:rsidR="00C15867" w:rsidRPr="00000FED" w:rsidRDefault="00C15867" w:rsidP="00F71FF8">
            <w:pPr>
              <w:rPr>
                <w:caps/>
              </w:rPr>
            </w:pPr>
          </w:p>
          <w:p w14:paraId="3C3A68BB" w14:textId="77777777" w:rsidR="00C15867" w:rsidRDefault="00C15867" w:rsidP="00F71FF8">
            <w:r w:rsidRPr="0033525D">
              <w:t>ORIGINAL: ENGLISH</w:t>
            </w:r>
          </w:p>
        </w:tc>
      </w:tr>
    </w:tbl>
    <w:p w14:paraId="07F288F0" w14:textId="77777777" w:rsidR="00FB1BB6" w:rsidRPr="009B0D30" w:rsidRDefault="00C15867" w:rsidP="00FB1BB6">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FB1BB6" w:rsidRPr="009B0D30">
        <w:t>Eighty-seventh Meeting</w:t>
      </w:r>
    </w:p>
    <w:p w14:paraId="7E7C0CAA" w14:textId="77777777" w:rsidR="00FB1BB6" w:rsidRPr="009B0D30" w:rsidRDefault="00FB1BB6" w:rsidP="00FB1BB6">
      <w:pPr>
        <w:jc w:val="left"/>
      </w:pPr>
      <w:r w:rsidRPr="009B0D30">
        <w:t>Montreal, 28 June-2 July 2021</w:t>
      </w:r>
      <w:r w:rsidR="00EF7609">
        <w:rPr>
          <w:rStyle w:val="FootnoteReference"/>
        </w:rPr>
        <w:footnoteReference w:id="2"/>
      </w:r>
    </w:p>
    <w:p w14:paraId="77FEDFC6" w14:textId="77777777" w:rsidR="00F51F14" w:rsidRDefault="00F51F14" w:rsidP="00FB1BB6">
      <w:pPr>
        <w:jc w:val="left"/>
      </w:pPr>
    </w:p>
    <w:p w14:paraId="07DB9F40" w14:textId="77777777" w:rsidR="00F51F14" w:rsidRDefault="00F51F14" w:rsidP="004E7F9C">
      <w:pPr>
        <w:pStyle w:val="Title1"/>
      </w:pPr>
    </w:p>
    <w:p w14:paraId="0F791885" w14:textId="77777777" w:rsidR="00316E45" w:rsidRDefault="00316E45" w:rsidP="004E7F9C">
      <w:pPr>
        <w:pStyle w:val="Title1"/>
      </w:pPr>
    </w:p>
    <w:p w14:paraId="33AE579F" w14:textId="77777777" w:rsidR="00C32DB3" w:rsidRDefault="00C32DB3" w:rsidP="00114C47">
      <w:pPr>
        <w:pStyle w:val="Title1"/>
        <w:rPr>
          <w:lang w:val="en-CA"/>
        </w:rPr>
      </w:pPr>
      <w:r>
        <w:rPr>
          <w:lang w:val="en-CA"/>
        </w:rPr>
        <w:t xml:space="preserve">status reports and </w:t>
      </w:r>
      <w:r w:rsidR="00114C47" w:rsidRPr="00A629B2">
        <w:rPr>
          <w:lang w:val="en-CA"/>
        </w:rPr>
        <w:t xml:space="preserve">REPORTS ON PROJECTS </w:t>
      </w:r>
    </w:p>
    <w:p w14:paraId="4264362B" w14:textId="77777777" w:rsidR="00114C47" w:rsidRDefault="00114C47" w:rsidP="00114C47">
      <w:pPr>
        <w:pStyle w:val="Title1"/>
        <w:rPr>
          <w:lang w:val="en-CA"/>
        </w:rPr>
      </w:pPr>
      <w:r w:rsidRPr="00A629B2">
        <w:rPr>
          <w:lang w:val="en-CA"/>
        </w:rPr>
        <w:t>WITH SPECIFIC REPORTING REQUIREMENTS</w:t>
      </w:r>
    </w:p>
    <w:p w14:paraId="197EED6F" w14:textId="77777777" w:rsidR="00C32DB3" w:rsidRDefault="00C32DB3" w:rsidP="00114C47">
      <w:pPr>
        <w:pStyle w:val="Title1"/>
        <w:rPr>
          <w:lang w:val="en-CA"/>
        </w:rPr>
      </w:pPr>
    </w:p>
    <w:p w14:paraId="35677EB0" w14:textId="77777777" w:rsidR="00114C47" w:rsidRDefault="00114C47" w:rsidP="00114C47">
      <w:pPr>
        <w:pStyle w:val="Heading1"/>
        <w:rPr>
          <w:lang w:val="en-CA"/>
        </w:rPr>
      </w:pPr>
      <w:r>
        <w:rPr>
          <w:lang w:val="en-CA"/>
        </w:rPr>
        <w:t xml:space="preserve">The present document </w:t>
      </w:r>
      <w:r w:rsidR="00C32DB3">
        <w:rPr>
          <w:lang w:val="en-CA"/>
        </w:rPr>
        <w:t xml:space="preserve">serves as a follow-up to the issues </w:t>
      </w:r>
      <w:r>
        <w:rPr>
          <w:lang w:val="en-CA"/>
        </w:rPr>
        <w:t xml:space="preserve">raised in </w:t>
      </w:r>
      <w:r w:rsidR="00C32DB3">
        <w:rPr>
          <w:lang w:val="en-CA"/>
        </w:rPr>
        <w:t>the last annual progress and finan</w:t>
      </w:r>
      <w:r w:rsidR="00FB1BB6">
        <w:rPr>
          <w:lang w:val="en-CA"/>
        </w:rPr>
        <w:t>cial reports submitted to the 86</w:t>
      </w:r>
      <w:r w:rsidR="00C32DB3" w:rsidRPr="00C32DB3">
        <w:rPr>
          <w:vertAlign w:val="superscript"/>
          <w:lang w:val="en-CA"/>
        </w:rPr>
        <w:t>th</w:t>
      </w:r>
      <w:r w:rsidR="00C32DB3">
        <w:rPr>
          <w:lang w:val="en-CA"/>
        </w:rPr>
        <w:t xml:space="preserve"> meeting,</w:t>
      </w:r>
      <w:r w:rsidR="00C32DB3">
        <w:rPr>
          <w:rStyle w:val="FootnoteReference"/>
          <w:lang w:val="en-CA"/>
        </w:rPr>
        <w:footnoteReference w:id="3"/>
      </w:r>
      <w:r w:rsidR="00C32DB3">
        <w:rPr>
          <w:lang w:val="en-CA"/>
        </w:rPr>
        <w:t xml:space="preserve"> and in relation to </w:t>
      </w:r>
      <w:r>
        <w:rPr>
          <w:lang w:val="en-CA"/>
        </w:rPr>
        <w:t>projects and activities for which specific reports were requested in previous meetings.</w:t>
      </w:r>
      <w:r w:rsidR="00C32DB3">
        <w:rPr>
          <w:lang w:val="en-CA"/>
        </w:rPr>
        <w:t xml:space="preserve"> </w:t>
      </w:r>
    </w:p>
    <w:p w14:paraId="5E73E4BA" w14:textId="7D97FDBE" w:rsidR="005E54FF" w:rsidRPr="005E54FF" w:rsidRDefault="005E54FF" w:rsidP="005E54FF">
      <w:pPr>
        <w:pStyle w:val="Heading1"/>
        <w:rPr>
          <w:lang w:val="en-CA"/>
        </w:rPr>
      </w:pPr>
      <w:r w:rsidRPr="005E54FF">
        <w:rPr>
          <w:lang w:val="en-US"/>
        </w:rPr>
        <w:t>Due to the coronavirus disease (COVID-19), the 85</w:t>
      </w:r>
      <w:r w:rsidRPr="005E54FF">
        <w:rPr>
          <w:vertAlign w:val="superscript"/>
          <w:lang w:val="en-US"/>
        </w:rPr>
        <w:t>th</w:t>
      </w:r>
      <w:r w:rsidRPr="005E54FF">
        <w:rPr>
          <w:lang w:val="en-US"/>
        </w:rPr>
        <w:t xml:space="preserve"> meeting was postponed and the 86</w:t>
      </w:r>
      <w:r w:rsidRPr="005E54FF">
        <w:rPr>
          <w:vertAlign w:val="superscript"/>
          <w:lang w:val="en-US"/>
        </w:rPr>
        <w:t>th</w:t>
      </w:r>
      <w:r w:rsidRPr="005E54FF">
        <w:rPr>
          <w:lang w:val="en-US"/>
        </w:rPr>
        <w:t xml:space="preserve"> meeting was limited to virtual discussions on a selected group of agenda items. The Executive Committee agreed for both meetings to establish intersessional approval processes (IAP) to consider certain reports and projects submitted to the 85</w:t>
      </w:r>
      <w:r w:rsidRPr="005E54FF">
        <w:rPr>
          <w:vertAlign w:val="superscript"/>
          <w:lang w:val="en-US"/>
        </w:rPr>
        <w:t>th</w:t>
      </w:r>
      <w:r w:rsidRPr="005E54FF">
        <w:rPr>
          <w:lang w:val="en-US"/>
        </w:rPr>
        <w:t xml:space="preserve"> and to the 86</w:t>
      </w:r>
      <w:r w:rsidRPr="005E54FF">
        <w:rPr>
          <w:vertAlign w:val="superscript"/>
          <w:lang w:val="en-US"/>
        </w:rPr>
        <w:t>th</w:t>
      </w:r>
      <w:r w:rsidRPr="005E54FF">
        <w:rPr>
          <w:lang w:val="en-US"/>
        </w:rPr>
        <w:t xml:space="preserve"> meetings, including </w:t>
      </w:r>
      <w:r w:rsidRPr="005E54FF">
        <w:t>reports on projects with specific reporting requirements recommended for blanket approval, while other reports that required individual consideration were deferred to the 87</w:t>
      </w:r>
      <w:r w:rsidRPr="005E54FF">
        <w:rPr>
          <w:vertAlign w:val="superscript"/>
        </w:rPr>
        <w:t>th</w:t>
      </w:r>
      <w:r w:rsidRPr="005E54FF">
        <w:t xml:space="preserve"> meeting. T</w:t>
      </w:r>
      <w:r w:rsidRPr="005E54FF">
        <w:rPr>
          <w:lang w:val="en-US"/>
        </w:rPr>
        <w:t xml:space="preserve">herefore, the present document also includes </w:t>
      </w:r>
      <w:r w:rsidRPr="005E54FF">
        <w:t>reports on projects with specific reporting requirements that were submitted for individual consideration to the 85</w:t>
      </w:r>
      <w:r w:rsidRPr="005E54FF">
        <w:rPr>
          <w:vertAlign w:val="superscript"/>
        </w:rPr>
        <w:t>th</w:t>
      </w:r>
      <w:r w:rsidRPr="005E54FF">
        <w:t xml:space="preserve"> and 86</w:t>
      </w:r>
      <w:r w:rsidRPr="005E54FF">
        <w:rPr>
          <w:vertAlign w:val="superscript"/>
        </w:rPr>
        <w:t>th</w:t>
      </w:r>
      <w:r w:rsidR="005740D1">
        <w:t> </w:t>
      </w:r>
      <w:r w:rsidRPr="005E54FF">
        <w:t>meeting</w:t>
      </w:r>
      <w:r w:rsidR="005740D1">
        <w:t>s</w:t>
      </w:r>
      <w:r w:rsidRPr="005E54FF">
        <w:rPr>
          <w:lang w:val="en-US"/>
        </w:rPr>
        <w:t>.</w:t>
      </w:r>
    </w:p>
    <w:p w14:paraId="1F1A95A7" w14:textId="77777777" w:rsidR="00114C47" w:rsidRDefault="00C32DB3" w:rsidP="00114C47">
      <w:pPr>
        <w:pStyle w:val="Heading1"/>
        <w:rPr>
          <w:lang w:val="en-CA"/>
        </w:rPr>
      </w:pPr>
      <w:r>
        <w:rPr>
          <w:lang w:val="en-CA"/>
        </w:rPr>
        <w:t>The document consists o</w:t>
      </w:r>
      <w:r w:rsidR="00877781">
        <w:rPr>
          <w:lang w:val="en-CA"/>
        </w:rPr>
        <w:t xml:space="preserve">f the following </w:t>
      </w:r>
      <w:r w:rsidR="00CB28A1">
        <w:rPr>
          <w:lang w:val="en-CA"/>
        </w:rPr>
        <w:t>four</w:t>
      </w:r>
      <w:r w:rsidR="007D72B5">
        <w:rPr>
          <w:lang w:val="en-CA"/>
        </w:rPr>
        <w:t xml:space="preserve"> </w:t>
      </w:r>
      <w:r w:rsidR="005A728E">
        <w:rPr>
          <w:lang w:val="en-CA"/>
        </w:rPr>
        <w:t>sections</w:t>
      </w:r>
      <w:r>
        <w:rPr>
          <w:lang w:val="en-CA"/>
        </w:rPr>
        <w:t>:</w:t>
      </w:r>
    </w:p>
    <w:p w14:paraId="59EBF897" w14:textId="77777777" w:rsidR="008C0142" w:rsidRDefault="008C0142" w:rsidP="009A6BA6">
      <w:pPr>
        <w:pStyle w:val="Heading2"/>
        <w:numPr>
          <w:ilvl w:val="0"/>
          <w:numId w:val="0"/>
        </w:numPr>
        <w:ind w:left="2160" w:hanging="1440"/>
        <w:rPr>
          <w:lang w:val="en-CA"/>
        </w:rPr>
      </w:pPr>
      <w:r>
        <w:rPr>
          <w:lang w:val="en-CA"/>
        </w:rPr>
        <w:t>Section I:</w:t>
      </w:r>
      <w:r>
        <w:rPr>
          <w:lang w:val="en-CA"/>
        </w:rPr>
        <w:tab/>
      </w:r>
      <w:r w:rsidRPr="008C0142">
        <w:rPr>
          <w:lang w:val="en-CA"/>
        </w:rPr>
        <w:t>Projects with implementation delays and for which special status reports were requested</w:t>
      </w:r>
    </w:p>
    <w:p w14:paraId="4CAC994A" w14:textId="77777777" w:rsidR="009A6BA6" w:rsidRDefault="009A6BA6" w:rsidP="009A6BA6">
      <w:pPr>
        <w:pStyle w:val="Heading2"/>
        <w:numPr>
          <w:ilvl w:val="0"/>
          <w:numId w:val="0"/>
        </w:numPr>
        <w:ind w:left="2160" w:hanging="1440"/>
      </w:pPr>
      <w:r>
        <w:rPr>
          <w:lang w:val="en-CA"/>
        </w:rPr>
        <w:t xml:space="preserve">Section </w:t>
      </w:r>
      <w:r w:rsidR="008C0142">
        <w:rPr>
          <w:lang w:val="en-CA"/>
        </w:rPr>
        <w:t>I</w:t>
      </w:r>
      <w:r>
        <w:rPr>
          <w:lang w:val="en-CA"/>
        </w:rPr>
        <w:t>I:</w:t>
      </w:r>
      <w:r>
        <w:rPr>
          <w:lang w:val="en-CA"/>
        </w:rPr>
        <w:tab/>
      </w:r>
      <w:r w:rsidR="005A728E">
        <w:rPr>
          <w:lang w:val="en-CA"/>
        </w:rPr>
        <w:t>Re</w:t>
      </w:r>
      <w:r>
        <w:rPr>
          <w:lang w:val="en-CA"/>
        </w:rPr>
        <w:t>ports on projects with specific reporting requirements</w:t>
      </w:r>
      <w:r>
        <w:t xml:space="preserve"> for which there are no outstanding policy, cost or other issues, for which the Executive Committee may wish to take decision on the basis of the Secretariat’s recommendations without further discussion (“blanket approval”). The report of the meeting of the Executive Committee will present each report contained in this section</w:t>
      </w:r>
      <w:r w:rsidRPr="00461B21">
        <w:t xml:space="preserve"> </w:t>
      </w:r>
      <w:r>
        <w:t>individually, together with the decision adopted by the Committee</w:t>
      </w:r>
      <w:r w:rsidR="00F17895">
        <w:t xml:space="preserve"> </w:t>
      </w:r>
    </w:p>
    <w:p w14:paraId="14817CF5" w14:textId="77777777" w:rsidR="00A411F2" w:rsidRDefault="00BB0C8D" w:rsidP="00A411F2">
      <w:pPr>
        <w:pStyle w:val="Heading2"/>
        <w:numPr>
          <w:ilvl w:val="0"/>
          <w:numId w:val="0"/>
        </w:numPr>
        <w:tabs>
          <w:tab w:val="left" w:pos="720"/>
        </w:tabs>
        <w:ind w:left="2160" w:hanging="1440"/>
      </w:pPr>
      <w:r>
        <w:t>Section III</w:t>
      </w:r>
      <w:r>
        <w:tab/>
      </w:r>
      <w:r w:rsidR="00F51F14" w:rsidRPr="00F51F14">
        <w:t xml:space="preserve">Reports </w:t>
      </w:r>
      <w:r w:rsidR="00A411F2">
        <w:rPr>
          <w:lang w:val="en-CA"/>
        </w:rPr>
        <w:t>on projects with specific reporting requirements</w:t>
      </w:r>
      <w:r w:rsidR="00A411F2">
        <w:t xml:space="preserve"> for individual </w:t>
      </w:r>
      <w:r w:rsidR="00A411F2">
        <w:lastRenderedPageBreak/>
        <w:t xml:space="preserve">consideration by the Executive Committee </w:t>
      </w:r>
      <w:r w:rsidR="00F17895">
        <w:t xml:space="preserve"> </w:t>
      </w:r>
    </w:p>
    <w:p w14:paraId="46A38B03" w14:textId="77777777" w:rsidR="00316E45" w:rsidRDefault="00CB1E45" w:rsidP="00316E45">
      <w:pPr>
        <w:spacing w:after="240"/>
        <w:ind w:left="2160" w:hanging="1440"/>
        <w:rPr>
          <w:lang w:val="en-CA"/>
        </w:rPr>
      </w:pPr>
      <w:r w:rsidRPr="00316E45">
        <w:rPr>
          <w:lang w:val="en-CA"/>
        </w:rPr>
        <w:t>Addendum I:</w:t>
      </w:r>
      <w:r w:rsidRPr="00316E45">
        <w:rPr>
          <w:lang w:val="en-CA"/>
        </w:rPr>
        <w:tab/>
        <w:t xml:space="preserve">Consists of </w:t>
      </w:r>
      <w:r w:rsidR="00316E45" w:rsidRPr="00316E45">
        <w:rPr>
          <w:lang w:val="en-CA"/>
        </w:rPr>
        <w:t xml:space="preserve">three </w:t>
      </w:r>
      <w:r w:rsidRPr="00316E45">
        <w:rPr>
          <w:lang w:val="en-CA"/>
        </w:rPr>
        <w:t>reports related to China</w:t>
      </w:r>
      <w:r w:rsidR="00316E45" w:rsidRPr="00316E45">
        <w:rPr>
          <w:lang w:val="en-CA"/>
        </w:rPr>
        <w:t>,</w:t>
      </w:r>
      <w:r w:rsidRPr="00316E45">
        <w:rPr>
          <w:rStyle w:val="FootnoteReference"/>
          <w:lang w:val="en-CA"/>
        </w:rPr>
        <w:footnoteReference w:id="4"/>
      </w:r>
      <w:r w:rsidR="00316E45" w:rsidRPr="00316E45">
        <w:rPr>
          <w:rStyle w:val="FootnoteReference"/>
          <w:lang w:val="en-CA"/>
        </w:rPr>
        <w:t xml:space="preserve"> </w:t>
      </w:r>
      <w:r w:rsidR="00316E45" w:rsidRPr="00316E45">
        <w:rPr>
          <w:lang w:val="en-CA"/>
        </w:rPr>
        <w:t>one of them to be included in the reports to be considered for “blanket approval” (Financial audit reports for the CFC production, halon, PU foam, process agent II, refrigeration servicing and solvent sectors (decision 86/41)). The other two reports, Report on progress in the implementation of activities listed in decision 83/41(e) and the Study to determine the regulatory, enforcement, policy or market circumstances that might have led to the illegal production and use of CFC-11 and CFC-12 (decision 83/41(d)), will be for individual consideration by the Executive Committee.</w:t>
      </w:r>
    </w:p>
    <w:p w14:paraId="0B18BAEC" w14:textId="77777777" w:rsidR="00B53651" w:rsidRPr="00FD1CAA" w:rsidRDefault="00B53651" w:rsidP="00B53651">
      <w:pPr>
        <w:pStyle w:val="sub-title"/>
        <w:keepNext/>
        <w:keepLines/>
        <w:spacing w:after="240"/>
        <w:ind w:left="1440" w:hanging="1440"/>
        <w:rPr>
          <w:noProof w:val="0"/>
          <w:lang w:val="en-CA"/>
        </w:rPr>
      </w:pPr>
      <w:r w:rsidRPr="00FD1CAA">
        <w:rPr>
          <w:noProof w:val="0"/>
          <w:lang w:val="en-CA"/>
        </w:rPr>
        <w:t>SECTION I:</w:t>
      </w:r>
      <w:r w:rsidRPr="00FD1CAA">
        <w:rPr>
          <w:noProof w:val="0"/>
          <w:lang w:val="en-CA"/>
        </w:rPr>
        <w:tab/>
        <w:t>PROJECTS WITH IMPLEMENTATION DELAYS AND FOR WHICH SPECIAL STATUS REPORTS WERE REQUESTED</w:t>
      </w:r>
    </w:p>
    <w:p w14:paraId="4EC7B87D" w14:textId="77777777" w:rsidR="00B53651" w:rsidRDefault="00B53651" w:rsidP="00B53651">
      <w:pPr>
        <w:pStyle w:val="Heading1"/>
        <w:rPr>
          <w:lang w:val="en-CA"/>
        </w:rPr>
      </w:pPr>
      <w:r w:rsidRPr="00FD1CAA">
        <w:rPr>
          <w:lang w:val="en-CA"/>
        </w:rPr>
        <w:t xml:space="preserve">At </w:t>
      </w:r>
      <w:r w:rsidRPr="00E11736">
        <w:rPr>
          <w:lang w:val="en-CA"/>
        </w:rPr>
        <w:t xml:space="preserve">the </w:t>
      </w:r>
      <w:r>
        <w:rPr>
          <w:lang w:val="en-CA"/>
        </w:rPr>
        <w:t xml:space="preserve">IAP </w:t>
      </w:r>
      <w:r w:rsidRPr="00E11736">
        <w:rPr>
          <w:lang w:val="en-CA"/>
        </w:rPr>
        <w:t xml:space="preserve">established for </w:t>
      </w:r>
      <w:r w:rsidRPr="00FD1CAA">
        <w:rPr>
          <w:lang w:val="en-CA"/>
        </w:rPr>
        <w:t>the 86</w:t>
      </w:r>
      <w:r w:rsidRPr="00FD1CAA">
        <w:rPr>
          <w:vertAlign w:val="superscript"/>
          <w:lang w:val="en-CA"/>
        </w:rPr>
        <w:t>th</w:t>
      </w:r>
      <w:r w:rsidRPr="00FD1CAA">
        <w:rPr>
          <w:lang w:val="en-CA"/>
        </w:rPr>
        <w:t xml:space="preserve"> meeting, </w:t>
      </w:r>
      <w:r>
        <w:rPr>
          <w:lang w:val="en-CA"/>
        </w:rPr>
        <w:t>the Executive Committee noted t</w:t>
      </w:r>
      <w:r w:rsidRPr="000D73F8">
        <w:rPr>
          <w:lang w:val="en-CA"/>
        </w:rPr>
        <w:t>hat the bilateral and implementing agencies would report, at the 87</w:t>
      </w:r>
      <w:r w:rsidRPr="000D73F8">
        <w:rPr>
          <w:vertAlign w:val="superscript"/>
          <w:lang w:val="en-CA"/>
        </w:rPr>
        <w:t>th</w:t>
      </w:r>
      <w:r w:rsidRPr="000D73F8">
        <w:rPr>
          <w:lang w:val="en-CA"/>
        </w:rPr>
        <w:t xml:space="preserve"> meeting, on </w:t>
      </w:r>
      <w:r>
        <w:rPr>
          <w:lang w:val="en-CA"/>
        </w:rPr>
        <w:t xml:space="preserve">the </w:t>
      </w:r>
      <w:r w:rsidRPr="000D73F8">
        <w:rPr>
          <w:lang w:val="en-CA"/>
        </w:rPr>
        <w:t>94 projects with implementation delays and 55 ongoing projects or tranches of multi</w:t>
      </w:r>
      <w:r w:rsidRPr="000D73F8">
        <w:rPr>
          <w:lang w:val="en-CA"/>
        </w:rPr>
        <w:noBreakHyphen/>
        <w:t>year agreements recommended for additional status reports</w:t>
      </w:r>
      <w:r>
        <w:rPr>
          <w:lang w:val="en-CA"/>
        </w:rPr>
        <w:t xml:space="preserve"> (decision 86/13(c)).</w:t>
      </w:r>
      <w:r w:rsidRPr="00FD1CAA">
        <w:rPr>
          <w:lang w:val="en-CA"/>
        </w:rPr>
        <w:t xml:space="preserve"> </w:t>
      </w:r>
      <w:r>
        <w:rPr>
          <w:lang w:val="en-CA"/>
        </w:rPr>
        <w:t xml:space="preserve">Accordingly, </w:t>
      </w:r>
      <w:r w:rsidRPr="005F13EC">
        <w:rPr>
          <w:lang w:val="en-CA"/>
        </w:rPr>
        <w:t>relevant bilateral and implementing agencies submitted the</w:t>
      </w:r>
      <w:r w:rsidRPr="00FD1CAA">
        <w:rPr>
          <w:lang w:val="en-CA"/>
        </w:rPr>
        <w:t xml:space="preserve"> </w:t>
      </w:r>
      <w:r w:rsidRPr="005F13EC">
        <w:rPr>
          <w:lang w:val="en-CA"/>
        </w:rPr>
        <w:t>requested reports to the 87</w:t>
      </w:r>
      <w:r w:rsidRPr="005F13EC">
        <w:rPr>
          <w:vertAlign w:val="superscript"/>
          <w:lang w:val="en-CA"/>
        </w:rPr>
        <w:t>th</w:t>
      </w:r>
      <w:r>
        <w:rPr>
          <w:lang w:val="en-CA"/>
        </w:rPr>
        <w:t> </w:t>
      </w:r>
      <w:r w:rsidRPr="005F13EC">
        <w:rPr>
          <w:lang w:val="en-CA"/>
        </w:rPr>
        <w:t>meeting.</w:t>
      </w:r>
    </w:p>
    <w:p w14:paraId="5EFD7B8F" w14:textId="77777777" w:rsidR="00B53651" w:rsidRPr="00FD1CAA" w:rsidRDefault="00B53651" w:rsidP="00B53651">
      <w:pPr>
        <w:pStyle w:val="sub-title"/>
        <w:keepNext/>
        <w:spacing w:after="240"/>
        <w:rPr>
          <w:noProof w:val="0"/>
          <w:lang w:val="en-CA"/>
        </w:rPr>
      </w:pPr>
      <w:r w:rsidRPr="00FD1CAA">
        <w:rPr>
          <w:noProof w:val="0"/>
          <w:lang w:val="en-CA"/>
        </w:rPr>
        <w:t>Implementation delays</w:t>
      </w:r>
    </w:p>
    <w:p w14:paraId="3D7A0939" w14:textId="77777777" w:rsidR="00B53651" w:rsidRPr="0078306C" w:rsidRDefault="00B53651" w:rsidP="00B53651">
      <w:pPr>
        <w:pStyle w:val="Heading1"/>
        <w:rPr>
          <w:lang w:val="en-CA"/>
        </w:rPr>
      </w:pPr>
      <w:r w:rsidRPr="005F13EC">
        <w:t xml:space="preserve">In </w:t>
      </w:r>
      <w:r>
        <w:t xml:space="preserve">reviewing </w:t>
      </w:r>
      <w:r w:rsidRPr="005F13EC">
        <w:t>the reports</w:t>
      </w:r>
      <w:r>
        <w:t xml:space="preserve"> submitted by</w:t>
      </w:r>
      <w:r w:rsidRPr="005F13EC">
        <w:t xml:space="preserve"> bilateral and implementing agencies</w:t>
      </w:r>
      <w:r>
        <w:t>, the Secretariat noted:</w:t>
      </w:r>
    </w:p>
    <w:p w14:paraId="0DC0953E" w14:textId="77777777" w:rsidR="00B53651" w:rsidRPr="0078306C" w:rsidRDefault="00B53651" w:rsidP="00B53651">
      <w:pPr>
        <w:pStyle w:val="Heading2"/>
        <w:rPr>
          <w:lang w:val="en-CA"/>
        </w:rPr>
      </w:pPr>
      <w:r>
        <w:t>T</w:t>
      </w:r>
      <w:r w:rsidRPr="005F13EC">
        <w:t>hat there has been progress in overcoming delays</w:t>
      </w:r>
      <w:r>
        <w:t xml:space="preserve"> in 50 projects that would be removed from future reporting;</w:t>
      </w:r>
    </w:p>
    <w:p w14:paraId="302A3494" w14:textId="77777777" w:rsidR="00B53651" w:rsidRPr="0078306C" w:rsidRDefault="00B53651" w:rsidP="00B53651">
      <w:pPr>
        <w:pStyle w:val="Heading2"/>
        <w:rPr>
          <w:lang w:val="en-CA"/>
        </w:rPr>
      </w:pPr>
      <w:r>
        <w:t>That “some progress” has been achieved in 30 projects listed in Annex I to the present document, that would require continued monitoring until their final completion in line with decision 32/4; and</w:t>
      </w:r>
    </w:p>
    <w:p w14:paraId="5E2FEF6D" w14:textId="77777777" w:rsidR="00B53651" w:rsidRPr="00FD1CAA" w:rsidRDefault="00B53651" w:rsidP="00B53651">
      <w:pPr>
        <w:pStyle w:val="Heading2"/>
        <w:rPr>
          <w:lang w:val="en-CA"/>
        </w:rPr>
      </w:pPr>
      <w:r>
        <w:t xml:space="preserve">That “no progress” has been made in 14 projects listed in Annex II to the present document, </w:t>
      </w:r>
      <w:r w:rsidRPr="00FD1CAA">
        <w:rPr>
          <w:lang w:val="en-CA"/>
        </w:rPr>
        <w:t>for the first time</w:t>
      </w:r>
      <w:r w:rsidRPr="00FD1CAA">
        <w:t xml:space="preserve"> </w:t>
      </w:r>
      <w:r>
        <w:rPr>
          <w:lang w:val="en-CA"/>
        </w:rPr>
        <w:t>after a multi-year agreement</w:t>
      </w:r>
      <w:r w:rsidRPr="00FD1CAA">
        <w:rPr>
          <w:lang w:val="en-CA"/>
        </w:rPr>
        <w:t xml:space="preserve"> component had been classified as having an implementation delay</w:t>
      </w:r>
      <w:r>
        <w:rPr>
          <w:lang w:val="en-CA"/>
        </w:rPr>
        <w:t>, that would require continued monitoring in line with decision 84/45</w:t>
      </w:r>
      <w:r w:rsidRPr="005F13EC">
        <w:t>.</w:t>
      </w:r>
    </w:p>
    <w:p w14:paraId="70010462" w14:textId="77777777" w:rsidR="00B53651" w:rsidRPr="00FD1CAA" w:rsidRDefault="00B53651" w:rsidP="00B53651">
      <w:pPr>
        <w:pStyle w:val="sub-title"/>
        <w:keepNext/>
        <w:spacing w:after="240"/>
        <w:rPr>
          <w:bCs/>
          <w:iCs/>
          <w:noProof w:val="0"/>
          <w:lang w:val="en-CA"/>
        </w:rPr>
      </w:pPr>
      <w:r w:rsidRPr="00FD1CAA">
        <w:rPr>
          <w:iCs/>
          <w:noProof w:val="0"/>
          <w:lang w:val="en-CA"/>
        </w:rPr>
        <w:t>Projects for which additional status reports were requested</w:t>
      </w:r>
      <w:r w:rsidRPr="00FD1CAA">
        <w:rPr>
          <w:rStyle w:val="FootnoteReference"/>
          <w:iCs/>
          <w:noProof w:val="0"/>
          <w:lang w:val="en-CA"/>
        </w:rPr>
        <w:footnoteReference w:id="5"/>
      </w:r>
    </w:p>
    <w:p w14:paraId="721210FE" w14:textId="77777777" w:rsidR="00B53651" w:rsidRDefault="00B53651" w:rsidP="00B53651">
      <w:pPr>
        <w:pStyle w:val="Heading1"/>
        <w:rPr>
          <w:lang w:val="en-CA"/>
        </w:rPr>
      </w:pPr>
      <w:r>
        <w:rPr>
          <w:lang w:val="en-CA"/>
        </w:rPr>
        <w:t>T</w:t>
      </w:r>
      <w:r w:rsidRPr="00FD1CAA">
        <w:rPr>
          <w:lang w:val="en-CA"/>
        </w:rPr>
        <w:t xml:space="preserve">he Secretariat held discussions with </w:t>
      </w:r>
      <w:r>
        <w:rPr>
          <w:lang w:val="en-CA"/>
        </w:rPr>
        <w:t xml:space="preserve">relevant bilateral and implementing </w:t>
      </w:r>
      <w:r w:rsidRPr="00FD1CAA">
        <w:rPr>
          <w:lang w:val="en-CA"/>
        </w:rPr>
        <w:t xml:space="preserve">agencies </w:t>
      </w:r>
      <w:r>
        <w:rPr>
          <w:lang w:val="en-CA"/>
        </w:rPr>
        <w:t xml:space="preserve">on projects for which additional status reports were requested. Further to the discussions, </w:t>
      </w:r>
      <w:r w:rsidRPr="00FD1CAA">
        <w:rPr>
          <w:lang w:val="en-CA"/>
        </w:rPr>
        <w:t>several issues have been satisfactorily addressed</w:t>
      </w:r>
      <w:r>
        <w:rPr>
          <w:lang w:val="en-CA"/>
        </w:rPr>
        <w:t>.</w:t>
      </w:r>
    </w:p>
    <w:p w14:paraId="3A22E7F8" w14:textId="77777777" w:rsidR="00B53651" w:rsidRPr="00FD1CAA" w:rsidRDefault="00B53651" w:rsidP="00B53651">
      <w:pPr>
        <w:pStyle w:val="Heading1"/>
        <w:rPr>
          <w:lang w:val="en-CA"/>
        </w:rPr>
      </w:pPr>
      <w:r w:rsidRPr="00FD1CAA">
        <w:rPr>
          <w:lang w:val="en-CA"/>
        </w:rPr>
        <w:t xml:space="preserve">The projects with outstanding issues are listed in Annex </w:t>
      </w:r>
      <w:r w:rsidRPr="005F13EC">
        <w:rPr>
          <w:lang w:val="en-CA"/>
        </w:rPr>
        <w:t>III</w:t>
      </w:r>
      <w:r w:rsidRPr="00FD1CAA">
        <w:rPr>
          <w:lang w:val="en-CA"/>
        </w:rPr>
        <w:t xml:space="preserve"> to the present document. </w:t>
      </w:r>
    </w:p>
    <w:p w14:paraId="6829ED22" w14:textId="77777777" w:rsidR="00B53651" w:rsidRPr="00FD1CAA" w:rsidRDefault="00B53651" w:rsidP="00B53651">
      <w:pPr>
        <w:pStyle w:val="a--"/>
        <w:suppressAutoHyphens w:val="0"/>
        <w:jc w:val="left"/>
        <w:rPr>
          <w:sz w:val="22"/>
          <w:szCs w:val="22"/>
          <w:lang w:val="en-CA"/>
        </w:rPr>
      </w:pPr>
      <w:r w:rsidRPr="00FD1CAA">
        <w:rPr>
          <w:sz w:val="22"/>
          <w:szCs w:val="22"/>
          <w:lang w:val="en-CA"/>
        </w:rPr>
        <w:t>Recommendation</w:t>
      </w:r>
    </w:p>
    <w:p w14:paraId="2B7B1B9A" w14:textId="77777777" w:rsidR="00B53651" w:rsidRPr="00FD1CAA" w:rsidRDefault="00B53651" w:rsidP="00B53651">
      <w:pPr>
        <w:pStyle w:val="0Heading0"/>
        <w:rPr>
          <w:lang w:val="en-CA"/>
        </w:rPr>
      </w:pPr>
    </w:p>
    <w:p w14:paraId="2CDEAC27" w14:textId="77777777" w:rsidR="00B53651" w:rsidRPr="00FD1CAA" w:rsidRDefault="00B53651" w:rsidP="00B53651">
      <w:pPr>
        <w:pStyle w:val="Heading1"/>
        <w:rPr>
          <w:lang w:val="en-CA"/>
        </w:rPr>
      </w:pPr>
      <w:r w:rsidRPr="00FD1CAA">
        <w:rPr>
          <w:lang w:val="en-CA"/>
        </w:rPr>
        <w:t>The Executive Committee may wish:</w:t>
      </w:r>
    </w:p>
    <w:p w14:paraId="757F1966" w14:textId="77777777" w:rsidR="00B53651" w:rsidRPr="00FD1CAA" w:rsidRDefault="00B53651" w:rsidP="00B53651">
      <w:pPr>
        <w:pStyle w:val="Heading2"/>
        <w:rPr>
          <w:lang w:val="en-CA"/>
        </w:rPr>
      </w:pPr>
      <w:r w:rsidRPr="00FD1CAA">
        <w:rPr>
          <w:lang w:val="en-CA"/>
        </w:rPr>
        <w:t>To note:</w:t>
      </w:r>
    </w:p>
    <w:p w14:paraId="27FE57F7" w14:textId="77777777" w:rsidR="00B53651" w:rsidRPr="00FD1CAA" w:rsidRDefault="00B53651" w:rsidP="00B53651">
      <w:pPr>
        <w:pStyle w:val="Heading3"/>
        <w:rPr>
          <w:lang w:val="en-CA"/>
        </w:rPr>
      </w:pPr>
      <w:r w:rsidRPr="00FD1CAA">
        <w:rPr>
          <w:lang w:val="en-CA"/>
        </w:rPr>
        <w:lastRenderedPageBreak/>
        <w:t>The implementation delay reports and status reports submitted by bilateral and implementing agencies, contained in document UNEP/OzL.Pro/ExCom/87/</w:t>
      </w:r>
      <w:r>
        <w:rPr>
          <w:lang w:val="en-CA"/>
        </w:rPr>
        <w:t>9</w:t>
      </w:r>
      <w:r w:rsidRPr="00FD1CAA">
        <w:rPr>
          <w:lang w:val="en-CA"/>
        </w:rPr>
        <w:t xml:space="preserve">; </w:t>
      </w:r>
    </w:p>
    <w:p w14:paraId="63816696" w14:textId="77777777" w:rsidR="00B53651" w:rsidRPr="00FD1CAA" w:rsidRDefault="00B53651" w:rsidP="00B53651">
      <w:pPr>
        <w:pStyle w:val="Heading3"/>
        <w:rPr>
          <w:lang w:val="en-CA"/>
        </w:rPr>
      </w:pPr>
      <w:r w:rsidRPr="00FD1CAA">
        <w:rPr>
          <w:lang w:val="en-CA"/>
        </w:rPr>
        <w:t xml:space="preserve">That bilateral and </w:t>
      </w:r>
      <w:r w:rsidRPr="00271AEC">
        <w:rPr>
          <w:lang w:val="en-CA"/>
        </w:rPr>
        <w:t>implementing agencies would report to the Executive Committee at the 88</w:t>
      </w:r>
      <w:r w:rsidRPr="00271AEC">
        <w:rPr>
          <w:vertAlign w:val="superscript"/>
          <w:lang w:val="en-CA"/>
        </w:rPr>
        <w:t>th</w:t>
      </w:r>
      <w:r w:rsidRPr="00271AEC">
        <w:rPr>
          <w:lang w:val="en-CA"/>
        </w:rPr>
        <w:t xml:space="preserve"> meeting on 44 projects with implementation delays, as indicated in Annexes I and II to the present document, and on 22 projects recommended for additional status reports, as indicated in Annex III to the present document, as part of the 2020 annual and financial progress report of the bilateral and implementing agencies; and</w:t>
      </w:r>
    </w:p>
    <w:p w14:paraId="764969BF" w14:textId="77777777" w:rsidR="00B53651" w:rsidRPr="00FD1CAA" w:rsidRDefault="00B53651" w:rsidP="00B53651">
      <w:pPr>
        <w:pStyle w:val="Heading2"/>
        <w:rPr>
          <w:lang w:val="en-CA"/>
        </w:rPr>
      </w:pPr>
      <w:r w:rsidRPr="00FD1CAA">
        <w:rPr>
          <w:lang w:val="en-CA"/>
        </w:rPr>
        <w:t>To approve the recommendations on ongoing projects with specific issues listed in the last column of the table in Annex </w:t>
      </w:r>
      <w:r w:rsidRPr="005F13EC">
        <w:rPr>
          <w:lang w:val="en-CA"/>
        </w:rPr>
        <w:t>II</w:t>
      </w:r>
      <w:r w:rsidRPr="00FD1CAA">
        <w:rPr>
          <w:lang w:val="en-CA"/>
        </w:rPr>
        <w:t>I to the present document.</w:t>
      </w:r>
    </w:p>
    <w:p w14:paraId="796ABBBF" w14:textId="77777777" w:rsidR="008C0142" w:rsidRPr="008C0142" w:rsidRDefault="008C0142" w:rsidP="008C0142">
      <w:pPr>
        <w:pStyle w:val="Heading1"/>
        <w:numPr>
          <w:ilvl w:val="0"/>
          <w:numId w:val="0"/>
        </w:numPr>
        <w:rPr>
          <w:b/>
          <w:lang w:val="en-CA"/>
        </w:rPr>
      </w:pPr>
      <w:r w:rsidRPr="008C0142">
        <w:rPr>
          <w:b/>
          <w:lang w:val="en-CA"/>
        </w:rPr>
        <w:t>REPORTS ON PROJECTS WITH SPECIFIC REPORTING REQUIREMENTS</w:t>
      </w:r>
    </w:p>
    <w:p w14:paraId="0EB175DE" w14:textId="77777777" w:rsidR="009A6BA6" w:rsidRDefault="009A6BA6" w:rsidP="009A6BA6">
      <w:pPr>
        <w:pStyle w:val="Heading1"/>
      </w:pPr>
      <w:r>
        <w:rPr>
          <w:lang w:val="en-CA"/>
        </w:rPr>
        <w:t>Table 1 lists the r</w:t>
      </w:r>
      <w:r w:rsidR="00DC6D11">
        <w:rPr>
          <w:lang w:val="en-CA"/>
        </w:rPr>
        <w:t xml:space="preserve">eports on projects with specific reporting requirements submitted to the </w:t>
      </w:r>
      <w:r w:rsidR="004A2B8B">
        <w:t>87</w:t>
      </w:r>
      <w:r w:rsidR="00DC6D11" w:rsidRPr="00DC6D11">
        <w:rPr>
          <w:vertAlign w:val="superscript"/>
        </w:rPr>
        <w:t>th</w:t>
      </w:r>
      <w:r w:rsidR="00DC6D11">
        <w:t> </w:t>
      </w:r>
      <w:r w:rsidR="00DC6D11" w:rsidRPr="00DC6D11">
        <w:t>meeting</w:t>
      </w:r>
      <w:r w:rsidR="00DC6D11">
        <w:t xml:space="preserve"> recommended for blanket approval.</w:t>
      </w:r>
    </w:p>
    <w:p w14:paraId="49037348" w14:textId="77777777" w:rsidR="00DC6D11" w:rsidRPr="004E765B" w:rsidRDefault="00DC6D11" w:rsidP="00CE74DC">
      <w:pPr>
        <w:keepNext/>
        <w:rPr>
          <w:b/>
          <w:sz w:val="21"/>
          <w:szCs w:val="21"/>
        </w:rPr>
      </w:pPr>
      <w:r w:rsidRPr="004E765B">
        <w:rPr>
          <w:b/>
          <w:sz w:val="21"/>
          <w:szCs w:val="21"/>
        </w:rPr>
        <w:t>Table 1</w:t>
      </w:r>
      <w:r w:rsidR="00BA6E81">
        <w:rPr>
          <w:b/>
          <w:sz w:val="21"/>
          <w:szCs w:val="21"/>
        </w:rPr>
        <w:t>:</w:t>
      </w:r>
      <w:r w:rsidRPr="004E765B">
        <w:rPr>
          <w:b/>
          <w:sz w:val="21"/>
          <w:szCs w:val="21"/>
        </w:rPr>
        <w:t xml:space="preserve"> Reports on projects with specific reporting requirements recommended for blanket approval</w:t>
      </w:r>
    </w:p>
    <w:tbl>
      <w:tblPr>
        <w:tblStyle w:val="TableGrid"/>
        <w:tblW w:w="5048" w:type="pct"/>
        <w:tblLook w:val="04A0" w:firstRow="1" w:lastRow="0" w:firstColumn="1" w:lastColumn="0" w:noHBand="0" w:noVBand="1"/>
      </w:tblPr>
      <w:tblGrid>
        <w:gridCol w:w="1435"/>
        <w:gridCol w:w="6661"/>
        <w:gridCol w:w="1344"/>
      </w:tblGrid>
      <w:tr w:rsidR="008769EC" w:rsidRPr="00DC2D4E" w14:paraId="50E4730A" w14:textId="77777777" w:rsidTr="004C62BE">
        <w:trPr>
          <w:tblHeader/>
        </w:trPr>
        <w:tc>
          <w:tcPr>
            <w:tcW w:w="760" w:type="pct"/>
          </w:tcPr>
          <w:p w14:paraId="246A5C63" w14:textId="77777777" w:rsidR="008769EC" w:rsidRPr="00DC2D4E" w:rsidRDefault="008769EC" w:rsidP="00CE74DC">
            <w:pPr>
              <w:keepNext/>
              <w:rPr>
                <w:b/>
                <w:sz w:val="20"/>
                <w:szCs w:val="20"/>
              </w:rPr>
            </w:pPr>
            <w:r w:rsidRPr="00DC2D4E">
              <w:rPr>
                <w:b/>
                <w:sz w:val="20"/>
                <w:szCs w:val="20"/>
              </w:rPr>
              <w:t>Country</w:t>
            </w:r>
          </w:p>
        </w:tc>
        <w:tc>
          <w:tcPr>
            <w:tcW w:w="3528" w:type="pct"/>
          </w:tcPr>
          <w:p w14:paraId="1F670388" w14:textId="77777777" w:rsidR="008769EC" w:rsidRPr="00DC2D4E" w:rsidRDefault="008769EC" w:rsidP="00CE74DC">
            <w:pPr>
              <w:keepNext/>
              <w:rPr>
                <w:b/>
                <w:sz w:val="20"/>
                <w:szCs w:val="20"/>
              </w:rPr>
            </w:pPr>
            <w:r w:rsidRPr="00DC2D4E">
              <w:rPr>
                <w:b/>
                <w:sz w:val="20"/>
                <w:szCs w:val="20"/>
              </w:rPr>
              <w:t>Project title</w:t>
            </w:r>
          </w:p>
        </w:tc>
        <w:tc>
          <w:tcPr>
            <w:tcW w:w="712" w:type="pct"/>
          </w:tcPr>
          <w:p w14:paraId="4DFF2969" w14:textId="77777777" w:rsidR="008769EC" w:rsidRPr="00DC2D4E" w:rsidRDefault="008769EC" w:rsidP="00CE74DC">
            <w:pPr>
              <w:keepNext/>
              <w:rPr>
                <w:b/>
                <w:sz w:val="20"/>
                <w:szCs w:val="20"/>
              </w:rPr>
            </w:pPr>
            <w:r w:rsidRPr="00DC2D4E">
              <w:rPr>
                <w:b/>
                <w:sz w:val="20"/>
                <w:szCs w:val="20"/>
              </w:rPr>
              <w:t>Paragraphs</w:t>
            </w:r>
          </w:p>
        </w:tc>
      </w:tr>
      <w:tr w:rsidR="001056DB" w:rsidRPr="00DC2D4E" w14:paraId="0CE15054" w14:textId="77777777" w:rsidTr="004C62BE">
        <w:tc>
          <w:tcPr>
            <w:tcW w:w="5000" w:type="pct"/>
            <w:gridSpan w:val="3"/>
          </w:tcPr>
          <w:p w14:paraId="671E34ED" w14:textId="77777777" w:rsidR="001056DB" w:rsidRPr="00DC2D4E" w:rsidRDefault="001056DB" w:rsidP="001056DB">
            <w:pPr>
              <w:rPr>
                <w:b/>
                <w:sz w:val="20"/>
                <w:szCs w:val="20"/>
              </w:rPr>
            </w:pPr>
            <w:r w:rsidRPr="00DC2D4E">
              <w:rPr>
                <w:b/>
                <w:sz w:val="20"/>
                <w:szCs w:val="20"/>
              </w:rPr>
              <w:t>Reports related to HCFC phase-out management plans (HPMPs)</w:t>
            </w:r>
          </w:p>
        </w:tc>
      </w:tr>
      <w:tr w:rsidR="005D0062" w:rsidRPr="00DC2D4E" w14:paraId="74643A7B" w14:textId="77777777" w:rsidTr="00DC2D4E">
        <w:tc>
          <w:tcPr>
            <w:tcW w:w="760" w:type="pct"/>
            <w:shd w:val="clear" w:color="auto" w:fill="auto"/>
          </w:tcPr>
          <w:p w14:paraId="3AD34D08" w14:textId="77777777" w:rsidR="005D0062" w:rsidRPr="00DC2D4E" w:rsidRDefault="005D0062" w:rsidP="005D0062">
            <w:pPr>
              <w:rPr>
                <w:sz w:val="20"/>
                <w:szCs w:val="20"/>
              </w:rPr>
            </w:pPr>
            <w:r w:rsidRPr="00DC2D4E">
              <w:rPr>
                <w:sz w:val="20"/>
                <w:szCs w:val="20"/>
              </w:rPr>
              <w:t>Afghanistan</w:t>
            </w:r>
          </w:p>
        </w:tc>
        <w:tc>
          <w:tcPr>
            <w:tcW w:w="3528" w:type="pct"/>
          </w:tcPr>
          <w:p w14:paraId="573EED51" w14:textId="77777777" w:rsidR="005D0062" w:rsidRPr="00DC2D4E" w:rsidRDefault="005D0062" w:rsidP="005D0062">
            <w:pPr>
              <w:rPr>
                <w:sz w:val="20"/>
                <w:szCs w:val="20"/>
              </w:rPr>
            </w:pPr>
            <w:r w:rsidRPr="00DC2D4E">
              <w:rPr>
                <w:sz w:val="20"/>
                <w:szCs w:val="20"/>
              </w:rPr>
              <w:t>HPMP (stage I): Request for extension of completion date</w:t>
            </w:r>
          </w:p>
        </w:tc>
        <w:tc>
          <w:tcPr>
            <w:tcW w:w="712" w:type="pct"/>
            <w:vAlign w:val="center"/>
          </w:tcPr>
          <w:p w14:paraId="24232C39" w14:textId="77777777" w:rsidR="005D0062" w:rsidRPr="00DC2D4E" w:rsidRDefault="00C17492" w:rsidP="005D0062">
            <w:pPr>
              <w:jc w:val="center"/>
              <w:rPr>
                <w:sz w:val="20"/>
                <w:szCs w:val="20"/>
              </w:rPr>
            </w:pPr>
            <w:r>
              <w:rPr>
                <w:sz w:val="20"/>
                <w:szCs w:val="20"/>
              </w:rPr>
              <w:t>11</w:t>
            </w:r>
            <w:r w:rsidR="005D0062" w:rsidRPr="00DC2D4E">
              <w:rPr>
                <w:sz w:val="20"/>
                <w:szCs w:val="20"/>
              </w:rPr>
              <w:t>-2</w:t>
            </w:r>
            <w:r>
              <w:rPr>
                <w:sz w:val="20"/>
                <w:szCs w:val="20"/>
              </w:rPr>
              <w:t>5</w:t>
            </w:r>
          </w:p>
        </w:tc>
      </w:tr>
      <w:tr w:rsidR="005D0062" w:rsidRPr="00DC2D4E" w14:paraId="3600E954" w14:textId="77777777" w:rsidTr="00DC2D4E">
        <w:tc>
          <w:tcPr>
            <w:tcW w:w="760" w:type="pct"/>
            <w:shd w:val="clear" w:color="auto" w:fill="auto"/>
          </w:tcPr>
          <w:p w14:paraId="44246E3B" w14:textId="77777777" w:rsidR="005D0062" w:rsidRPr="00DC2D4E" w:rsidRDefault="005D0062" w:rsidP="005D0062">
            <w:pPr>
              <w:rPr>
                <w:sz w:val="20"/>
                <w:szCs w:val="20"/>
              </w:rPr>
            </w:pPr>
            <w:r w:rsidRPr="00DC2D4E">
              <w:rPr>
                <w:sz w:val="20"/>
                <w:szCs w:val="20"/>
              </w:rPr>
              <w:t>Argentina</w:t>
            </w:r>
          </w:p>
        </w:tc>
        <w:tc>
          <w:tcPr>
            <w:tcW w:w="3528" w:type="pct"/>
          </w:tcPr>
          <w:p w14:paraId="44A5967D" w14:textId="77777777" w:rsidR="005D0062" w:rsidRPr="00DC2D4E" w:rsidRDefault="005D0062" w:rsidP="005D0062">
            <w:pPr>
              <w:rPr>
                <w:sz w:val="20"/>
                <w:szCs w:val="20"/>
              </w:rPr>
            </w:pPr>
            <w:r w:rsidRPr="00DC2D4E">
              <w:rPr>
                <w:sz w:val="20"/>
                <w:szCs w:val="20"/>
              </w:rPr>
              <w:t xml:space="preserve">HPMP (stage II): Update on the financial viability of the enterprise </w:t>
            </w:r>
            <w:proofErr w:type="spellStart"/>
            <w:r w:rsidRPr="00DC2D4E">
              <w:rPr>
                <w:sz w:val="20"/>
                <w:szCs w:val="20"/>
              </w:rPr>
              <w:t>Celpack</w:t>
            </w:r>
            <w:proofErr w:type="spellEnd"/>
          </w:p>
        </w:tc>
        <w:tc>
          <w:tcPr>
            <w:tcW w:w="712" w:type="pct"/>
            <w:vAlign w:val="center"/>
          </w:tcPr>
          <w:p w14:paraId="1F8B1713" w14:textId="77777777" w:rsidR="005D0062" w:rsidRPr="00DC2D4E" w:rsidRDefault="00C17492" w:rsidP="005D0062">
            <w:pPr>
              <w:jc w:val="center"/>
              <w:rPr>
                <w:sz w:val="20"/>
                <w:szCs w:val="20"/>
              </w:rPr>
            </w:pPr>
            <w:r>
              <w:rPr>
                <w:sz w:val="20"/>
                <w:szCs w:val="20"/>
              </w:rPr>
              <w:t>26</w:t>
            </w:r>
            <w:r w:rsidR="005D0062" w:rsidRPr="00DC2D4E">
              <w:rPr>
                <w:sz w:val="20"/>
                <w:szCs w:val="20"/>
              </w:rPr>
              <w:t>-3</w:t>
            </w:r>
            <w:r>
              <w:rPr>
                <w:sz w:val="20"/>
                <w:szCs w:val="20"/>
              </w:rPr>
              <w:t>1</w:t>
            </w:r>
          </w:p>
        </w:tc>
      </w:tr>
      <w:tr w:rsidR="005D0062" w:rsidRPr="00DC2D4E" w14:paraId="751F1B7B" w14:textId="77777777" w:rsidTr="00DC2D4E">
        <w:tc>
          <w:tcPr>
            <w:tcW w:w="760" w:type="pct"/>
            <w:shd w:val="clear" w:color="auto" w:fill="auto"/>
            <w:vAlign w:val="center"/>
          </w:tcPr>
          <w:p w14:paraId="5C04028C" w14:textId="77777777" w:rsidR="005D0062" w:rsidRPr="00DC2D4E" w:rsidRDefault="005D0062" w:rsidP="005D0062">
            <w:pPr>
              <w:rPr>
                <w:sz w:val="20"/>
                <w:szCs w:val="20"/>
              </w:rPr>
            </w:pPr>
            <w:r w:rsidRPr="00DC2D4E">
              <w:rPr>
                <w:sz w:val="20"/>
                <w:szCs w:val="20"/>
              </w:rPr>
              <w:t>Brunei Darussalam</w:t>
            </w:r>
          </w:p>
        </w:tc>
        <w:tc>
          <w:tcPr>
            <w:tcW w:w="3528" w:type="pct"/>
          </w:tcPr>
          <w:p w14:paraId="20E29632" w14:textId="77777777" w:rsidR="005D0062" w:rsidRPr="00DC2D4E" w:rsidRDefault="005D0062" w:rsidP="005D0062">
            <w:pPr>
              <w:rPr>
                <w:sz w:val="20"/>
                <w:szCs w:val="20"/>
              </w:rPr>
            </w:pPr>
            <w:r w:rsidRPr="00DC2D4E">
              <w:rPr>
                <w:sz w:val="20"/>
                <w:szCs w:val="20"/>
              </w:rPr>
              <w:t>HPMP (stage I): Request for extension of completion date</w:t>
            </w:r>
          </w:p>
        </w:tc>
        <w:tc>
          <w:tcPr>
            <w:tcW w:w="712" w:type="pct"/>
            <w:vAlign w:val="center"/>
          </w:tcPr>
          <w:p w14:paraId="2FA8ADC5" w14:textId="77777777" w:rsidR="005D0062" w:rsidRPr="00DC2D4E" w:rsidRDefault="00C17492" w:rsidP="005D0062">
            <w:pPr>
              <w:jc w:val="center"/>
              <w:rPr>
                <w:sz w:val="20"/>
                <w:szCs w:val="20"/>
              </w:rPr>
            </w:pPr>
            <w:r>
              <w:rPr>
                <w:sz w:val="20"/>
                <w:szCs w:val="20"/>
              </w:rPr>
              <w:t>32</w:t>
            </w:r>
            <w:r w:rsidR="005D0062" w:rsidRPr="00DC2D4E">
              <w:rPr>
                <w:sz w:val="20"/>
                <w:szCs w:val="20"/>
              </w:rPr>
              <w:t>-4</w:t>
            </w:r>
            <w:r>
              <w:rPr>
                <w:sz w:val="20"/>
                <w:szCs w:val="20"/>
              </w:rPr>
              <w:t>1</w:t>
            </w:r>
          </w:p>
        </w:tc>
      </w:tr>
      <w:tr w:rsidR="005D0062" w:rsidRPr="00DC2D4E" w14:paraId="50FE772C" w14:textId="77777777" w:rsidTr="00DC2D4E">
        <w:tc>
          <w:tcPr>
            <w:tcW w:w="760" w:type="pct"/>
            <w:shd w:val="clear" w:color="auto" w:fill="auto"/>
          </w:tcPr>
          <w:p w14:paraId="456E315F" w14:textId="77777777" w:rsidR="005D0062" w:rsidRPr="00DC2D4E" w:rsidRDefault="005D0062" w:rsidP="005D0062">
            <w:pPr>
              <w:rPr>
                <w:sz w:val="20"/>
                <w:szCs w:val="20"/>
              </w:rPr>
            </w:pPr>
            <w:r w:rsidRPr="00DC2D4E">
              <w:rPr>
                <w:sz w:val="20"/>
                <w:szCs w:val="20"/>
              </w:rPr>
              <w:t>Chile</w:t>
            </w:r>
          </w:p>
        </w:tc>
        <w:tc>
          <w:tcPr>
            <w:tcW w:w="3528" w:type="pct"/>
          </w:tcPr>
          <w:p w14:paraId="2F68F4BC" w14:textId="4ACBC04D" w:rsidR="005D0062" w:rsidRPr="00DC2D4E" w:rsidRDefault="005D0062" w:rsidP="005D0062">
            <w:pPr>
              <w:rPr>
                <w:sz w:val="20"/>
                <w:szCs w:val="20"/>
              </w:rPr>
            </w:pPr>
            <w:r w:rsidRPr="00DC2D4E">
              <w:rPr>
                <w:sz w:val="20"/>
                <w:szCs w:val="20"/>
              </w:rPr>
              <w:t xml:space="preserve">HPMP (stage II): </w:t>
            </w:r>
            <w:r w:rsidR="005E54FF">
              <w:rPr>
                <w:sz w:val="20"/>
                <w:szCs w:val="20"/>
              </w:rPr>
              <w:t>Progress report</w:t>
            </w:r>
            <w:r w:rsidR="005E54FF" w:rsidRPr="00DC2D4E">
              <w:rPr>
                <w:sz w:val="20"/>
                <w:szCs w:val="20"/>
              </w:rPr>
              <w:t xml:space="preserve"> </w:t>
            </w:r>
            <w:r w:rsidR="005E54FF">
              <w:rPr>
                <w:sz w:val="20"/>
                <w:szCs w:val="20"/>
              </w:rPr>
              <w:t>-</w:t>
            </w:r>
            <w:r w:rsidR="005E54FF" w:rsidRPr="00DC2D4E">
              <w:rPr>
                <w:sz w:val="20"/>
                <w:szCs w:val="20"/>
              </w:rPr>
              <w:t xml:space="preserve"> work programme final tranche and verification report</w:t>
            </w:r>
          </w:p>
        </w:tc>
        <w:tc>
          <w:tcPr>
            <w:tcW w:w="712" w:type="pct"/>
            <w:vAlign w:val="center"/>
          </w:tcPr>
          <w:p w14:paraId="6881A75D" w14:textId="77777777" w:rsidR="005D0062" w:rsidRPr="00DC2D4E" w:rsidRDefault="00C17492" w:rsidP="005D0062">
            <w:pPr>
              <w:jc w:val="center"/>
              <w:rPr>
                <w:sz w:val="20"/>
                <w:szCs w:val="20"/>
              </w:rPr>
            </w:pPr>
            <w:r>
              <w:rPr>
                <w:sz w:val="20"/>
                <w:szCs w:val="20"/>
              </w:rPr>
              <w:t>42</w:t>
            </w:r>
            <w:r w:rsidR="005D0062" w:rsidRPr="00DC2D4E">
              <w:rPr>
                <w:sz w:val="20"/>
                <w:szCs w:val="20"/>
              </w:rPr>
              <w:t>-5</w:t>
            </w:r>
            <w:r>
              <w:rPr>
                <w:sz w:val="20"/>
                <w:szCs w:val="20"/>
              </w:rPr>
              <w:t>5</w:t>
            </w:r>
          </w:p>
        </w:tc>
      </w:tr>
      <w:tr w:rsidR="005D0062" w:rsidRPr="00DC2D4E" w14:paraId="665A7FDE" w14:textId="77777777" w:rsidTr="00DC2D4E">
        <w:tc>
          <w:tcPr>
            <w:tcW w:w="760" w:type="pct"/>
            <w:shd w:val="clear" w:color="auto" w:fill="auto"/>
            <w:vAlign w:val="center"/>
          </w:tcPr>
          <w:p w14:paraId="4D2EAB66" w14:textId="77777777" w:rsidR="005D0062" w:rsidRPr="00DC2D4E" w:rsidRDefault="005D0062" w:rsidP="005D0062">
            <w:pPr>
              <w:rPr>
                <w:sz w:val="20"/>
                <w:szCs w:val="20"/>
              </w:rPr>
            </w:pPr>
            <w:r w:rsidRPr="00DC2D4E">
              <w:rPr>
                <w:sz w:val="20"/>
                <w:szCs w:val="20"/>
              </w:rPr>
              <w:t>Côte d’Ivoire</w:t>
            </w:r>
          </w:p>
        </w:tc>
        <w:tc>
          <w:tcPr>
            <w:tcW w:w="3528" w:type="pct"/>
          </w:tcPr>
          <w:p w14:paraId="12724EC9" w14:textId="77777777" w:rsidR="005D0062" w:rsidRPr="00DC2D4E" w:rsidRDefault="005D0062" w:rsidP="005D0062">
            <w:pPr>
              <w:rPr>
                <w:sz w:val="20"/>
                <w:szCs w:val="20"/>
              </w:rPr>
            </w:pPr>
            <w:r w:rsidRPr="00DC2D4E">
              <w:rPr>
                <w:sz w:val="20"/>
                <w:szCs w:val="20"/>
              </w:rPr>
              <w:t>HPMP (stage I): Update on the adoption of the inter-ministerial decree for regulating import, export, transit, re-export and trade of ODS (</w:t>
            </w:r>
            <w:r w:rsidR="005E54FF">
              <w:rPr>
                <w:sz w:val="20"/>
                <w:szCs w:val="20"/>
              </w:rPr>
              <w:t xml:space="preserve">decision </w:t>
            </w:r>
            <w:r w:rsidRPr="00DC2D4E">
              <w:rPr>
                <w:sz w:val="20"/>
                <w:szCs w:val="20"/>
              </w:rPr>
              <w:t>86/23(b))</w:t>
            </w:r>
          </w:p>
        </w:tc>
        <w:tc>
          <w:tcPr>
            <w:tcW w:w="712" w:type="pct"/>
            <w:vAlign w:val="center"/>
          </w:tcPr>
          <w:p w14:paraId="4645299E" w14:textId="77777777" w:rsidR="005D0062" w:rsidRPr="00DC2D4E" w:rsidRDefault="00C17492" w:rsidP="005D0062">
            <w:pPr>
              <w:jc w:val="center"/>
              <w:rPr>
                <w:sz w:val="20"/>
                <w:szCs w:val="20"/>
              </w:rPr>
            </w:pPr>
            <w:r>
              <w:rPr>
                <w:sz w:val="20"/>
                <w:szCs w:val="20"/>
              </w:rPr>
              <w:t>56</w:t>
            </w:r>
            <w:r w:rsidR="005D0062" w:rsidRPr="00DC2D4E">
              <w:rPr>
                <w:sz w:val="20"/>
                <w:szCs w:val="20"/>
              </w:rPr>
              <w:t>-6</w:t>
            </w:r>
            <w:r>
              <w:rPr>
                <w:sz w:val="20"/>
                <w:szCs w:val="20"/>
              </w:rPr>
              <w:t>3</w:t>
            </w:r>
          </w:p>
        </w:tc>
      </w:tr>
      <w:tr w:rsidR="005D0062" w:rsidRPr="00DC2D4E" w14:paraId="386FA22D" w14:textId="77777777" w:rsidTr="00DC2D4E">
        <w:tc>
          <w:tcPr>
            <w:tcW w:w="760" w:type="pct"/>
            <w:shd w:val="clear" w:color="auto" w:fill="auto"/>
            <w:vAlign w:val="center"/>
          </w:tcPr>
          <w:p w14:paraId="38E84FF3" w14:textId="77777777" w:rsidR="005D0062" w:rsidRPr="00DC2D4E" w:rsidRDefault="005D0062" w:rsidP="005D0062">
            <w:pPr>
              <w:rPr>
                <w:sz w:val="20"/>
                <w:szCs w:val="20"/>
              </w:rPr>
            </w:pPr>
            <w:r w:rsidRPr="00DC2D4E">
              <w:rPr>
                <w:sz w:val="20"/>
                <w:szCs w:val="20"/>
              </w:rPr>
              <w:t>Ecuador</w:t>
            </w:r>
          </w:p>
        </w:tc>
        <w:tc>
          <w:tcPr>
            <w:tcW w:w="3528" w:type="pct"/>
          </w:tcPr>
          <w:p w14:paraId="434FF11F" w14:textId="77777777" w:rsidR="005D0062" w:rsidRPr="00DC2D4E" w:rsidRDefault="005D0062" w:rsidP="005D0062">
            <w:pPr>
              <w:rPr>
                <w:sz w:val="20"/>
                <w:szCs w:val="20"/>
              </w:rPr>
            </w:pPr>
            <w:r w:rsidRPr="00DC2D4E">
              <w:rPr>
                <w:sz w:val="20"/>
                <w:szCs w:val="20"/>
              </w:rPr>
              <w:t>HPMP (stage I): Postponement of the ban on imports of HCFC</w:t>
            </w:r>
            <w:r w:rsidRPr="00DC2D4E">
              <w:rPr>
                <w:sz w:val="20"/>
                <w:szCs w:val="20"/>
              </w:rPr>
              <w:noBreakHyphen/>
              <w:t>141b contained in pre-blended polyols</w:t>
            </w:r>
          </w:p>
        </w:tc>
        <w:tc>
          <w:tcPr>
            <w:tcW w:w="712" w:type="pct"/>
            <w:vAlign w:val="center"/>
          </w:tcPr>
          <w:p w14:paraId="6CE215EA" w14:textId="77777777" w:rsidR="005D0062" w:rsidRPr="00DC2D4E" w:rsidRDefault="00C17492" w:rsidP="005D0062">
            <w:pPr>
              <w:jc w:val="center"/>
              <w:rPr>
                <w:sz w:val="20"/>
                <w:szCs w:val="20"/>
              </w:rPr>
            </w:pPr>
            <w:r>
              <w:rPr>
                <w:sz w:val="20"/>
                <w:szCs w:val="20"/>
              </w:rPr>
              <w:t>64-70</w:t>
            </w:r>
          </w:p>
        </w:tc>
      </w:tr>
      <w:tr w:rsidR="005E54FF" w:rsidRPr="00DC2D4E" w14:paraId="0ED0CE1A" w14:textId="77777777" w:rsidTr="00DC2D4E">
        <w:tc>
          <w:tcPr>
            <w:tcW w:w="760" w:type="pct"/>
            <w:shd w:val="clear" w:color="auto" w:fill="auto"/>
            <w:vAlign w:val="center"/>
          </w:tcPr>
          <w:p w14:paraId="2DAD6F0B" w14:textId="77777777" w:rsidR="005E54FF" w:rsidRPr="00DC2D4E" w:rsidRDefault="005E54FF" w:rsidP="005E54FF">
            <w:pPr>
              <w:rPr>
                <w:sz w:val="20"/>
                <w:szCs w:val="20"/>
              </w:rPr>
            </w:pPr>
            <w:r w:rsidRPr="00DC2D4E">
              <w:rPr>
                <w:sz w:val="20"/>
                <w:szCs w:val="20"/>
              </w:rPr>
              <w:t>Eswatini</w:t>
            </w:r>
          </w:p>
        </w:tc>
        <w:tc>
          <w:tcPr>
            <w:tcW w:w="3528" w:type="pct"/>
          </w:tcPr>
          <w:p w14:paraId="7189B28A" w14:textId="77777777" w:rsidR="005E54FF" w:rsidRPr="00DC2D4E" w:rsidRDefault="005E54FF" w:rsidP="005E54FF">
            <w:pPr>
              <w:rPr>
                <w:sz w:val="20"/>
                <w:szCs w:val="20"/>
              </w:rPr>
            </w:pPr>
            <w:r w:rsidRPr="00DC2D4E">
              <w:rPr>
                <w:sz w:val="20"/>
                <w:szCs w:val="20"/>
              </w:rPr>
              <w:t>HPMP (stage I): Progress report - work programme final tranche</w:t>
            </w:r>
          </w:p>
        </w:tc>
        <w:tc>
          <w:tcPr>
            <w:tcW w:w="712" w:type="pct"/>
            <w:vAlign w:val="center"/>
          </w:tcPr>
          <w:p w14:paraId="4A934527" w14:textId="77777777" w:rsidR="005E54FF" w:rsidRPr="00DC2D4E" w:rsidRDefault="00C17492" w:rsidP="00C17492">
            <w:pPr>
              <w:jc w:val="center"/>
              <w:rPr>
                <w:sz w:val="20"/>
                <w:szCs w:val="20"/>
              </w:rPr>
            </w:pPr>
            <w:r>
              <w:rPr>
                <w:sz w:val="20"/>
                <w:szCs w:val="20"/>
              </w:rPr>
              <w:t>71-80</w:t>
            </w:r>
          </w:p>
        </w:tc>
      </w:tr>
      <w:tr w:rsidR="005E54FF" w:rsidRPr="00DC2D4E" w14:paraId="1D78B3D1" w14:textId="77777777" w:rsidTr="00DC2D4E">
        <w:tc>
          <w:tcPr>
            <w:tcW w:w="760" w:type="pct"/>
            <w:shd w:val="clear" w:color="auto" w:fill="auto"/>
            <w:vAlign w:val="center"/>
          </w:tcPr>
          <w:p w14:paraId="7B7F6241" w14:textId="77777777" w:rsidR="005E54FF" w:rsidRPr="00DC2D4E" w:rsidRDefault="005E54FF" w:rsidP="005E54FF">
            <w:pPr>
              <w:rPr>
                <w:sz w:val="20"/>
                <w:szCs w:val="20"/>
              </w:rPr>
            </w:pPr>
            <w:r w:rsidRPr="00DC2D4E">
              <w:rPr>
                <w:sz w:val="20"/>
                <w:szCs w:val="20"/>
              </w:rPr>
              <w:t>Ethiopia</w:t>
            </w:r>
          </w:p>
        </w:tc>
        <w:tc>
          <w:tcPr>
            <w:tcW w:w="3528" w:type="pct"/>
          </w:tcPr>
          <w:p w14:paraId="60E95B43" w14:textId="77777777" w:rsidR="005E54FF" w:rsidRPr="00DC2D4E" w:rsidRDefault="005E54FF" w:rsidP="005E54FF">
            <w:pPr>
              <w:rPr>
                <w:sz w:val="20"/>
                <w:szCs w:val="20"/>
              </w:rPr>
            </w:pPr>
            <w:r w:rsidRPr="00DC2D4E">
              <w:rPr>
                <w:sz w:val="20"/>
                <w:szCs w:val="20"/>
              </w:rPr>
              <w:t xml:space="preserve">HPMP (stage I): </w:t>
            </w:r>
            <w:r>
              <w:rPr>
                <w:sz w:val="20"/>
                <w:szCs w:val="20"/>
              </w:rPr>
              <w:t>P</w:t>
            </w:r>
            <w:r w:rsidRPr="00DC2D4E">
              <w:rPr>
                <w:sz w:val="20"/>
                <w:szCs w:val="20"/>
              </w:rPr>
              <w:t xml:space="preserve">rogress report </w:t>
            </w:r>
            <w:r>
              <w:rPr>
                <w:sz w:val="20"/>
                <w:szCs w:val="20"/>
              </w:rPr>
              <w:t>- work programme final tranche</w:t>
            </w:r>
          </w:p>
        </w:tc>
        <w:tc>
          <w:tcPr>
            <w:tcW w:w="712" w:type="pct"/>
            <w:vAlign w:val="center"/>
          </w:tcPr>
          <w:p w14:paraId="735EF8B9" w14:textId="77777777" w:rsidR="005E54FF" w:rsidRPr="00DC2D4E" w:rsidRDefault="00C17492" w:rsidP="005E54FF">
            <w:pPr>
              <w:jc w:val="center"/>
              <w:rPr>
                <w:sz w:val="20"/>
                <w:szCs w:val="20"/>
              </w:rPr>
            </w:pPr>
            <w:r>
              <w:rPr>
                <w:sz w:val="20"/>
                <w:szCs w:val="20"/>
              </w:rPr>
              <w:t>81-90</w:t>
            </w:r>
          </w:p>
        </w:tc>
      </w:tr>
      <w:tr w:rsidR="005D0062" w:rsidRPr="00240448" w14:paraId="4BAC35AB" w14:textId="77777777" w:rsidTr="00DC2D4E">
        <w:tc>
          <w:tcPr>
            <w:tcW w:w="760" w:type="pct"/>
            <w:shd w:val="clear" w:color="auto" w:fill="auto"/>
          </w:tcPr>
          <w:p w14:paraId="3A970DE7" w14:textId="77777777" w:rsidR="005D0062" w:rsidRPr="00240448" w:rsidRDefault="005D0062" w:rsidP="005D0062">
            <w:pPr>
              <w:rPr>
                <w:sz w:val="20"/>
                <w:szCs w:val="20"/>
              </w:rPr>
            </w:pPr>
            <w:r w:rsidRPr="00240448">
              <w:rPr>
                <w:sz w:val="20"/>
                <w:szCs w:val="20"/>
              </w:rPr>
              <w:t>Jamaica</w:t>
            </w:r>
          </w:p>
        </w:tc>
        <w:tc>
          <w:tcPr>
            <w:tcW w:w="3528" w:type="pct"/>
          </w:tcPr>
          <w:p w14:paraId="4FFD1A81" w14:textId="77777777" w:rsidR="005D0062" w:rsidRPr="00240448" w:rsidRDefault="005D0062" w:rsidP="005D0062">
            <w:pPr>
              <w:rPr>
                <w:sz w:val="20"/>
                <w:szCs w:val="20"/>
              </w:rPr>
            </w:pPr>
            <w:r w:rsidRPr="00240448">
              <w:rPr>
                <w:sz w:val="20"/>
                <w:szCs w:val="20"/>
              </w:rPr>
              <w:t>HPMP (stage II): Update on the status of implementation of the measures for strengthening the licensing and quota system and monitoring and reporting of HCFC consumption recommended in the verification report (86/72(e))</w:t>
            </w:r>
          </w:p>
        </w:tc>
        <w:tc>
          <w:tcPr>
            <w:tcW w:w="712" w:type="pct"/>
            <w:vAlign w:val="center"/>
          </w:tcPr>
          <w:p w14:paraId="3BEE9A8F" w14:textId="77777777" w:rsidR="005D0062" w:rsidRPr="00240448" w:rsidRDefault="00C17492" w:rsidP="005D0062">
            <w:pPr>
              <w:jc w:val="center"/>
              <w:rPr>
                <w:sz w:val="20"/>
                <w:szCs w:val="20"/>
              </w:rPr>
            </w:pPr>
            <w:r w:rsidRPr="00240448">
              <w:rPr>
                <w:sz w:val="20"/>
                <w:szCs w:val="20"/>
              </w:rPr>
              <w:t>91</w:t>
            </w:r>
            <w:r w:rsidR="00373D29" w:rsidRPr="00240448">
              <w:rPr>
                <w:sz w:val="20"/>
                <w:szCs w:val="20"/>
              </w:rPr>
              <w:t>-9</w:t>
            </w:r>
            <w:r w:rsidR="007A0116" w:rsidRPr="00240448">
              <w:rPr>
                <w:sz w:val="20"/>
                <w:szCs w:val="20"/>
              </w:rPr>
              <w:t>6</w:t>
            </w:r>
          </w:p>
        </w:tc>
      </w:tr>
      <w:tr w:rsidR="00F63AF8" w:rsidRPr="00240448" w14:paraId="54E17D51" w14:textId="77777777" w:rsidTr="00DC2D4E">
        <w:tc>
          <w:tcPr>
            <w:tcW w:w="760" w:type="pct"/>
            <w:shd w:val="clear" w:color="auto" w:fill="auto"/>
          </w:tcPr>
          <w:p w14:paraId="2893B32B" w14:textId="77777777" w:rsidR="00F63AF8" w:rsidRPr="00240448" w:rsidRDefault="00F63AF8" w:rsidP="005D0062">
            <w:pPr>
              <w:rPr>
                <w:sz w:val="20"/>
                <w:szCs w:val="20"/>
              </w:rPr>
            </w:pPr>
            <w:r w:rsidRPr="00240448">
              <w:rPr>
                <w:sz w:val="20"/>
                <w:szCs w:val="20"/>
              </w:rPr>
              <w:t>Jordan</w:t>
            </w:r>
          </w:p>
        </w:tc>
        <w:tc>
          <w:tcPr>
            <w:tcW w:w="3528" w:type="pct"/>
          </w:tcPr>
          <w:p w14:paraId="454D4E7D" w14:textId="77777777" w:rsidR="00F63AF8" w:rsidRPr="00240448" w:rsidRDefault="00F63AF8" w:rsidP="00F63AF8">
            <w:pPr>
              <w:rPr>
                <w:sz w:val="20"/>
                <w:szCs w:val="20"/>
              </w:rPr>
            </w:pPr>
            <w:r w:rsidRPr="00240448">
              <w:rPr>
                <w:sz w:val="20"/>
                <w:szCs w:val="20"/>
              </w:rPr>
              <w:t>HPMP (stage II): Change in technology at five enterprises</w:t>
            </w:r>
          </w:p>
        </w:tc>
        <w:tc>
          <w:tcPr>
            <w:tcW w:w="712" w:type="pct"/>
            <w:vAlign w:val="center"/>
          </w:tcPr>
          <w:p w14:paraId="41C8F165" w14:textId="77777777" w:rsidR="00F63AF8" w:rsidRPr="00240448" w:rsidRDefault="00C17492" w:rsidP="00C17492">
            <w:pPr>
              <w:jc w:val="center"/>
              <w:rPr>
                <w:sz w:val="20"/>
                <w:szCs w:val="20"/>
              </w:rPr>
            </w:pPr>
            <w:r w:rsidRPr="00240448">
              <w:rPr>
                <w:sz w:val="20"/>
                <w:szCs w:val="20"/>
              </w:rPr>
              <w:t>97</w:t>
            </w:r>
            <w:r w:rsidR="00373D29" w:rsidRPr="00240448">
              <w:rPr>
                <w:sz w:val="20"/>
                <w:szCs w:val="20"/>
              </w:rPr>
              <w:t>-10</w:t>
            </w:r>
            <w:r w:rsidRPr="00240448">
              <w:rPr>
                <w:sz w:val="20"/>
                <w:szCs w:val="20"/>
              </w:rPr>
              <w:t>7</w:t>
            </w:r>
          </w:p>
        </w:tc>
      </w:tr>
      <w:tr w:rsidR="005D0062" w:rsidRPr="00240448" w14:paraId="27622D96" w14:textId="77777777" w:rsidTr="00DC2D4E">
        <w:tc>
          <w:tcPr>
            <w:tcW w:w="760" w:type="pct"/>
            <w:shd w:val="clear" w:color="auto" w:fill="auto"/>
          </w:tcPr>
          <w:p w14:paraId="69916D28" w14:textId="77777777" w:rsidR="005D0062" w:rsidRPr="00240448" w:rsidRDefault="005D0062" w:rsidP="005D0062">
            <w:pPr>
              <w:rPr>
                <w:sz w:val="20"/>
                <w:szCs w:val="20"/>
              </w:rPr>
            </w:pPr>
            <w:r w:rsidRPr="00240448">
              <w:rPr>
                <w:sz w:val="20"/>
                <w:szCs w:val="20"/>
              </w:rPr>
              <w:t>Lao, PDR</w:t>
            </w:r>
          </w:p>
        </w:tc>
        <w:tc>
          <w:tcPr>
            <w:tcW w:w="3528" w:type="pct"/>
          </w:tcPr>
          <w:p w14:paraId="0B15847B" w14:textId="77777777" w:rsidR="005D0062" w:rsidRPr="00240448" w:rsidRDefault="005D0062" w:rsidP="005D0062">
            <w:pPr>
              <w:rPr>
                <w:sz w:val="20"/>
                <w:szCs w:val="20"/>
              </w:rPr>
            </w:pPr>
            <w:r w:rsidRPr="00240448">
              <w:rPr>
                <w:sz w:val="20"/>
                <w:szCs w:val="20"/>
              </w:rPr>
              <w:t>HPMP (stage I): Request for extension of completion date</w:t>
            </w:r>
          </w:p>
        </w:tc>
        <w:tc>
          <w:tcPr>
            <w:tcW w:w="712" w:type="pct"/>
            <w:vAlign w:val="center"/>
          </w:tcPr>
          <w:p w14:paraId="53881A34" w14:textId="77777777" w:rsidR="005D0062" w:rsidRPr="00240448" w:rsidRDefault="00373D29" w:rsidP="00C17492">
            <w:pPr>
              <w:jc w:val="center"/>
              <w:rPr>
                <w:sz w:val="20"/>
                <w:szCs w:val="20"/>
              </w:rPr>
            </w:pPr>
            <w:r w:rsidRPr="00240448">
              <w:rPr>
                <w:sz w:val="20"/>
                <w:szCs w:val="20"/>
              </w:rPr>
              <w:t>10</w:t>
            </w:r>
            <w:r w:rsidR="00C17492" w:rsidRPr="00240448">
              <w:rPr>
                <w:sz w:val="20"/>
                <w:szCs w:val="20"/>
              </w:rPr>
              <w:t>8</w:t>
            </w:r>
            <w:r w:rsidRPr="00240448">
              <w:rPr>
                <w:sz w:val="20"/>
                <w:szCs w:val="20"/>
              </w:rPr>
              <w:t>-11</w:t>
            </w:r>
            <w:r w:rsidR="00C17492" w:rsidRPr="00240448">
              <w:rPr>
                <w:sz w:val="20"/>
                <w:szCs w:val="20"/>
              </w:rPr>
              <w:t>9</w:t>
            </w:r>
          </w:p>
        </w:tc>
      </w:tr>
      <w:tr w:rsidR="005D0062" w:rsidRPr="00240448" w14:paraId="611471A6" w14:textId="77777777" w:rsidTr="00DC2D4E">
        <w:tc>
          <w:tcPr>
            <w:tcW w:w="760" w:type="pct"/>
            <w:shd w:val="clear" w:color="auto" w:fill="auto"/>
          </w:tcPr>
          <w:p w14:paraId="7C7B8E28" w14:textId="77777777" w:rsidR="005D0062" w:rsidRPr="00240448" w:rsidRDefault="005D0062" w:rsidP="005D0062">
            <w:pPr>
              <w:jc w:val="left"/>
              <w:rPr>
                <w:sz w:val="20"/>
                <w:szCs w:val="20"/>
              </w:rPr>
            </w:pPr>
            <w:r w:rsidRPr="00240448">
              <w:rPr>
                <w:sz w:val="20"/>
                <w:szCs w:val="20"/>
              </w:rPr>
              <w:t>Malaysia</w:t>
            </w:r>
          </w:p>
        </w:tc>
        <w:tc>
          <w:tcPr>
            <w:tcW w:w="3528" w:type="pct"/>
          </w:tcPr>
          <w:p w14:paraId="2B099D5A" w14:textId="77777777" w:rsidR="005D0062" w:rsidRPr="00240448" w:rsidRDefault="005D0062" w:rsidP="005D0062">
            <w:pPr>
              <w:rPr>
                <w:sz w:val="20"/>
                <w:szCs w:val="20"/>
              </w:rPr>
            </w:pPr>
            <w:r w:rsidRPr="00240448">
              <w:rPr>
                <w:sz w:val="20"/>
                <w:szCs w:val="20"/>
              </w:rPr>
              <w:t>HPMP (stage II): Change in technology at nine enterprises and reallocation of funds</w:t>
            </w:r>
          </w:p>
        </w:tc>
        <w:tc>
          <w:tcPr>
            <w:tcW w:w="712" w:type="pct"/>
            <w:vAlign w:val="center"/>
          </w:tcPr>
          <w:p w14:paraId="2AE6533F" w14:textId="77777777" w:rsidR="005D0062" w:rsidRPr="00240448" w:rsidRDefault="00C17492" w:rsidP="005D0062">
            <w:pPr>
              <w:jc w:val="center"/>
              <w:rPr>
                <w:sz w:val="20"/>
                <w:szCs w:val="20"/>
              </w:rPr>
            </w:pPr>
            <w:r w:rsidRPr="00240448">
              <w:rPr>
                <w:sz w:val="20"/>
                <w:szCs w:val="20"/>
              </w:rPr>
              <w:t>120</w:t>
            </w:r>
            <w:r w:rsidR="00373D29" w:rsidRPr="00240448">
              <w:rPr>
                <w:sz w:val="20"/>
                <w:szCs w:val="20"/>
              </w:rPr>
              <w:t>-13</w:t>
            </w:r>
            <w:r w:rsidRPr="00240448">
              <w:rPr>
                <w:sz w:val="20"/>
                <w:szCs w:val="20"/>
              </w:rPr>
              <w:t>1</w:t>
            </w:r>
          </w:p>
        </w:tc>
      </w:tr>
      <w:tr w:rsidR="005E54FF" w:rsidRPr="00240448" w14:paraId="1966262F" w14:textId="77777777" w:rsidTr="00DC2D4E">
        <w:tc>
          <w:tcPr>
            <w:tcW w:w="760" w:type="pct"/>
            <w:shd w:val="clear" w:color="auto" w:fill="auto"/>
          </w:tcPr>
          <w:p w14:paraId="6858DE5F" w14:textId="77777777" w:rsidR="005E54FF" w:rsidRPr="00240448" w:rsidRDefault="005E54FF" w:rsidP="005E54FF">
            <w:pPr>
              <w:jc w:val="left"/>
              <w:rPr>
                <w:sz w:val="20"/>
                <w:szCs w:val="20"/>
              </w:rPr>
            </w:pPr>
            <w:r w:rsidRPr="00240448">
              <w:rPr>
                <w:sz w:val="20"/>
                <w:szCs w:val="20"/>
              </w:rPr>
              <w:t>Mexico</w:t>
            </w:r>
          </w:p>
        </w:tc>
        <w:tc>
          <w:tcPr>
            <w:tcW w:w="3528" w:type="pct"/>
          </w:tcPr>
          <w:p w14:paraId="3457C006" w14:textId="77777777" w:rsidR="005E54FF" w:rsidRPr="00240448" w:rsidRDefault="005E54FF" w:rsidP="005E54FF">
            <w:pPr>
              <w:rPr>
                <w:sz w:val="20"/>
                <w:szCs w:val="20"/>
              </w:rPr>
            </w:pPr>
            <w:r w:rsidRPr="00240448">
              <w:rPr>
                <w:sz w:val="20"/>
                <w:szCs w:val="20"/>
              </w:rPr>
              <w:t>HPMP (stage I): Progress report – work programme final tranche</w:t>
            </w:r>
          </w:p>
        </w:tc>
        <w:tc>
          <w:tcPr>
            <w:tcW w:w="712" w:type="pct"/>
            <w:vAlign w:val="center"/>
          </w:tcPr>
          <w:p w14:paraId="256E7408" w14:textId="77777777" w:rsidR="005E54FF" w:rsidRPr="00240448" w:rsidRDefault="00C17492" w:rsidP="00FB0484">
            <w:pPr>
              <w:jc w:val="center"/>
              <w:rPr>
                <w:sz w:val="20"/>
                <w:szCs w:val="20"/>
              </w:rPr>
            </w:pPr>
            <w:r w:rsidRPr="00240448">
              <w:rPr>
                <w:sz w:val="20"/>
                <w:szCs w:val="20"/>
              </w:rPr>
              <w:t>132</w:t>
            </w:r>
            <w:r w:rsidR="005E54FF" w:rsidRPr="00240448">
              <w:rPr>
                <w:sz w:val="20"/>
                <w:szCs w:val="20"/>
              </w:rPr>
              <w:t>-13</w:t>
            </w:r>
            <w:r w:rsidR="00FB0484" w:rsidRPr="00240448">
              <w:rPr>
                <w:sz w:val="20"/>
                <w:szCs w:val="20"/>
              </w:rPr>
              <w:t>7</w:t>
            </w:r>
          </w:p>
        </w:tc>
      </w:tr>
      <w:tr w:rsidR="005E54FF" w:rsidRPr="00240448" w14:paraId="3328549B" w14:textId="77777777" w:rsidTr="00DC2D4E">
        <w:tc>
          <w:tcPr>
            <w:tcW w:w="760" w:type="pct"/>
            <w:shd w:val="clear" w:color="auto" w:fill="auto"/>
          </w:tcPr>
          <w:p w14:paraId="7ED3934A" w14:textId="77777777" w:rsidR="005E54FF" w:rsidRPr="00240448" w:rsidRDefault="005E54FF" w:rsidP="005E54FF">
            <w:pPr>
              <w:jc w:val="left"/>
              <w:rPr>
                <w:sz w:val="20"/>
                <w:szCs w:val="20"/>
              </w:rPr>
            </w:pPr>
            <w:r w:rsidRPr="00240448">
              <w:rPr>
                <w:sz w:val="20"/>
                <w:szCs w:val="20"/>
              </w:rPr>
              <w:t>Morocco</w:t>
            </w:r>
          </w:p>
        </w:tc>
        <w:tc>
          <w:tcPr>
            <w:tcW w:w="3528" w:type="pct"/>
          </w:tcPr>
          <w:p w14:paraId="15C68342" w14:textId="77777777" w:rsidR="005E54FF" w:rsidRPr="00240448" w:rsidRDefault="005E54FF" w:rsidP="005E54FF">
            <w:pPr>
              <w:rPr>
                <w:sz w:val="20"/>
                <w:szCs w:val="20"/>
              </w:rPr>
            </w:pPr>
            <w:r w:rsidRPr="00240448">
              <w:rPr>
                <w:sz w:val="20"/>
                <w:szCs w:val="20"/>
              </w:rPr>
              <w:t>HPMP (stage I): Progress report – work programme final tranche</w:t>
            </w:r>
          </w:p>
        </w:tc>
        <w:tc>
          <w:tcPr>
            <w:tcW w:w="712" w:type="pct"/>
            <w:vAlign w:val="center"/>
          </w:tcPr>
          <w:p w14:paraId="7BA63ABD" w14:textId="77777777" w:rsidR="005E54FF" w:rsidRPr="00240448" w:rsidRDefault="00C17492" w:rsidP="00FB0484">
            <w:pPr>
              <w:jc w:val="center"/>
              <w:rPr>
                <w:sz w:val="20"/>
                <w:szCs w:val="20"/>
              </w:rPr>
            </w:pPr>
            <w:r w:rsidRPr="00240448">
              <w:rPr>
                <w:sz w:val="20"/>
                <w:szCs w:val="20"/>
              </w:rPr>
              <w:t>13</w:t>
            </w:r>
            <w:r w:rsidR="00FB0484" w:rsidRPr="00240448">
              <w:rPr>
                <w:sz w:val="20"/>
                <w:szCs w:val="20"/>
              </w:rPr>
              <w:t>8</w:t>
            </w:r>
            <w:r w:rsidR="005E54FF" w:rsidRPr="00240448">
              <w:rPr>
                <w:sz w:val="20"/>
                <w:szCs w:val="20"/>
              </w:rPr>
              <w:t>-14</w:t>
            </w:r>
            <w:r w:rsidR="00FB0484" w:rsidRPr="00240448">
              <w:rPr>
                <w:sz w:val="20"/>
                <w:szCs w:val="20"/>
              </w:rPr>
              <w:t>9</w:t>
            </w:r>
          </w:p>
        </w:tc>
      </w:tr>
      <w:tr w:rsidR="005D0062" w:rsidRPr="00240448" w14:paraId="4F45A388" w14:textId="77777777" w:rsidTr="00DC2D4E">
        <w:tc>
          <w:tcPr>
            <w:tcW w:w="760" w:type="pct"/>
            <w:shd w:val="clear" w:color="auto" w:fill="auto"/>
          </w:tcPr>
          <w:p w14:paraId="2D42802C" w14:textId="77777777" w:rsidR="005D0062" w:rsidRPr="00240448" w:rsidRDefault="005D0062" w:rsidP="005D0062">
            <w:pPr>
              <w:jc w:val="left"/>
              <w:rPr>
                <w:sz w:val="20"/>
                <w:szCs w:val="20"/>
              </w:rPr>
            </w:pPr>
            <w:r w:rsidRPr="00240448">
              <w:rPr>
                <w:sz w:val="20"/>
                <w:szCs w:val="20"/>
              </w:rPr>
              <w:t>Nepal</w:t>
            </w:r>
          </w:p>
        </w:tc>
        <w:tc>
          <w:tcPr>
            <w:tcW w:w="3528" w:type="pct"/>
          </w:tcPr>
          <w:p w14:paraId="6B3BE4DC" w14:textId="77777777" w:rsidR="005D0062" w:rsidRPr="00240448" w:rsidRDefault="005D0062" w:rsidP="005D0062">
            <w:pPr>
              <w:rPr>
                <w:sz w:val="20"/>
                <w:szCs w:val="20"/>
              </w:rPr>
            </w:pPr>
            <w:r w:rsidRPr="00240448">
              <w:rPr>
                <w:sz w:val="20"/>
                <w:szCs w:val="20"/>
              </w:rPr>
              <w:t>HPMP (stage I): Request for extension of completion date</w:t>
            </w:r>
          </w:p>
        </w:tc>
        <w:tc>
          <w:tcPr>
            <w:tcW w:w="712" w:type="pct"/>
            <w:vAlign w:val="center"/>
          </w:tcPr>
          <w:p w14:paraId="73C7B3B2" w14:textId="77777777" w:rsidR="005D0062" w:rsidRPr="00240448" w:rsidRDefault="00C17492" w:rsidP="00FB0484">
            <w:pPr>
              <w:jc w:val="center"/>
              <w:rPr>
                <w:sz w:val="20"/>
                <w:szCs w:val="20"/>
              </w:rPr>
            </w:pPr>
            <w:r w:rsidRPr="00240448">
              <w:rPr>
                <w:sz w:val="20"/>
                <w:szCs w:val="20"/>
              </w:rPr>
              <w:t>1</w:t>
            </w:r>
            <w:r w:rsidR="00FB0484" w:rsidRPr="00240448">
              <w:rPr>
                <w:sz w:val="20"/>
                <w:szCs w:val="20"/>
              </w:rPr>
              <w:t>50</w:t>
            </w:r>
            <w:r w:rsidR="00373D29" w:rsidRPr="00240448">
              <w:rPr>
                <w:sz w:val="20"/>
                <w:szCs w:val="20"/>
              </w:rPr>
              <w:t>-15</w:t>
            </w:r>
            <w:r w:rsidR="00FB0484" w:rsidRPr="00240448">
              <w:rPr>
                <w:sz w:val="20"/>
                <w:szCs w:val="20"/>
              </w:rPr>
              <w:t>8</w:t>
            </w:r>
          </w:p>
        </w:tc>
      </w:tr>
      <w:tr w:rsidR="00C17492" w:rsidRPr="00240448" w14:paraId="7CAF62B3" w14:textId="77777777" w:rsidTr="00DC2D4E">
        <w:tc>
          <w:tcPr>
            <w:tcW w:w="760" w:type="pct"/>
            <w:shd w:val="clear" w:color="auto" w:fill="auto"/>
          </w:tcPr>
          <w:p w14:paraId="3D9F7997" w14:textId="1858D33D" w:rsidR="00C17492" w:rsidRPr="00240448" w:rsidRDefault="006C7AE9" w:rsidP="00C17492">
            <w:pPr>
              <w:jc w:val="left"/>
              <w:rPr>
                <w:sz w:val="20"/>
                <w:szCs w:val="20"/>
                <w:lang w:val="en-US"/>
              </w:rPr>
            </w:pPr>
            <w:r>
              <w:rPr>
                <w:sz w:val="20"/>
                <w:szCs w:val="20"/>
              </w:rPr>
              <w:t>Pacific Island Countries</w:t>
            </w:r>
          </w:p>
        </w:tc>
        <w:tc>
          <w:tcPr>
            <w:tcW w:w="3528" w:type="pct"/>
          </w:tcPr>
          <w:p w14:paraId="2A085FE3" w14:textId="77777777" w:rsidR="00C17492" w:rsidRPr="00240448" w:rsidRDefault="00C17492" w:rsidP="00C17492">
            <w:pPr>
              <w:rPr>
                <w:sz w:val="20"/>
                <w:szCs w:val="20"/>
              </w:rPr>
            </w:pPr>
            <w:r w:rsidRPr="00240448">
              <w:rPr>
                <w:sz w:val="20"/>
                <w:szCs w:val="20"/>
              </w:rPr>
              <w:t>HPMP (stage I): Request for extension of completion date</w:t>
            </w:r>
          </w:p>
        </w:tc>
        <w:tc>
          <w:tcPr>
            <w:tcW w:w="712" w:type="pct"/>
            <w:vAlign w:val="center"/>
          </w:tcPr>
          <w:p w14:paraId="1E534CA0" w14:textId="77777777" w:rsidR="00C17492" w:rsidRPr="00240448" w:rsidRDefault="00C17492" w:rsidP="00FB0484">
            <w:pPr>
              <w:jc w:val="center"/>
              <w:rPr>
                <w:sz w:val="20"/>
                <w:szCs w:val="20"/>
              </w:rPr>
            </w:pPr>
            <w:r w:rsidRPr="00240448">
              <w:rPr>
                <w:sz w:val="20"/>
                <w:szCs w:val="20"/>
              </w:rPr>
              <w:t>15</w:t>
            </w:r>
            <w:r w:rsidR="00FB0484" w:rsidRPr="00240448">
              <w:rPr>
                <w:sz w:val="20"/>
                <w:szCs w:val="20"/>
              </w:rPr>
              <w:t>9</w:t>
            </w:r>
            <w:r w:rsidRPr="00240448">
              <w:rPr>
                <w:sz w:val="20"/>
                <w:szCs w:val="20"/>
              </w:rPr>
              <w:t>-</w:t>
            </w:r>
            <w:r w:rsidR="0087613F" w:rsidRPr="00240448">
              <w:rPr>
                <w:sz w:val="20"/>
                <w:szCs w:val="20"/>
              </w:rPr>
              <w:t>17</w:t>
            </w:r>
            <w:r w:rsidR="00FB0484" w:rsidRPr="00240448">
              <w:rPr>
                <w:sz w:val="20"/>
                <w:szCs w:val="20"/>
              </w:rPr>
              <w:t>1</w:t>
            </w:r>
          </w:p>
        </w:tc>
      </w:tr>
      <w:tr w:rsidR="00C17492" w:rsidRPr="00240448" w14:paraId="7D0F79CC" w14:textId="77777777" w:rsidTr="00DC2D4E">
        <w:tc>
          <w:tcPr>
            <w:tcW w:w="760" w:type="pct"/>
            <w:shd w:val="clear" w:color="auto" w:fill="auto"/>
          </w:tcPr>
          <w:p w14:paraId="6F6A5F4A" w14:textId="77777777" w:rsidR="00C17492" w:rsidRPr="00240448" w:rsidRDefault="00C17492" w:rsidP="00C17492">
            <w:pPr>
              <w:jc w:val="left"/>
              <w:rPr>
                <w:sz w:val="20"/>
                <w:szCs w:val="20"/>
              </w:rPr>
            </w:pPr>
            <w:r w:rsidRPr="00240448">
              <w:rPr>
                <w:sz w:val="20"/>
                <w:szCs w:val="20"/>
              </w:rPr>
              <w:t>Philippines</w:t>
            </w:r>
          </w:p>
        </w:tc>
        <w:tc>
          <w:tcPr>
            <w:tcW w:w="3528" w:type="pct"/>
          </w:tcPr>
          <w:p w14:paraId="5ED69A3C" w14:textId="77777777" w:rsidR="00C17492" w:rsidRPr="00240448" w:rsidRDefault="0087613F" w:rsidP="00C17492">
            <w:pPr>
              <w:rPr>
                <w:sz w:val="20"/>
                <w:szCs w:val="20"/>
              </w:rPr>
            </w:pPr>
            <w:r w:rsidRPr="00240448">
              <w:rPr>
                <w:sz w:val="20"/>
                <w:szCs w:val="20"/>
              </w:rPr>
              <w:t>HPMP (stage II) Request for cancellation of air-conditioning manufacturing sector plan, revised implementation plan and updating of the Agreement</w:t>
            </w:r>
          </w:p>
        </w:tc>
        <w:tc>
          <w:tcPr>
            <w:tcW w:w="712" w:type="pct"/>
            <w:vAlign w:val="center"/>
          </w:tcPr>
          <w:p w14:paraId="69E7CF7A" w14:textId="77777777" w:rsidR="00C17492" w:rsidRPr="00240448" w:rsidRDefault="0087613F" w:rsidP="00FB0484">
            <w:pPr>
              <w:jc w:val="center"/>
              <w:rPr>
                <w:sz w:val="20"/>
                <w:szCs w:val="20"/>
              </w:rPr>
            </w:pPr>
            <w:r w:rsidRPr="00240448">
              <w:rPr>
                <w:sz w:val="20"/>
                <w:szCs w:val="20"/>
              </w:rPr>
              <w:t>17</w:t>
            </w:r>
            <w:r w:rsidR="00FB0484" w:rsidRPr="00240448">
              <w:rPr>
                <w:sz w:val="20"/>
                <w:szCs w:val="20"/>
              </w:rPr>
              <w:t>2</w:t>
            </w:r>
            <w:r w:rsidRPr="00240448">
              <w:rPr>
                <w:sz w:val="20"/>
                <w:szCs w:val="20"/>
              </w:rPr>
              <w:t>-19</w:t>
            </w:r>
            <w:r w:rsidR="00FB0484" w:rsidRPr="00240448">
              <w:rPr>
                <w:sz w:val="20"/>
                <w:szCs w:val="20"/>
              </w:rPr>
              <w:t>5</w:t>
            </w:r>
          </w:p>
        </w:tc>
      </w:tr>
      <w:tr w:rsidR="00C17492" w:rsidRPr="00240448" w14:paraId="0E3E2181" w14:textId="77777777" w:rsidTr="00300A91">
        <w:tc>
          <w:tcPr>
            <w:tcW w:w="760" w:type="pct"/>
            <w:shd w:val="clear" w:color="auto" w:fill="auto"/>
          </w:tcPr>
          <w:p w14:paraId="55C07853" w14:textId="77777777" w:rsidR="00C17492" w:rsidRPr="00240448" w:rsidRDefault="00C17492" w:rsidP="00C17492">
            <w:pPr>
              <w:jc w:val="left"/>
              <w:rPr>
                <w:sz w:val="20"/>
                <w:szCs w:val="20"/>
              </w:rPr>
            </w:pPr>
            <w:r w:rsidRPr="00240448">
              <w:rPr>
                <w:sz w:val="20"/>
                <w:szCs w:val="20"/>
              </w:rPr>
              <w:t>Uruguay</w:t>
            </w:r>
          </w:p>
        </w:tc>
        <w:tc>
          <w:tcPr>
            <w:tcW w:w="3528" w:type="pct"/>
            <w:shd w:val="clear" w:color="auto" w:fill="auto"/>
            <w:vAlign w:val="center"/>
          </w:tcPr>
          <w:p w14:paraId="53D4F3AC" w14:textId="77777777" w:rsidR="00C17492" w:rsidRPr="00240448" w:rsidRDefault="00C17492" w:rsidP="00C17492">
            <w:pPr>
              <w:rPr>
                <w:sz w:val="20"/>
                <w:szCs w:val="20"/>
              </w:rPr>
            </w:pPr>
            <w:r w:rsidRPr="00240448">
              <w:rPr>
                <w:sz w:val="20"/>
                <w:szCs w:val="20"/>
              </w:rPr>
              <w:t>HPMP (stage I): Request for extension of completion date and progress report on foam sector implementation</w:t>
            </w:r>
          </w:p>
        </w:tc>
        <w:tc>
          <w:tcPr>
            <w:tcW w:w="712" w:type="pct"/>
            <w:vAlign w:val="center"/>
          </w:tcPr>
          <w:p w14:paraId="2B95006D" w14:textId="77777777" w:rsidR="00C17492" w:rsidRPr="00240448" w:rsidRDefault="0087613F" w:rsidP="00FB0484">
            <w:pPr>
              <w:jc w:val="center"/>
              <w:rPr>
                <w:sz w:val="20"/>
                <w:szCs w:val="20"/>
              </w:rPr>
            </w:pPr>
            <w:r w:rsidRPr="00240448">
              <w:rPr>
                <w:sz w:val="20"/>
                <w:szCs w:val="20"/>
              </w:rPr>
              <w:t>19</w:t>
            </w:r>
            <w:r w:rsidR="00FB0484" w:rsidRPr="00240448">
              <w:rPr>
                <w:sz w:val="20"/>
                <w:szCs w:val="20"/>
              </w:rPr>
              <w:t>6</w:t>
            </w:r>
            <w:r w:rsidRPr="00240448">
              <w:rPr>
                <w:sz w:val="20"/>
                <w:szCs w:val="20"/>
              </w:rPr>
              <w:t>-20</w:t>
            </w:r>
            <w:r w:rsidR="00FB0484" w:rsidRPr="00240448">
              <w:rPr>
                <w:sz w:val="20"/>
                <w:szCs w:val="20"/>
              </w:rPr>
              <w:t>9</w:t>
            </w:r>
          </w:p>
        </w:tc>
      </w:tr>
      <w:tr w:rsidR="00C17492" w:rsidRPr="00240448" w14:paraId="63148C25" w14:textId="77777777" w:rsidTr="00DC2D4E">
        <w:tc>
          <w:tcPr>
            <w:tcW w:w="5000" w:type="pct"/>
            <w:gridSpan w:val="3"/>
            <w:shd w:val="clear" w:color="auto" w:fill="auto"/>
          </w:tcPr>
          <w:p w14:paraId="0098056B" w14:textId="77777777" w:rsidR="00C17492" w:rsidRPr="00240448" w:rsidRDefault="00C17492" w:rsidP="00C17492">
            <w:pPr>
              <w:jc w:val="left"/>
              <w:rPr>
                <w:b/>
                <w:sz w:val="20"/>
                <w:szCs w:val="20"/>
              </w:rPr>
            </w:pPr>
            <w:r w:rsidRPr="00240448">
              <w:rPr>
                <w:b/>
                <w:sz w:val="20"/>
                <w:szCs w:val="20"/>
              </w:rPr>
              <w:t>Change of implementing agency</w:t>
            </w:r>
          </w:p>
        </w:tc>
      </w:tr>
      <w:tr w:rsidR="00C17492" w:rsidRPr="00240448" w14:paraId="76A256B9" w14:textId="77777777" w:rsidTr="00DC2D4E">
        <w:tc>
          <w:tcPr>
            <w:tcW w:w="760" w:type="pct"/>
            <w:shd w:val="clear" w:color="auto" w:fill="auto"/>
            <w:vAlign w:val="center"/>
          </w:tcPr>
          <w:p w14:paraId="26516313" w14:textId="77777777" w:rsidR="00C17492" w:rsidRPr="00240448" w:rsidRDefault="00C17492" w:rsidP="00C17492">
            <w:pPr>
              <w:jc w:val="left"/>
              <w:rPr>
                <w:sz w:val="20"/>
                <w:szCs w:val="20"/>
              </w:rPr>
            </w:pPr>
            <w:r w:rsidRPr="00240448">
              <w:rPr>
                <w:sz w:val="20"/>
                <w:szCs w:val="20"/>
              </w:rPr>
              <w:t>Ecuador</w:t>
            </w:r>
          </w:p>
        </w:tc>
        <w:tc>
          <w:tcPr>
            <w:tcW w:w="3528" w:type="pct"/>
          </w:tcPr>
          <w:p w14:paraId="1B52A9F8" w14:textId="77777777" w:rsidR="00C17492" w:rsidRPr="00240448" w:rsidRDefault="00C17492" w:rsidP="00C17492">
            <w:pPr>
              <w:rPr>
                <w:sz w:val="20"/>
                <w:szCs w:val="20"/>
              </w:rPr>
            </w:pPr>
            <w:r w:rsidRPr="00240448">
              <w:rPr>
                <w:sz w:val="20"/>
                <w:szCs w:val="20"/>
              </w:rPr>
              <w:t>IS and HPMP (stages I and II): Change of implementing agency from UNEP to UNIDO</w:t>
            </w:r>
          </w:p>
        </w:tc>
        <w:tc>
          <w:tcPr>
            <w:tcW w:w="712" w:type="pct"/>
            <w:vAlign w:val="center"/>
          </w:tcPr>
          <w:p w14:paraId="4D4F4F4F" w14:textId="77777777" w:rsidR="00C17492" w:rsidRPr="00240448" w:rsidRDefault="0087613F" w:rsidP="00FB0484">
            <w:pPr>
              <w:jc w:val="center"/>
              <w:rPr>
                <w:sz w:val="20"/>
                <w:szCs w:val="20"/>
              </w:rPr>
            </w:pPr>
            <w:r w:rsidRPr="00240448">
              <w:rPr>
                <w:sz w:val="20"/>
                <w:szCs w:val="20"/>
              </w:rPr>
              <w:t>2</w:t>
            </w:r>
            <w:r w:rsidR="00FB0484" w:rsidRPr="00240448">
              <w:rPr>
                <w:sz w:val="20"/>
                <w:szCs w:val="20"/>
              </w:rPr>
              <w:t>10</w:t>
            </w:r>
            <w:r w:rsidRPr="00240448">
              <w:rPr>
                <w:sz w:val="20"/>
                <w:szCs w:val="20"/>
              </w:rPr>
              <w:t>-21</w:t>
            </w:r>
            <w:r w:rsidR="00FB0484" w:rsidRPr="00240448">
              <w:rPr>
                <w:sz w:val="20"/>
                <w:szCs w:val="20"/>
              </w:rPr>
              <w:t>4</w:t>
            </w:r>
          </w:p>
        </w:tc>
      </w:tr>
      <w:tr w:rsidR="00C17492" w:rsidRPr="00240448" w14:paraId="53E44A7E" w14:textId="77777777" w:rsidTr="00DC2D4E">
        <w:tc>
          <w:tcPr>
            <w:tcW w:w="4288" w:type="pct"/>
            <w:gridSpan w:val="2"/>
            <w:shd w:val="clear" w:color="auto" w:fill="auto"/>
          </w:tcPr>
          <w:p w14:paraId="4CE5ECEB" w14:textId="77777777" w:rsidR="00C17492" w:rsidRPr="00240448" w:rsidRDefault="00C17492" w:rsidP="00C17492">
            <w:pPr>
              <w:rPr>
                <w:b/>
                <w:sz w:val="20"/>
                <w:szCs w:val="20"/>
              </w:rPr>
            </w:pPr>
            <w:r w:rsidRPr="00240448">
              <w:rPr>
                <w:b/>
                <w:sz w:val="20"/>
              </w:rPr>
              <w:t>Report on HFC-related activities that require an extension</w:t>
            </w:r>
          </w:p>
        </w:tc>
        <w:tc>
          <w:tcPr>
            <w:tcW w:w="712" w:type="pct"/>
            <w:vAlign w:val="center"/>
          </w:tcPr>
          <w:p w14:paraId="2BBEDB00" w14:textId="77777777" w:rsidR="00C17492" w:rsidRPr="00240448" w:rsidRDefault="0087613F" w:rsidP="00FB0484">
            <w:pPr>
              <w:jc w:val="center"/>
              <w:rPr>
                <w:sz w:val="20"/>
                <w:szCs w:val="20"/>
              </w:rPr>
            </w:pPr>
            <w:r w:rsidRPr="00240448">
              <w:rPr>
                <w:sz w:val="20"/>
                <w:szCs w:val="20"/>
              </w:rPr>
              <w:t>21</w:t>
            </w:r>
            <w:r w:rsidR="00FB0484" w:rsidRPr="00240448">
              <w:rPr>
                <w:sz w:val="20"/>
                <w:szCs w:val="20"/>
              </w:rPr>
              <w:t>5</w:t>
            </w:r>
            <w:r w:rsidRPr="00240448">
              <w:rPr>
                <w:sz w:val="20"/>
                <w:szCs w:val="20"/>
              </w:rPr>
              <w:t>-2</w:t>
            </w:r>
            <w:r w:rsidR="00FB0484" w:rsidRPr="00240448">
              <w:rPr>
                <w:sz w:val="20"/>
                <w:szCs w:val="20"/>
              </w:rPr>
              <w:t>20</w:t>
            </w:r>
          </w:p>
        </w:tc>
      </w:tr>
      <w:tr w:rsidR="00C17492" w:rsidRPr="00240448" w14:paraId="31055DAE" w14:textId="77777777" w:rsidTr="00DC2D4E">
        <w:tc>
          <w:tcPr>
            <w:tcW w:w="4288" w:type="pct"/>
            <w:gridSpan w:val="2"/>
            <w:shd w:val="clear" w:color="auto" w:fill="auto"/>
          </w:tcPr>
          <w:p w14:paraId="780AA627" w14:textId="77777777" w:rsidR="00C17492" w:rsidRPr="00240448" w:rsidRDefault="00C17492" w:rsidP="00C17492">
            <w:pPr>
              <w:rPr>
                <w:b/>
                <w:sz w:val="20"/>
              </w:rPr>
            </w:pPr>
            <w:r w:rsidRPr="00240448">
              <w:rPr>
                <w:b/>
                <w:sz w:val="20"/>
              </w:rPr>
              <w:t>Requests for extension of enabling activities in line with decision 81/32(a)</w:t>
            </w:r>
          </w:p>
        </w:tc>
        <w:tc>
          <w:tcPr>
            <w:tcW w:w="712" w:type="pct"/>
            <w:vAlign w:val="center"/>
          </w:tcPr>
          <w:p w14:paraId="4B9512F7" w14:textId="77777777" w:rsidR="00C17492" w:rsidRPr="00240448" w:rsidRDefault="0087613F" w:rsidP="00FB0484">
            <w:pPr>
              <w:jc w:val="center"/>
              <w:rPr>
                <w:sz w:val="20"/>
                <w:szCs w:val="20"/>
              </w:rPr>
            </w:pPr>
            <w:r w:rsidRPr="00240448">
              <w:rPr>
                <w:sz w:val="20"/>
                <w:szCs w:val="20"/>
              </w:rPr>
              <w:t>22</w:t>
            </w:r>
            <w:r w:rsidR="00FB0484" w:rsidRPr="00240448">
              <w:rPr>
                <w:sz w:val="20"/>
                <w:szCs w:val="20"/>
              </w:rPr>
              <w:t>1</w:t>
            </w:r>
            <w:r w:rsidRPr="00240448">
              <w:rPr>
                <w:sz w:val="20"/>
                <w:szCs w:val="20"/>
              </w:rPr>
              <w:t>-22</w:t>
            </w:r>
            <w:r w:rsidR="00FB0484" w:rsidRPr="00240448">
              <w:rPr>
                <w:sz w:val="20"/>
                <w:szCs w:val="20"/>
              </w:rPr>
              <w:t>3</w:t>
            </w:r>
          </w:p>
        </w:tc>
      </w:tr>
    </w:tbl>
    <w:p w14:paraId="35E7AEC8" w14:textId="77777777" w:rsidR="00DC6D11" w:rsidRPr="00240448" w:rsidRDefault="00DC6D11" w:rsidP="00DC6D11"/>
    <w:p w14:paraId="14290EF1" w14:textId="77777777" w:rsidR="004E765B" w:rsidRPr="00240448" w:rsidRDefault="004E765B" w:rsidP="004E765B">
      <w:pPr>
        <w:pStyle w:val="Heading1"/>
      </w:pPr>
      <w:r w:rsidRPr="00240448">
        <w:lastRenderedPageBreak/>
        <w:t>Table 2 lists the report</w:t>
      </w:r>
      <w:r w:rsidR="00D96ED6" w:rsidRPr="00240448">
        <w:t>s</w:t>
      </w:r>
      <w:r w:rsidRPr="00240448">
        <w:t xml:space="preserve"> on project</w:t>
      </w:r>
      <w:r w:rsidR="00772765" w:rsidRPr="00240448">
        <w:t>s</w:t>
      </w:r>
      <w:r w:rsidRPr="00240448">
        <w:t xml:space="preserve"> with specific reporting requirements submitted to</w:t>
      </w:r>
      <w:r w:rsidR="00F71FF8" w:rsidRPr="00240448">
        <w:t xml:space="preserve"> </w:t>
      </w:r>
      <w:r w:rsidRPr="00240448">
        <w:t>the</w:t>
      </w:r>
      <w:r w:rsidR="00F71FF8" w:rsidRPr="00240448">
        <w:t xml:space="preserve"> </w:t>
      </w:r>
      <w:r w:rsidR="002B70FD" w:rsidRPr="00240448">
        <w:t>87</w:t>
      </w:r>
      <w:r w:rsidRPr="00240448">
        <w:rPr>
          <w:vertAlign w:val="superscript"/>
        </w:rPr>
        <w:t>th</w:t>
      </w:r>
      <w:r w:rsidR="00F71FF8" w:rsidRPr="00240448">
        <w:t> </w:t>
      </w:r>
      <w:r w:rsidRPr="00240448">
        <w:t xml:space="preserve">meeting for individual consideration and </w:t>
      </w:r>
      <w:r w:rsidR="007A198E" w:rsidRPr="00240448">
        <w:t xml:space="preserve">a </w:t>
      </w:r>
      <w:r w:rsidRPr="00240448">
        <w:t>brief explanation of related issues.</w:t>
      </w:r>
      <w:r w:rsidR="00F71FF8" w:rsidRPr="00240448">
        <w:t xml:space="preserve"> </w:t>
      </w:r>
    </w:p>
    <w:p w14:paraId="062EF6B1" w14:textId="77777777" w:rsidR="004E765B" w:rsidRPr="00240448" w:rsidRDefault="004E765B" w:rsidP="00020CA8">
      <w:pPr>
        <w:pStyle w:val="Heading1"/>
        <w:keepNext/>
        <w:numPr>
          <w:ilvl w:val="0"/>
          <w:numId w:val="0"/>
        </w:numPr>
        <w:spacing w:after="0"/>
        <w:rPr>
          <w:b/>
          <w:sz w:val="21"/>
          <w:szCs w:val="21"/>
        </w:rPr>
      </w:pPr>
      <w:r w:rsidRPr="00240448">
        <w:rPr>
          <w:b/>
          <w:sz w:val="21"/>
          <w:szCs w:val="21"/>
        </w:rPr>
        <w:t>Table 2: Report</w:t>
      </w:r>
      <w:r w:rsidR="00772765" w:rsidRPr="00240448">
        <w:rPr>
          <w:b/>
          <w:sz w:val="21"/>
          <w:szCs w:val="21"/>
        </w:rPr>
        <w:t>s</w:t>
      </w:r>
      <w:r w:rsidRPr="00240448">
        <w:rPr>
          <w:b/>
          <w:sz w:val="21"/>
          <w:szCs w:val="21"/>
        </w:rPr>
        <w:t xml:space="preserve"> </w:t>
      </w:r>
      <w:r w:rsidRPr="00240448">
        <w:rPr>
          <w:b/>
          <w:sz w:val="21"/>
          <w:szCs w:val="21"/>
          <w:lang w:val="en-CA"/>
        </w:rPr>
        <w:t>on project</w:t>
      </w:r>
      <w:r w:rsidR="00772765" w:rsidRPr="00240448">
        <w:rPr>
          <w:b/>
          <w:sz w:val="21"/>
          <w:szCs w:val="21"/>
          <w:lang w:val="en-CA"/>
        </w:rPr>
        <w:t>s</w:t>
      </w:r>
      <w:r w:rsidRPr="00240448">
        <w:rPr>
          <w:b/>
          <w:sz w:val="21"/>
          <w:szCs w:val="21"/>
          <w:lang w:val="en-CA"/>
        </w:rPr>
        <w:t xml:space="preserve"> with specific reporting requirements</w:t>
      </w:r>
      <w:r w:rsidRPr="00240448">
        <w:rPr>
          <w:b/>
          <w:sz w:val="21"/>
          <w:szCs w:val="21"/>
        </w:rPr>
        <w:t xml:space="preserve"> for individual consideration</w:t>
      </w:r>
      <w:r w:rsidR="00F71FF8" w:rsidRPr="00240448">
        <w:rPr>
          <w:b/>
          <w:sz w:val="21"/>
          <w:szCs w:val="21"/>
        </w:rPr>
        <w:t xml:space="preserve"> </w:t>
      </w:r>
    </w:p>
    <w:tbl>
      <w:tblPr>
        <w:tblStyle w:val="TableGrid"/>
        <w:tblW w:w="5099" w:type="pct"/>
        <w:tblLook w:val="04A0" w:firstRow="1" w:lastRow="0" w:firstColumn="1" w:lastColumn="0" w:noHBand="0" w:noVBand="1"/>
      </w:tblPr>
      <w:tblGrid>
        <w:gridCol w:w="1256"/>
        <w:gridCol w:w="3375"/>
        <w:gridCol w:w="3375"/>
        <w:gridCol w:w="1529"/>
      </w:tblGrid>
      <w:tr w:rsidR="00336980" w:rsidRPr="00240448" w14:paraId="71AF99EE" w14:textId="77777777" w:rsidTr="003B5FC0">
        <w:trPr>
          <w:tblHeader/>
        </w:trPr>
        <w:tc>
          <w:tcPr>
            <w:tcW w:w="658" w:type="pct"/>
          </w:tcPr>
          <w:p w14:paraId="52BA8E2F" w14:textId="77777777" w:rsidR="00336980" w:rsidRPr="00240448" w:rsidRDefault="00336980">
            <w:pPr>
              <w:keepNext/>
              <w:rPr>
                <w:b/>
                <w:sz w:val="20"/>
                <w:szCs w:val="20"/>
              </w:rPr>
            </w:pPr>
            <w:r w:rsidRPr="00240448">
              <w:rPr>
                <w:b/>
                <w:sz w:val="20"/>
                <w:szCs w:val="20"/>
              </w:rPr>
              <w:t>Country</w:t>
            </w:r>
          </w:p>
        </w:tc>
        <w:tc>
          <w:tcPr>
            <w:tcW w:w="1770" w:type="pct"/>
          </w:tcPr>
          <w:p w14:paraId="59ED8F84" w14:textId="77777777" w:rsidR="00336980" w:rsidRPr="00240448" w:rsidRDefault="00336980">
            <w:pPr>
              <w:keepNext/>
              <w:rPr>
                <w:b/>
                <w:sz w:val="20"/>
                <w:szCs w:val="20"/>
              </w:rPr>
            </w:pPr>
            <w:r w:rsidRPr="00240448">
              <w:rPr>
                <w:b/>
                <w:sz w:val="20"/>
                <w:szCs w:val="20"/>
              </w:rPr>
              <w:t>Project title</w:t>
            </w:r>
          </w:p>
        </w:tc>
        <w:tc>
          <w:tcPr>
            <w:tcW w:w="1770" w:type="pct"/>
          </w:tcPr>
          <w:p w14:paraId="09A7B11E" w14:textId="77777777" w:rsidR="00336980" w:rsidRPr="00240448" w:rsidRDefault="00336980">
            <w:pPr>
              <w:keepNext/>
              <w:rPr>
                <w:b/>
                <w:sz w:val="20"/>
                <w:szCs w:val="20"/>
              </w:rPr>
            </w:pPr>
            <w:r w:rsidRPr="00240448">
              <w:rPr>
                <w:b/>
                <w:sz w:val="20"/>
                <w:szCs w:val="20"/>
              </w:rPr>
              <w:t>Issue</w:t>
            </w:r>
          </w:p>
        </w:tc>
        <w:tc>
          <w:tcPr>
            <w:tcW w:w="802" w:type="pct"/>
          </w:tcPr>
          <w:p w14:paraId="01429089" w14:textId="77777777" w:rsidR="00336980" w:rsidRPr="00240448" w:rsidRDefault="00336980">
            <w:pPr>
              <w:keepNext/>
              <w:rPr>
                <w:b/>
                <w:sz w:val="20"/>
                <w:szCs w:val="20"/>
              </w:rPr>
            </w:pPr>
            <w:r w:rsidRPr="00240448">
              <w:rPr>
                <w:b/>
                <w:sz w:val="20"/>
                <w:szCs w:val="20"/>
              </w:rPr>
              <w:t>Paragraphs</w:t>
            </w:r>
          </w:p>
        </w:tc>
      </w:tr>
      <w:tr w:rsidR="00336980" w:rsidRPr="00240448" w14:paraId="3F608273" w14:textId="77777777" w:rsidTr="003B5FC0">
        <w:tc>
          <w:tcPr>
            <w:tcW w:w="5000" w:type="pct"/>
            <w:gridSpan w:val="4"/>
          </w:tcPr>
          <w:p w14:paraId="78B12835" w14:textId="77777777" w:rsidR="00336980" w:rsidRPr="00240448" w:rsidRDefault="00336980" w:rsidP="00381F1D">
            <w:pPr>
              <w:keepNext/>
              <w:rPr>
                <w:b/>
                <w:sz w:val="20"/>
                <w:szCs w:val="20"/>
              </w:rPr>
            </w:pPr>
            <w:r w:rsidRPr="00240448">
              <w:rPr>
                <w:b/>
                <w:sz w:val="20"/>
                <w:szCs w:val="20"/>
              </w:rPr>
              <w:t>Reports related to HCFC phase-out management plans (HPMPs)</w:t>
            </w:r>
          </w:p>
        </w:tc>
      </w:tr>
      <w:tr w:rsidR="00336980" w:rsidRPr="00404C48" w14:paraId="78815A3E" w14:textId="77777777" w:rsidTr="003B5FC0">
        <w:tc>
          <w:tcPr>
            <w:tcW w:w="658" w:type="pct"/>
            <w:shd w:val="clear" w:color="auto" w:fill="auto"/>
          </w:tcPr>
          <w:p w14:paraId="74793FBB" w14:textId="77777777" w:rsidR="00336980" w:rsidRPr="00240448" w:rsidRDefault="00C7520F" w:rsidP="00381F1D">
            <w:pPr>
              <w:keepNext/>
              <w:jc w:val="left"/>
              <w:rPr>
                <w:sz w:val="20"/>
                <w:szCs w:val="20"/>
              </w:rPr>
            </w:pPr>
            <w:r w:rsidRPr="00240448">
              <w:rPr>
                <w:sz w:val="20"/>
                <w:szCs w:val="20"/>
              </w:rPr>
              <w:t>D</w:t>
            </w:r>
            <w:r w:rsidR="00381FAF" w:rsidRPr="00240448">
              <w:rPr>
                <w:sz w:val="20"/>
                <w:szCs w:val="20"/>
              </w:rPr>
              <w:t xml:space="preserve">emocratic </w:t>
            </w:r>
            <w:r w:rsidRPr="00240448">
              <w:rPr>
                <w:sz w:val="20"/>
                <w:szCs w:val="20"/>
              </w:rPr>
              <w:t>P</w:t>
            </w:r>
            <w:r w:rsidR="00381FAF" w:rsidRPr="00240448">
              <w:rPr>
                <w:sz w:val="20"/>
                <w:szCs w:val="20"/>
              </w:rPr>
              <w:t xml:space="preserve">eople’s </w:t>
            </w:r>
            <w:r w:rsidRPr="00240448">
              <w:rPr>
                <w:sz w:val="20"/>
                <w:szCs w:val="20"/>
              </w:rPr>
              <w:t>R</w:t>
            </w:r>
            <w:r w:rsidR="00381FAF" w:rsidRPr="00240448">
              <w:rPr>
                <w:sz w:val="20"/>
                <w:szCs w:val="20"/>
              </w:rPr>
              <w:t>epublic</w:t>
            </w:r>
            <w:r w:rsidR="00845D1D" w:rsidRPr="00240448">
              <w:rPr>
                <w:sz w:val="20"/>
                <w:szCs w:val="20"/>
              </w:rPr>
              <w:t xml:space="preserve"> of Korea</w:t>
            </w:r>
          </w:p>
        </w:tc>
        <w:tc>
          <w:tcPr>
            <w:tcW w:w="1770" w:type="pct"/>
            <w:shd w:val="clear" w:color="auto" w:fill="auto"/>
          </w:tcPr>
          <w:p w14:paraId="6A8ECD7C" w14:textId="77777777" w:rsidR="00336980" w:rsidRPr="00240448" w:rsidRDefault="00C7520F" w:rsidP="00381F1D">
            <w:pPr>
              <w:keepNext/>
              <w:rPr>
                <w:sz w:val="20"/>
                <w:szCs w:val="20"/>
              </w:rPr>
            </w:pPr>
            <w:r w:rsidRPr="00240448">
              <w:rPr>
                <w:sz w:val="20"/>
                <w:szCs w:val="20"/>
              </w:rPr>
              <w:t>HP</w:t>
            </w:r>
            <w:r w:rsidR="00381FAF" w:rsidRPr="00240448">
              <w:rPr>
                <w:sz w:val="20"/>
                <w:szCs w:val="20"/>
              </w:rPr>
              <w:t>M</w:t>
            </w:r>
            <w:r w:rsidRPr="00240448">
              <w:rPr>
                <w:sz w:val="20"/>
                <w:szCs w:val="20"/>
              </w:rPr>
              <w:t xml:space="preserve">P </w:t>
            </w:r>
            <w:r w:rsidR="00AB15F7" w:rsidRPr="00240448">
              <w:rPr>
                <w:sz w:val="20"/>
                <w:szCs w:val="20"/>
              </w:rPr>
              <w:t>(</w:t>
            </w:r>
            <w:r w:rsidRPr="00240448">
              <w:rPr>
                <w:sz w:val="20"/>
                <w:szCs w:val="20"/>
              </w:rPr>
              <w:t>stage I</w:t>
            </w:r>
            <w:r w:rsidR="00AB15F7" w:rsidRPr="00240448">
              <w:rPr>
                <w:sz w:val="20"/>
                <w:szCs w:val="20"/>
              </w:rPr>
              <w:t>): Progress report on implementation of activities</w:t>
            </w:r>
          </w:p>
        </w:tc>
        <w:tc>
          <w:tcPr>
            <w:tcW w:w="1770" w:type="pct"/>
            <w:shd w:val="clear" w:color="auto" w:fill="auto"/>
          </w:tcPr>
          <w:p w14:paraId="036E0543" w14:textId="77777777" w:rsidR="00336980" w:rsidRPr="00240448" w:rsidRDefault="00761B65" w:rsidP="004C62BE">
            <w:pPr>
              <w:outlineLvl w:val="0"/>
              <w:rPr>
                <w:sz w:val="20"/>
                <w:szCs w:val="20"/>
                <w:lang w:val="en-US"/>
              </w:rPr>
            </w:pPr>
            <w:r w:rsidRPr="00240448">
              <w:rPr>
                <w:sz w:val="20"/>
                <w:szCs w:val="20"/>
              </w:rPr>
              <w:t xml:space="preserve">Request for guidance in view of the challenges </w:t>
            </w:r>
            <w:r w:rsidR="004C62BE" w:rsidRPr="00240448">
              <w:rPr>
                <w:sz w:val="20"/>
                <w:szCs w:val="20"/>
              </w:rPr>
              <w:t xml:space="preserve">in </w:t>
            </w:r>
            <w:r w:rsidRPr="00240448">
              <w:rPr>
                <w:sz w:val="20"/>
                <w:szCs w:val="20"/>
              </w:rPr>
              <w:t>implement</w:t>
            </w:r>
            <w:r w:rsidR="004C62BE" w:rsidRPr="00240448">
              <w:rPr>
                <w:sz w:val="20"/>
                <w:szCs w:val="20"/>
              </w:rPr>
              <w:t xml:space="preserve">ing </w:t>
            </w:r>
            <w:r w:rsidRPr="00240448">
              <w:rPr>
                <w:sz w:val="20"/>
                <w:szCs w:val="20"/>
              </w:rPr>
              <w:t xml:space="preserve">activities in </w:t>
            </w:r>
            <w:r w:rsidR="004C62BE" w:rsidRPr="00240448">
              <w:rPr>
                <w:sz w:val="20"/>
                <w:szCs w:val="20"/>
              </w:rPr>
              <w:t xml:space="preserve">light of the </w:t>
            </w:r>
            <w:r w:rsidRPr="00240448">
              <w:rPr>
                <w:sz w:val="20"/>
                <w:szCs w:val="20"/>
              </w:rPr>
              <w:t>United Nations Security Council resolutions</w:t>
            </w:r>
          </w:p>
        </w:tc>
        <w:tc>
          <w:tcPr>
            <w:tcW w:w="802" w:type="pct"/>
          </w:tcPr>
          <w:p w14:paraId="2ECC8E71" w14:textId="77777777" w:rsidR="00336980" w:rsidRPr="004F596E" w:rsidRDefault="0087613F" w:rsidP="00FB0484">
            <w:pPr>
              <w:keepNext/>
              <w:jc w:val="center"/>
              <w:rPr>
                <w:sz w:val="20"/>
                <w:szCs w:val="20"/>
              </w:rPr>
            </w:pPr>
            <w:r w:rsidRPr="00240448">
              <w:rPr>
                <w:sz w:val="20"/>
                <w:szCs w:val="20"/>
              </w:rPr>
              <w:t>22</w:t>
            </w:r>
            <w:r w:rsidR="00FB0484" w:rsidRPr="00240448">
              <w:rPr>
                <w:sz w:val="20"/>
                <w:szCs w:val="20"/>
              </w:rPr>
              <w:t>4</w:t>
            </w:r>
            <w:r w:rsidRPr="00240448">
              <w:rPr>
                <w:sz w:val="20"/>
                <w:szCs w:val="20"/>
              </w:rPr>
              <w:t>-23</w:t>
            </w:r>
            <w:r w:rsidR="00FB0484" w:rsidRPr="00240448">
              <w:rPr>
                <w:sz w:val="20"/>
                <w:szCs w:val="20"/>
              </w:rPr>
              <w:t>7</w:t>
            </w:r>
          </w:p>
        </w:tc>
      </w:tr>
    </w:tbl>
    <w:p w14:paraId="156FEA85" w14:textId="77777777" w:rsidR="00336980" w:rsidRPr="00336980" w:rsidRDefault="00336980" w:rsidP="00336980"/>
    <w:p w14:paraId="0184BCAC" w14:textId="77777777" w:rsidR="004E765B" w:rsidRDefault="004E765B" w:rsidP="00B77664">
      <w:pPr>
        <w:keepNext/>
        <w:keepLines/>
        <w:spacing w:after="240"/>
        <w:ind w:left="1440" w:hanging="1440"/>
        <w:rPr>
          <w:b/>
          <w:lang w:val="en-CA"/>
        </w:rPr>
      </w:pPr>
      <w:r w:rsidRPr="00E07D7C">
        <w:rPr>
          <w:b/>
          <w:lang w:val="en-CA"/>
        </w:rPr>
        <w:t>SECTION I</w:t>
      </w:r>
      <w:r w:rsidR="008C0142">
        <w:rPr>
          <w:b/>
          <w:lang w:val="en-CA"/>
        </w:rPr>
        <w:t>I</w:t>
      </w:r>
      <w:r>
        <w:rPr>
          <w:b/>
          <w:lang w:val="en-CA"/>
        </w:rPr>
        <w:t xml:space="preserve">: </w:t>
      </w:r>
      <w:r>
        <w:rPr>
          <w:b/>
          <w:lang w:val="en-CA"/>
        </w:rPr>
        <w:tab/>
      </w:r>
      <w:r w:rsidRPr="0032104A">
        <w:rPr>
          <w:b/>
          <w:lang w:val="en-CA"/>
        </w:rPr>
        <w:t>REPORTS ON PROJECTS WITH SPECIFIC REPORTING REQUIREMENTS RECOMMENDED FOR BLANKET APPROVAL</w:t>
      </w:r>
    </w:p>
    <w:p w14:paraId="5C46C97B" w14:textId="77777777" w:rsidR="00CD6A87" w:rsidRPr="00ED126B" w:rsidRDefault="002E7086" w:rsidP="002E7086">
      <w:pPr>
        <w:spacing w:after="240"/>
        <w:ind w:left="1440" w:hanging="1440"/>
        <w:rPr>
          <w:lang w:val="en-CA"/>
        </w:rPr>
      </w:pPr>
      <w:r w:rsidRPr="00ED126B">
        <w:rPr>
          <w:b/>
          <w:u w:val="single"/>
          <w:lang w:val="en-CA"/>
        </w:rPr>
        <w:t>Reports related to HPMPs</w:t>
      </w:r>
      <w:r w:rsidR="00A97D70" w:rsidRPr="00ED126B">
        <w:rPr>
          <w:rStyle w:val="FootnoteReference"/>
          <w:b/>
          <w:u w:val="single"/>
          <w:lang w:val="en-CA"/>
        </w:rPr>
        <w:footnoteReference w:id="6"/>
      </w:r>
    </w:p>
    <w:p w14:paraId="22AC59F7" w14:textId="77777777" w:rsidR="00F17DAA" w:rsidRPr="00ED126B" w:rsidRDefault="00F17DAA" w:rsidP="00F17DAA">
      <w:pPr>
        <w:keepNext/>
        <w:spacing w:after="240"/>
        <w:rPr>
          <w:lang w:val="en-CA"/>
        </w:rPr>
      </w:pPr>
      <w:r w:rsidRPr="00ED126B">
        <w:rPr>
          <w:u w:val="single"/>
          <w:lang w:val="en-CA"/>
        </w:rPr>
        <w:t xml:space="preserve">Afghanistan: HCFC phase-out management plan (stage I </w:t>
      </w:r>
      <w:r w:rsidRPr="00ED126B">
        <w:rPr>
          <w:u w:val="single"/>
          <w:lang w:val="en-CA"/>
        </w:rPr>
        <w:noBreakHyphen/>
        <w:t xml:space="preserve"> request for extension) </w:t>
      </w:r>
      <w:r w:rsidRPr="00ED126B">
        <w:rPr>
          <w:lang w:val="en-CA"/>
        </w:rPr>
        <w:t>(UNEP and UNIDO)</w:t>
      </w:r>
    </w:p>
    <w:p w14:paraId="49041559" w14:textId="77777777" w:rsidR="00F17DAA" w:rsidRPr="00ED126B" w:rsidRDefault="00F17DAA" w:rsidP="00F17DAA">
      <w:pPr>
        <w:keepNext/>
        <w:spacing w:after="240"/>
        <w:rPr>
          <w:b/>
          <w:lang w:val="en-CA"/>
        </w:rPr>
      </w:pPr>
      <w:r w:rsidRPr="00ED126B">
        <w:rPr>
          <w:b/>
          <w:lang w:val="en-CA"/>
        </w:rPr>
        <w:t>Background</w:t>
      </w:r>
    </w:p>
    <w:p w14:paraId="3CB3CF26" w14:textId="77777777" w:rsidR="00F17DAA" w:rsidRPr="00ED126B" w:rsidRDefault="00F17DAA" w:rsidP="00F17DAA">
      <w:pPr>
        <w:numPr>
          <w:ilvl w:val="0"/>
          <w:numId w:val="1"/>
        </w:numPr>
        <w:spacing w:after="240"/>
        <w:outlineLvl w:val="0"/>
        <w:rPr>
          <w:lang w:val="en-CA"/>
        </w:rPr>
      </w:pPr>
      <w:r w:rsidRPr="00ED126B">
        <w:rPr>
          <w:lang w:val="en-CA"/>
        </w:rPr>
        <w:t>On behalf of the Government of Afghanistan, UNEP as the lead implementing agency has submitted a request for extension of the implementation of stage I of the HCFC phase-out management plan (HPMP) for Afghanistan.</w:t>
      </w:r>
    </w:p>
    <w:p w14:paraId="591EBA26" w14:textId="77777777" w:rsidR="00F17DAA" w:rsidRPr="00ED126B" w:rsidRDefault="00F17DAA" w:rsidP="00F17DAA">
      <w:pPr>
        <w:pStyle w:val="Heading1"/>
        <w:autoSpaceDE w:val="0"/>
        <w:autoSpaceDN w:val="0"/>
        <w:adjustRightInd w:val="0"/>
      </w:pPr>
      <w:r w:rsidRPr="00ED126B">
        <w:rPr>
          <w:lang w:val="en-CA"/>
        </w:rPr>
        <w:t>Stage I of the HPMP was approved at the 63</w:t>
      </w:r>
      <w:r w:rsidRPr="00ED126B">
        <w:rPr>
          <w:vertAlign w:val="superscript"/>
          <w:lang w:val="en-CA"/>
        </w:rPr>
        <w:t>rd</w:t>
      </w:r>
      <w:r w:rsidRPr="00ED126B">
        <w:rPr>
          <w:lang w:val="en-CA"/>
        </w:rPr>
        <w:t> meeting</w:t>
      </w:r>
      <w:r w:rsidRPr="00ED126B">
        <w:rPr>
          <w:rStyle w:val="FootnoteReference"/>
          <w:lang w:val="en-CA"/>
        </w:rPr>
        <w:footnoteReference w:id="7"/>
      </w:r>
      <w:r w:rsidRPr="00ED126B">
        <w:rPr>
          <w:lang w:val="en-CA"/>
        </w:rPr>
        <w:t xml:space="preserve"> to meet the 35 per cent reduction from the baseline by 2020 at a total funding level of US $679,101, plus agency support costs of US $78,554, to phase out 8.26 ODP tonnes of HCFCs. All four tranches planned in stage I have been approved, with the last tranche approved at the 85</w:t>
      </w:r>
      <w:r w:rsidRPr="00ED126B">
        <w:rPr>
          <w:vertAlign w:val="superscript"/>
          <w:lang w:val="en-CA"/>
        </w:rPr>
        <w:t>th</w:t>
      </w:r>
      <w:r w:rsidRPr="00ED126B">
        <w:rPr>
          <w:lang w:val="en-CA"/>
        </w:rPr>
        <w:t xml:space="preserve"> meeting. In accordance with paragraph 14 of the Agreement between the Government and the Executive Committee, the project is to be completed by the end of 2021.</w:t>
      </w:r>
    </w:p>
    <w:p w14:paraId="0AD81960" w14:textId="77777777" w:rsidR="00F17DAA" w:rsidRPr="00ED126B" w:rsidRDefault="00F17DAA" w:rsidP="00F17DAA">
      <w:pPr>
        <w:pStyle w:val="Heading1"/>
      </w:pPr>
      <w:r w:rsidRPr="00ED126B">
        <w:rPr>
          <w:lang w:val="en-US"/>
        </w:rPr>
        <w:t xml:space="preserve">The implementation of stage I is progressing. The first and second tranches have been completed; most activities in the third tranche have already been implemented and are expected to be completed on time. However, </w:t>
      </w:r>
      <w:r w:rsidRPr="00ED126B">
        <w:t xml:space="preserve">due to the impact of the COVID-19 pandemic, the small-scale funding agreement (SSFA) between the Government and UNEP </w:t>
      </w:r>
      <w:r w:rsidRPr="00ED126B">
        <w:rPr>
          <w:lang w:val="en-US"/>
        </w:rPr>
        <w:t>for the final tranche was signed</w:t>
      </w:r>
      <w:r w:rsidRPr="00ED126B">
        <w:t xml:space="preserve"> </w:t>
      </w:r>
      <w:r w:rsidRPr="00ED126B">
        <w:rPr>
          <w:lang w:val="en-US"/>
        </w:rPr>
        <w:t>nine months late from the original time plan</w:t>
      </w:r>
      <w:r w:rsidRPr="00ED126B">
        <w:t>. The Government of Afghanistan is requesting an extension of the implementation of stage I until 31 December 2022.</w:t>
      </w:r>
    </w:p>
    <w:p w14:paraId="1F523BFD" w14:textId="77777777" w:rsidR="00F17DAA" w:rsidRPr="00ED126B" w:rsidRDefault="00F17DAA" w:rsidP="00F17DAA">
      <w:pPr>
        <w:spacing w:after="240"/>
        <w:rPr>
          <w:i/>
          <w:lang w:val="en-CA"/>
        </w:rPr>
      </w:pPr>
      <w:r w:rsidRPr="00ED126B">
        <w:rPr>
          <w:i/>
          <w:lang w:val="en-CA"/>
        </w:rPr>
        <w:t xml:space="preserve">HCFC consumption </w:t>
      </w:r>
    </w:p>
    <w:p w14:paraId="30D410A8" w14:textId="77777777" w:rsidR="00F17DAA" w:rsidRPr="00ED126B" w:rsidRDefault="00F17DAA" w:rsidP="00F17DAA">
      <w:pPr>
        <w:pStyle w:val="Heading1"/>
        <w:rPr>
          <w:lang w:val="en-CA"/>
        </w:rPr>
      </w:pPr>
      <w:r w:rsidRPr="00ED126B">
        <w:rPr>
          <w:lang w:val="en-CA"/>
        </w:rPr>
        <w:t xml:space="preserve">The Government of Afghanistan reported a consumption of 6.05 ODP tonnes of HCFCs in 2020, which is 61 per cent below the HPMP target of 15.34 ODP tonnes for 2020, and 74 per cent lower than the established baseline of 23.60 ODP tonnes. The significant decrease in HCFC consumption from 2019 to 2020 was due to the impact of the COVID-19 pandemic, which has reduced the economic activities and imports of HCFC-22 to the country. The consumption reported for 2020 under the country programme (CP) implementation report (Article 7 data for 2020 has not yet been reported) demonstrates that the country has achieved the 35 per cent reduction target in compliance with the Montreal Protocol. </w:t>
      </w:r>
    </w:p>
    <w:p w14:paraId="528FDC44" w14:textId="77777777" w:rsidR="00F17DAA" w:rsidRPr="00ED126B" w:rsidRDefault="00F17DAA" w:rsidP="00F17DAA">
      <w:pPr>
        <w:numPr>
          <w:ilvl w:val="0"/>
          <w:numId w:val="1"/>
        </w:numPr>
        <w:spacing w:after="240"/>
        <w:outlineLvl w:val="0"/>
        <w:rPr>
          <w:lang w:val="en-CA"/>
        </w:rPr>
      </w:pPr>
      <w:r w:rsidRPr="00ED126B">
        <w:rPr>
          <w:lang w:val="en-CA"/>
        </w:rPr>
        <w:t xml:space="preserve">The Government submitted sector consumption data under the 2019 CP implementation report is consistent with the data reported under Article 7 of the Montreal Protocol. </w:t>
      </w:r>
    </w:p>
    <w:p w14:paraId="7401F15F" w14:textId="77777777" w:rsidR="00F17DAA" w:rsidRPr="00ED126B" w:rsidRDefault="00F17DAA" w:rsidP="00524F5B">
      <w:pPr>
        <w:keepNext/>
        <w:keepLines/>
        <w:spacing w:after="240"/>
        <w:rPr>
          <w:b/>
          <w:lang w:val="en-CA"/>
        </w:rPr>
      </w:pPr>
      <w:r w:rsidRPr="00ED126B">
        <w:rPr>
          <w:b/>
          <w:lang w:val="en-CA"/>
        </w:rPr>
        <w:lastRenderedPageBreak/>
        <w:t xml:space="preserve">Progress report on the implementation of stage I </w:t>
      </w:r>
    </w:p>
    <w:p w14:paraId="0995AD18" w14:textId="77777777" w:rsidR="00F17DAA" w:rsidRPr="00ED126B" w:rsidRDefault="00F17DAA" w:rsidP="00F17DAA">
      <w:pPr>
        <w:pStyle w:val="Heading1"/>
        <w:rPr>
          <w:lang w:val="en-CA"/>
        </w:rPr>
      </w:pPr>
      <w:r w:rsidRPr="00ED126B">
        <w:rPr>
          <w:lang w:val="en-CA"/>
        </w:rPr>
        <w:t>The country has been implementing the licensing and quota system to control the import of HCFCs. A ban on import of HCFC-based equipment and import of HCFC-141b contained in pre</w:t>
      </w:r>
      <w:r w:rsidRPr="00ED126B">
        <w:rPr>
          <w:lang w:val="en-CA"/>
        </w:rPr>
        <w:noBreakHyphen/>
        <w:t>blended polyols was introduced in 2018 and is being enforced. So far, a total of 1,264 customs officers and enforcement personnel were trained in HCFC import control, identification of ODS and prevention of illegal trade under stage I of the HPMP.</w:t>
      </w:r>
    </w:p>
    <w:p w14:paraId="4E1E34A1" w14:textId="77777777" w:rsidR="00F17DAA" w:rsidRPr="00ED126B" w:rsidRDefault="00F17DAA" w:rsidP="00F17DAA">
      <w:pPr>
        <w:pStyle w:val="Heading1"/>
        <w:rPr>
          <w:lang w:val="en-CA"/>
        </w:rPr>
      </w:pPr>
      <w:r w:rsidRPr="00ED126B">
        <w:rPr>
          <w:lang w:val="en-CA"/>
        </w:rPr>
        <w:t>Training workshops have been conducted and so far, 24 trainers and a total of 360 refrigeration and air</w:t>
      </w:r>
      <w:r w:rsidRPr="00ED126B">
        <w:rPr>
          <w:lang w:val="en-CA"/>
        </w:rPr>
        <w:noBreakHyphen/>
        <w:t>conditioning (RAC) technicians have been trained in good servicing practices, the safe handling of flammable refrigerants and maintaining energy efficiency of RAC equipment.</w:t>
      </w:r>
    </w:p>
    <w:p w14:paraId="77D5E631" w14:textId="77777777" w:rsidR="00F17DAA" w:rsidRPr="00ED126B" w:rsidRDefault="00F17DAA" w:rsidP="00F17DAA">
      <w:pPr>
        <w:pStyle w:val="Heading1"/>
        <w:rPr>
          <w:lang w:val="en-CA"/>
        </w:rPr>
      </w:pPr>
      <w:r w:rsidRPr="00ED126B">
        <w:rPr>
          <w:lang w:val="en-CA"/>
        </w:rPr>
        <w:t>The Afghanistan-Korea Institute (AKI) was supported as the refrigerant management and containment centre (RMCC). Equipment and tools have been delivered to AKI and registered for official use. AKI is</w:t>
      </w:r>
      <w:r w:rsidRPr="00ED126B">
        <w:t xml:space="preserve"> developing visual training materials for the training of technicians and students who have access to online resources. </w:t>
      </w:r>
    </w:p>
    <w:p w14:paraId="63ECE09B" w14:textId="77777777" w:rsidR="00F17DAA" w:rsidRPr="00ED126B" w:rsidRDefault="00F17DAA" w:rsidP="00F17DAA">
      <w:pPr>
        <w:pStyle w:val="Heading1"/>
      </w:pPr>
      <w:r w:rsidRPr="00ED126B">
        <w:rPr>
          <w:lang w:val="en-CA"/>
        </w:rPr>
        <w:t xml:space="preserve">A survey was conducted to select additional vocational training centres for RAC technicians. A memorandum of understanding has been developed with the </w:t>
      </w:r>
      <w:r w:rsidRPr="00ED126B">
        <w:t xml:space="preserve">Ministry of Labour and Social Affairs to establish the RAC profession in two provincial training centres in Herat and Balkh supported by the national budget scheme. </w:t>
      </w:r>
    </w:p>
    <w:p w14:paraId="11718F6D" w14:textId="77777777" w:rsidR="00F17DAA" w:rsidRPr="00ED126B" w:rsidRDefault="00F17DAA" w:rsidP="00F17DAA">
      <w:pPr>
        <w:pStyle w:val="Heading1"/>
      </w:pPr>
      <w:r w:rsidRPr="00ED126B">
        <w:rPr>
          <w:lang w:val="en-CA"/>
        </w:rPr>
        <w:t xml:space="preserve">Since the approval of the fourth tranche, a </w:t>
      </w:r>
      <w:r w:rsidRPr="00ED126B">
        <w:t xml:space="preserve">SSFA </w:t>
      </w:r>
      <w:r w:rsidRPr="00ED126B">
        <w:rPr>
          <w:lang w:val="en-CA"/>
        </w:rPr>
        <w:t xml:space="preserve">between the Government of Afghanistan and UNEP </w:t>
      </w:r>
      <w:r w:rsidRPr="00ED126B">
        <w:t xml:space="preserve">to specify legal responsibilities for activity implementation and reporting </w:t>
      </w:r>
      <w:r w:rsidRPr="00ED126B">
        <w:rPr>
          <w:lang w:val="en-CA"/>
        </w:rPr>
        <w:t xml:space="preserve">has been signed. The SSFA is being incorporated into the agreement between UNEP and the UNDP country office for fund transfers. </w:t>
      </w:r>
    </w:p>
    <w:p w14:paraId="4C97F867" w14:textId="77777777" w:rsidR="00F17DAA" w:rsidRPr="00ED126B" w:rsidRDefault="00F17DAA" w:rsidP="00F17DAA">
      <w:pPr>
        <w:spacing w:after="240"/>
        <w:rPr>
          <w:i/>
          <w:lang w:val="en-CA"/>
        </w:rPr>
      </w:pPr>
      <w:r w:rsidRPr="00ED126B">
        <w:rPr>
          <w:i/>
          <w:lang w:val="en-CA"/>
        </w:rPr>
        <w:t>Enabling activities in the refrigeration and air-conditioning (RAC) sector</w:t>
      </w:r>
    </w:p>
    <w:p w14:paraId="7D215CE8" w14:textId="77777777" w:rsidR="00F17DAA" w:rsidRPr="00ED126B" w:rsidRDefault="00F17DAA" w:rsidP="00F17DAA">
      <w:pPr>
        <w:pStyle w:val="Heading1"/>
        <w:rPr>
          <w:lang w:val="en-CA"/>
        </w:rPr>
      </w:pPr>
      <w:r w:rsidRPr="00ED126B">
        <w:rPr>
          <w:lang w:val="en-CA"/>
        </w:rPr>
        <w:t>The Government of Afghanistan has been implementing enabling activities and the proposal to ratify the Kigali Amendment has been endorsed by all the relevant Ministries and is awaiting Cabinet approval. A consultant is working on drafting the legal text of the ODS Regulation Amendment to integrate HFCs and HFC blends into the licensing system. Harmonized System (HS) codes for HFCs and blends have been introduced and sent to all customs ports and included in the customs ASYCUDA</w:t>
      </w:r>
      <w:r w:rsidRPr="00ED126B">
        <w:rPr>
          <w:rStyle w:val="FootnoteReference"/>
          <w:lang w:val="en-CA"/>
        </w:rPr>
        <w:footnoteReference w:id="8"/>
      </w:r>
      <w:r w:rsidRPr="00ED126B">
        <w:rPr>
          <w:lang w:val="en-CA"/>
        </w:rPr>
        <w:t xml:space="preserve"> system. The national ozone unit has developed communication materials on the Kigali Amendment (including brochures, banners, and information videos in Dari and Pashto) and is conducting a distribution and media campaign.</w:t>
      </w:r>
    </w:p>
    <w:p w14:paraId="03F63A27" w14:textId="77777777" w:rsidR="00F17DAA" w:rsidRPr="00ED126B" w:rsidRDefault="00F17DAA" w:rsidP="00F17DAA">
      <w:pPr>
        <w:spacing w:after="240"/>
        <w:outlineLvl w:val="0"/>
        <w:rPr>
          <w:lang w:val="en-CA"/>
        </w:rPr>
      </w:pPr>
      <w:r w:rsidRPr="00ED126B">
        <w:rPr>
          <w:u w:val="single"/>
          <w:lang w:val="en-CA"/>
        </w:rPr>
        <w:t>Level of fund disbursement</w:t>
      </w:r>
    </w:p>
    <w:p w14:paraId="1821A60A" w14:textId="77777777" w:rsidR="00F17DAA" w:rsidRPr="00ED126B" w:rsidRDefault="00F17DAA" w:rsidP="00F17DAA">
      <w:pPr>
        <w:pStyle w:val="Heading1"/>
        <w:rPr>
          <w:lang w:val="en-CA"/>
        </w:rPr>
      </w:pPr>
      <w:r w:rsidRPr="00ED126B">
        <w:rPr>
          <w:lang w:val="en-CA"/>
        </w:rPr>
        <w:t>As of April 2021, of the US $</w:t>
      </w:r>
      <w:r w:rsidRPr="00ED126B">
        <w:rPr>
          <w:color w:val="000000"/>
          <w:lang w:val="en-CA" w:eastAsia="en-CA"/>
        </w:rPr>
        <w:t>679,101</w:t>
      </w:r>
      <w:r w:rsidRPr="00ED126B">
        <w:rPr>
          <w:lang w:val="en-CA"/>
        </w:rPr>
        <w:t xml:space="preserve"> approved so far, US $518,445 had been disbursed (US $344,828 for UNEP, US $37,062 for the Government of Germany and US $136,555 for UNIDO).</w:t>
      </w:r>
    </w:p>
    <w:p w14:paraId="5DEB8621" w14:textId="77777777" w:rsidR="00F17DAA" w:rsidRPr="00ED126B" w:rsidRDefault="00F17DAA" w:rsidP="00F17DAA">
      <w:pPr>
        <w:keepNext/>
        <w:spacing w:after="240"/>
        <w:rPr>
          <w:b/>
          <w:lang w:val="en-CA"/>
        </w:rPr>
      </w:pPr>
      <w:r w:rsidRPr="00ED126B">
        <w:rPr>
          <w:b/>
          <w:lang w:val="en-CA"/>
        </w:rPr>
        <w:t>Secretariat’s comments</w:t>
      </w:r>
    </w:p>
    <w:p w14:paraId="2F85782E" w14:textId="77777777" w:rsidR="00F17DAA" w:rsidRPr="00ED126B" w:rsidRDefault="00F17DAA" w:rsidP="00F17DAA">
      <w:pPr>
        <w:keepNext/>
        <w:numPr>
          <w:ilvl w:val="0"/>
          <w:numId w:val="1"/>
        </w:numPr>
        <w:spacing w:after="240"/>
        <w:outlineLvl w:val="0"/>
        <w:rPr>
          <w:lang w:val="en-CA"/>
        </w:rPr>
      </w:pPr>
      <w:r w:rsidRPr="00ED126B">
        <w:rPr>
          <w:lang w:val="en-CA"/>
        </w:rPr>
        <w:t xml:space="preserve">The Secretariat notes that the implementation of stage I of the HPMP for Afghanistan has been progressing well. The first and second tranches have been completed; most of the activities in the third tranche have been completed or planned, and all funds have been committed. The groundwork for implementation of the fourth tranche is being laid. </w:t>
      </w:r>
    </w:p>
    <w:p w14:paraId="2E604E89" w14:textId="77777777" w:rsidR="00F17DAA" w:rsidRPr="00ED126B" w:rsidRDefault="00F17DAA" w:rsidP="00F17DAA">
      <w:pPr>
        <w:numPr>
          <w:ilvl w:val="0"/>
          <w:numId w:val="1"/>
        </w:numPr>
        <w:spacing w:after="240"/>
        <w:outlineLvl w:val="0"/>
        <w:rPr>
          <w:lang w:val="en-CA"/>
        </w:rPr>
      </w:pPr>
      <w:r w:rsidRPr="00ED126B">
        <w:rPr>
          <w:lang w:val="en-CA"/>
        </w:rPr>
        <w:t xml:space="preserve">The Secretariat notes the efforts undertaken by the Government of Afghanistan, UNEP and UNIDO to complete the activities planned in the third and fourth tranches. Notwithstanding those efforts, it is anticipated that the project will not be completed before the end of 2021 due to delays associated with the </w:t>
      </w:r>
      <w:r w:rsidRPr="00ED126B">
        <w:rPr>
          <w:lang w:val="en-CA"/>
        </w:rPr>
        <w:lastRenderedPageBreak/>
        <w:t xml:space="preserve">COVID-19 pandemic as the SSFA was signed nine months late and the SSFA is being incorporated into the funding transfer agreement with UNDP. The extension of one additional year would allow the Government, UNEP and UNIDO to complete the remaining activities in the third and fourth tranches. </w:t>
      </w:r>
    </w:p>
    <w:p w14:paraId="3FB19EBC" w14:textId="77777777" w:rsidR="00F17DAA" w:rsidRPr="00ED126B" w:rsidRDefault="00F17DAA" w:rsidP="00F17DAA">
      <w:pPr>
        <w:spacing w:after="240"/>
        <w:rPr>
          <w:b/>
          <w:lang w:val="en-CA"/>
        </w:rPr>
      </w:pPr>
      <w:r w:rsidRPr="00ED126B">
        <w:rPr>
          <w:b/>
          <w:lang w:val="en-CA"/>
        </w:rPr>
        <w:t>Recommendation</w:t>
      </w:r>
    </w:p>
    <w:p w14:paraId="1C235848" w14:textId="77777777" w:rsidR="00F17DAA" w:rsidRPr="00ED126B" w:rsidRDefault="00F17DAA" w:rsidP="00F17DAA">
      <w:pPr>
        <w:numPr>
          <w:ilvl w:val="0"/>
          <w:numId w:val="1"/>
        </w:numPr>
        <w:spacing w:after="240"/>
        <w:outlineLvl w:val="0"/>
        <w:rPr>
          <w:lang w:val="en-CA"/>
        </w:rPr>
      </w:pPr>
      <w:r w:rsidRPr="00ED126B">
        <w:rPr>
          <w:lang w:val="en-CA"/>
        </w:rPr>
        <w:t>The Executive Committee may wish:</w:t>
      </w:r>
    </w:p>
    <w:p w14:paraId="12FE8EA9" w14:textId="77777777" w:rsidR="00F17DAA" w:rsidRPr="00ED126B" w:rsidRDefault="00F17DAA" w:rsidP="00F17DAA">
      <w:pPr>
        <w:widowControl w:val="0"/>
        <w:numPr>
          <w:ilvl w:val="1"/>
          <w:numId w:val="1"/>
        </w:numPr>
        <w:tabs>
          <w:tab w:val="num" w:pos="557"/>
        </w:tabs>
        <w:spacing w:after="240"/>
        <w:outlineLvl w:val="1"/>
        <w:rPr>
          <w:lang w:val="en-CA"/>
        </w:rPr>
      </w:pPr>
      <w:r w:rsidRPr="00ED126B">
        <w:rPr>
          <w:lang w:val="en-CA"/>
        </w:rPr>
        <w:t>To note the progress report on the implementation of the work programme associated with stage I of the HCFC phase-out management plan (HPMP) for Afghanistan and the request for extension submitted by UNEP, contained in document UNEP/OzL.Pro/ExCom/87/9;</w:t>
      </w:r>
    </w:p>
    <w:p w14:paraId="4AB3AE54" w14:textId="77777777" w:rsidR="00F17DAA" w:rsidRPr="00ED126B" w:rsidRDefault="00F17DAA" w:rsidP="00F17DAA">
      <w:pPr>
        <w:pStyle w:val="Heading2"/>
        <w:rPr>
          <w:lang w:val="en-CA"/>
        </w:rPr>
      </w:pPr>
      <w:r w:rsidRPr="00ED126B">
        <w:rPr>
          <w:lang w:val="en-CA"/>
        </w:rPr>
        <w:t xml:space="preserve">To extend, </w:t>
      </w:r>
      <w:r w:rsidRPr="00ED126B">
        <w:t xml:space="preserve">on an exceptional basis due to the delays imposed by the COVID-19 pandemic, </w:t>
      </w:r>
      <w:r w:rsidRPr="00ED126B">
        <w:rPr>
          <w:lang w:val="en-CA"/>
        </w:rPr>
        <w:t>the completion date of stage I of the HPMP for Afghanistan until 31 </w:t>
      </w:r>
      <w:r w:rsidRPr="00ED126B">
        <w:t>December 2022 noting that no further extension would be requested</w:t>
      </w:r>
      <w:r w:rsidRPr="00ED126B">
        <w:rPr>
          <w:lang w:val="en-CA"/>
        </w:rPr>
        <w:t xml:space="preserve">; and </w:t>
      </w:r>
    </w:p>
    <w:p w14:paraId="6A33AA8C" w14:textId="77777777" w:rsidR="00F17DAA" w:rsidRPr="00ED126B" w:rsidRDefault="00F17DAA" w:rsidP="00F17DAA">
      <w:pPr>
        <w:pStyle w:val="Heading2"/>
        <w:rPr>
          <w:lang w:val="en-CA"/>
        </w:rPr>
      </w:pPr>
      <w:r w:rsidRPr="00ED126B">
        <w:rPr>
          <w:lang w:val="en-CA"/>
        </w:rPr>
        <w:t>To request the Government of Afghanistan, UNEP and UNIDO to submit a project completion report to the first meeting of 2023.</w:t>
      </w:r>
    </w:p>
    <w:p w14:paraId="5B22BB7D" w14:textId="77777777" w:rsidR="00F17DAA" w:rsidRPr="00ED126B" w:rsidRDefault="00F17DAA" w:rsidP="00F17DAA">
      <w:pPr>
        <w:spacing w:after="240"/>
        <w:rPr>
          <w:u w:val="single"/>
        </w:rPr>
      </w:pPr>
      <w:r w:rsidRPr="00ED126B">
        <w:rPr>
          <w:u w:val="single"/>
        </w:rPr>
        <w:t xml:space="preserve">Argentina: HCFC phase-out management plan (stage II – update on the financial viability of the enterprise </w:t>
      </w:r>
      <w:proofErr w:type="spellStart"/>
      <w:r w:rsidRPr="00ED126B">
        <w:rPr>
          <w:u w:val="single"/>
        </w:rPr>
        <w:t>Celpack</w:t>
      </w:r>
      <w:proofErr w:type="spellEnd"/>
      <w:r w:rsidRPr="00ED126B">
        <w:rPr>
          <w:u w:val="single"/>
        </w:rPr>
        <w:t>)</w:t>
      </w:r>
      <w:r w:rsidRPr="00ED126B">
        <w:t xml:space="preserve"> (UNIDO)</w:t>
      </w:r>
    </w:p>
    <w:p w14:paraId="5E7F8333" w14:textId="77777777" w:rsidR="00F17DAA" w:rsidRPr="00ED126B" w:rsidRDefault="00F17DAA" w:rsidP="00F17DAA">
      <w:pPr>
        <w:spacing w:after="240"/>
        <w:rPr>
          <w:b/>
        </w:rPr>
      </w:pPr>
      <w:r w:rsidRPr="00ED126B">
        <w:rPr>
          <w:b/>
        </w:rPr>
        <w:t>Background</w:t>
      </w:r>
    </w:p>
    <w:p w14:paraId="5CD91EBB" w14:textId="77777777" w:rsidR="00F17DAA" w:rsidRPr="00ED126B" w:rsidRDefault="00F17DAA" w:rsidP="00F17DAA">
      <w:pPr>
        <w:pStyle w:val="Heading1"/>
      </w:pPr>
      <w:r w:rsidRPr="00ED126B">
        <w:t>At its 84</w:t>
      </w:r>
      <w:r w:rsidRPr="00ED126B">
        <w:rPr>
          <w:vertAlign w:val="superscript"/>
        </w:rPr>
        <w:t>th</w:t>
      </w:r>
      <w:r w:rsidRPr="00ED126B">
        <w:t xml:space="preserve"> meeting, the Executive Committee considered the request for funding the second tranche of stage II of the HPMP for Argentina.</w:t>
      </w:r>
      <w:r w:rsidRPr="00ED126B">
        <w:rPr>
          <w:rStyle w:val="FootnoteReference"/>
        </w:rPr>
        <w:footnoteReference w:id="9"/>
      </w:r>
      <w:r w:rsidRPr="00ED126B">
        <w:t xml:space="preserve"> The tranche request included a progress report indicating </w:t>
      </w:r>
      <w:r w:rsidRPr="00ED126B">
        <w:rPr>
          <w:i/>
        </w:rPr>
        <w:t>inter alia</w:t>
      </w:r>
      <w:r w:rsidRPr="00ED126B">
        <w:t xml:space="preserve"> that the conversion of the extruded polystyrene (XPS) foam enterprise </w:t>
      </w:r>
      <w:proofErr w:type="spellStart"/>
      <w:r w:rsidRPr="00ED126B">
        <w:t>Celpack</w:t>
      </w:r>
      <w:proofErr w:type="spellEnd"/>
      <w:r w:rsidRPr="00ED126B">
        <w:t>, from HCFC-22 to CO</w:t>
      </w:r>
      <w:r w:rsidRPr="00ED126B">
        <w:rPr>
          <w:vertAlign w:val="subscript"/>
        </w:rPr>
        <w:t>2</w:t>
      </w:r>
      <w:r w:rsidRPr="00ED126B">
        <w:t>, had been delayed due to economic difficulties that the enterprise was facing and to its interest in evaluating butane as an alternative to HCFCs. In approving the funding tranche, the Committee requested UNIDO to submit at the 85</w:t>
      </w:r>
      <w:r w:rsidRPr="00ED126B">
        <w:rPr>
          <w:vertAlign w:val="superscript"/>
        </w:rPr>
        <w:t>th</w:t>
      </w:r>
      <w:r w:rsidRPr="00ED126B">
        <w:t> meeting an update on the financial viability of the enterprise and whether it would be assisted by the Multilateral Fund, on the understanding that the funds from the conversion would be returned in the event that the enterprise were removed from the project (decision 84/64(d)(ii)).</w:t>
      </w:r>
    </w:p>
    <w:p w14:paraId="107CD8A8" w14:textId="77777777" w:rsidR="00F17DAA" w:rsidRPr="00ED126B" w:rsidRDefault="00F17DAA" w:rsidP="00F17DAA">
      <w:pPr>
        <w:pStyle w:val="Heading1"/>
      </w:pPr>
      <w:r w:rsidRPr="00ED126B">
        <w:t>In line with decision 84/64(d)(ii), UNIDO submitted to the 85</w:t>
      </w:r>
      <w:r w:rsidRPr="00ED126B">
        <w:rPr>
          <w:vertAlign w:val="superscript"/>
        </w:rPr>
        <w:t>th</w:t>
      </w:r>
      <w:r w:rsidRPr="00ED126B">
        <w:t xml:space="preserve"> meeting a report indicating that the Government of Argentina and UNIDO were unable to conclude the assessment regarding the financial viability of </w:t>
      </w:r>
      <w:proofErr w:type="spellStart"/>
      <w:r w:rsidRPr="00ED126B">
        <w:t>Celpack</w:t>
      </w:r>
      <w:proofErr w:type="spellEnd"/>
      <w:r w:rsidRPr="00ED126B">
        <w:t xml:space="preserve"> owing to the isolation measures established by the Government due to the COVID</w:t>
      </w:r>
      <w:r w:rsidRPr="00ED126B">
        <w:noBreakHyphen/>
        <w:t>19 pandemic, which did not allow the national ozone unit (NOU) to visit the enterprise and to finalize the financial assessment. Accordingly, the Executive Committee, through the intersessional approval process for the 85</w:t>
      </w:r>
      <w:r w:rsidRPr="00ED126B">
        <w:rPr>
          <w:vertAlign w:val="superscript"/>
        </w:rPr>
        <w:t>th</w:t>
      </w:r>
      <w:r w:rsidRPr="00ED126B">
        <w:t xml:space="preserve"> meeting (IAP-85), requested the Government of Argentina, through UNIDO, to provide to the 86</w:t>
      </w:r>
      <w:r w:rsidRPr="00ED126B">
        <w:rPr>
          <w:vertAlign w:val="superscript"/>
        </w:rPr>
        <w:t>th</w:t>
      </w:r>
      <w:r w:rsidRPr="00ED126B">
        <w:t xml:space="preserve"> meeting an update on the financial viability of the enterprise </w:t>
      </w:r>
      <w:proofErr w:type="spellStart"/>
      <w:r w:rsidRPr="00ED126B">
        <w:t>Celpack</w:t>
      </w:r>
      <w:proofErr w:type="spellEnd"/>
      <w:r w:rsidRPr="00ED126B">
        <w:t>, a decision on whether the enterprise would be assisted by the Multilateral Fund in line with decision 84/64(d)(ii), and the return of funds associated with the conversion in the event that the enterprise was removed from the project.</w:t>
      </w:r>
    </w:p>
    <w:p w14:paraId="20906E03" w14:textId="77777777" w:rsidR="00F17DAA" w:rsidRPr="00ED126B" w:rsidRDefault="00F17DAA" w:rsidP="00F17DAA">
      <w:pPr>
        <w:pStyle w:val="Heading1"/>
        <w:keepNext/>
      </w:pPr>
      <w:r w:rsidRPr="00ED126B">
        <w:t xml:space="preserve">In response to the decision adopted through the IAP-85, UNIDO indicated in September 2020 that no progress had been made in the proceedings because of the judicial recess implemented as part of the isolation measures due to the COVID-19 pandemic. The information received from the trustee revealed that the majority of </w:t>
      </w:r>
      <w:proofErr w:type="spellStart"/>
      <w:r w:rsidRPr="00ED126B">
        <w:t>Celpack’s</w:t>
      </w:r>
      <w:proofErr w:type="spellEnd"/>
      <w:r w:rsidRPr="00ED126B">
        <w:t xml:space="preserve"> debt was with the Federal Agency for Public Incomes. Recognizing the economic impact of COVID</w:t>
      </w:r>
      <w:r w:rsidRPr="00ED126B">
        <w:noBreakHyphen/>
        <w:t xml:space="preserve">19, the Parliament passed a law approving a moratorium plan for financing debts due by </w:t>
      </w:r>
      <w:r w:rsidRPr="00ED126B">
        <w:lastRenderedPageBreak/>
        <w:t>31 July 2020. Subsequently, the Executive Committee requested the Government of Argentina, through UNIDO, to provide to the 87</w:t>
      </w:r>
      <w:r w:rsidRPr="00ED126B">
        <w:rPr>
          <w:vertAlign w:val="superscript"/>
        </w:rPr>
        <w:t>th</w:t>
      </w:r>
      <w:r w:rsidRPr="00ED126B">
        <w:t xml:space="preserve"> meeting an update in line with decision 84/64(d)(ii) (</w:t>
      </w:r>
      <w:r w:rsidR="00310DCC" w:rsidRPr="00ED126B">
        <w:rPr>
          <w:lang w:val="en-CA"/>
        </w:rPr>
        <w:t>decision 86/22</w:t>
      </w:r>
      <w:r w:rsidRPr="00ED126B">
        <w:rPr>
          <w:lang w:val="en-CA"/>
        </w:rPr>
        <w:t>).</w:t>
      </w:r>
    </w:p>
    <w:p w14:paraId="5FD93FC8" w14:textId="77777777" w:rsidR="00F17DAA" w:rsidRPr="00ED126B" w:rsidRDefault="00F17DAA" w:rsidP="00F17DAA">
      <w:pPr>
        <w:pStyle w:val="Heading1"/>
        <w:keepNext/>
        <w:numPr>
          <w:ilvl w:val="0"/>
          <w:numId w:val="0"/>
        </w:numPr>
        <w:rPr>
          <w:b/>
        </w:rPr>
      </w:pPr>
      <w:r w:rsidRPr="00ED126B">
        <w:rPr>
          <w:b/>
        </w:rPr>
        <w:t xml:space="preserve">Progress report </w:t>
      </w:r>
    </w:p>
    <w:p w14:paraId="2C70BB91" w14:textId="77777777" w:rsidR="00F17DAA" w:rsidRPr="00ED126B" w:rsidRDefault="00F17DAA" w:rsidP="00F17DAA">
      <w:pPr>
        <w:pStyle w:val="Heading1"/>
      </w:pPr>
      <w:r w:rsidRPr="00ED126B">
        <w:t>UNIDO, on behalf of the Government of Argentina, has submitted an update to the 87</w:t>
      </w:r>
      <w:r w:rsidRPr="00ED126B">
        <w:rPr>
          <w:vertAlign w:val="superscript"/>
        </w:rPr>
        <w:t>th</w:t>
      </w:r>
      <w:r w:rsidRPr="00ED126B">
        <w:t xml:space="preserve"> meeting. It indicated that </w:t>
      </w:r>
      <w:proofErr w:type="spellStart"/>
      <w:r w:rsidRPr="00ED126B">
        <w:t>Celpack</w:t>
      </w:r>
      <w:proofErr w:type="spellEnd"/>
      <w:r w:rsidRPr="00ED126B">
        <w:t xml:space="preserve"> has been adhering to the established flexible moratorium plan and paying off its debts, in accordance with the repayment schedule approved by the Argentina Tax Authority. This is expected to have a positive impact on the financial viability of the enterprise. As soon as the COVID</w:t>
      </w:r>
      <w:r w:rsidRPr="00ED126B">
        <w:noBreakHyphen/>
        <w:t xml:space="preserve">19 containment measures are lifted and the Provincial Judiciary resumes operations, the NOU and UNIDO will discuss with the trustee to determine the economic situation of </w:t>
      </w:r>
      <w:proofErr w:type="spellStart"/>
      <w:r w:rsidRPr="00ED126B">
        <w:t>Celpack</w:t>
      </w:r>
      <w:proofErr w:type="spellEnd"/>
      <w:r w:rsidRPr="00ED126B">
        <w:t>, and report to the 88</w:t>
      </w:r>
      <w:r w:rsidRPr="00ED126B">
        <w:rPr>
          <w:vertAlign w:val="superscript"/>
        </w:rPr>
        <w:t>th</w:t>
      </w:r>
      <w:r w:rsidRPr="00ED126B">
        <w:t xml:space="preserve"> meeting.</w:t>
      </w:r>
    </w:p>
    <w:p w14:paraId="7BD87054" w14:textId="77777777" w:rsidR="00F17DAA" w:rsidRPr="00ED126B" w:rsidRDefault="00F17DAA" w:rsidP="00F17DAA">
      <w:pPr>
        <w:pStyle w:val="Heading1"/>
      </w:pPr>
      <w:r w:rsidRPr="00ED126B">
        <w:t xml:space="preserve">The Government of Argentina has reiterated that the funding associated with </w:t>
      </w:r>
      <w:proofErr w:type="spellStart"/>
      <w:r w:rsidRPr="00ED126B">
        <w:t>Celpack</w:t>
      </w:r>
      <w:proofErr w:type="spellEnd"/>
      <w:r w:rsidRPr="00ED126B">
        <w:t xml:space="preserve"> would not be disbursed until the issue had been resolved and its resolution considered by the Executive Committee. The Secretariat notes that in the event that the enterprise were found to be not financially viable, the level of funds to be returned would be calculated taking into consideration the terms of flexibility used for the approval of funds for the XPS foam sector in Argentina.</w:t>
      </w:r>
      <w:r w:rsidRPr="00ED126B">
        <w:rPr>
          <w:rStyle w:val="FootnoteReference"/>
        </w:rPr>
        <w:footnoteReference w:id="10"/>
      </w:r>
      <w:r w:rsidRPr="00ED126B">
        <w:t xml:space="preserve"> </w:t>
      </w:r>
    </w:p>
    <w:p w14:paraId="395A51BC" w14:textId="77777777" w:rsidR="00F17DAA" w:rsidRPr="00ED126B" w:rsidRDefault="00F17DAA" w:rsidP="00F17DAA">
      <w:pPr>
        <w:pStyle w:val="Heading1"/>
        <w:keepNext/>
        <w:keepLines/>
        <w:numPr>
          <w:ilvl w:val="0"/>
          <w:numId w:val="0"/>
        </w:numPr>
        <w:rPr>
          <w:b/>
        </w:rPr>
      </w:pPr>
      <w:r w:rsidRPr="00ED126B">
        <w:rPr>
          <w:b/>
        </w:rPr>
        <w:t>Recommendation</w:t>
      </w:r>
    </w:p>
    <w:p w14:paraId="58FE5FA7" w14:textId="77777777" w:rsidR="00F17DAA" w:rsidRPr="00ED126B" w:rsidRDefault="00F17DAA" w:rsidP="00F17DAA">
      <w:pPr>
        <w:pStyle w:val="Heading1"/>
      </w:pPr>
      <w:r w:rsidRPr="00ED126B">
        <w:t>The Executive Committee may wish:</w:t>
      </w:r>
    </w:p>
    <w:p w14:paraId="31A87903" w14:textId="77777777" w:rsidR="00F17DAA" w:rsidRPr="00ED126B" w:rsidRDefault="00F17DAA" w:rsidP="00F17DAA">
      <w:pPr>
        <w:pStyle w:val="Heading2"/>
      </w:pPr>
      <w:r w:rsidRPr="00ED126B">
        <w:t>To request the Government of Argentina, through UNIDO, to provide to the 88</w:t>
      </w:r>
      <w:r w:rsidRPr="00ED126B">
        <w:rPr>
          <w:vertAlign w:val="superscript"/>
        </w:rPr>
        <w:t>th</w:t>
      </w:r>
      <w:r w:rsidRPr="00ED126B">
        <w:t xml:space="preserve"> meeting an update on the financial viability of the of the extruded polystyrene (XPS) foam enterprise </w:t>
      </w:r>
      <w:proofErr w:type="spellStart"/>
      <w:r w:rsidRPr="00ED126B">
        <w:t>Celpack</w:t>
      </w:r>
      <w:proofErr w:type="spellEnd"/>
      <w:r w:rsidRPr="00ED126B">
        <w:t xml:space="preserve"> and a decision on whether the enterprise would be assisted by the Multilateral Fund under stage II of the HPMP for Argentina, in line with decision 84/64(d)(ii), and</w:t>
      </w:r>
    </w:p>
    <w:p w14:paraId="27373EC9" w14:textId="77777777" w:rsidR="00F17DAA" w:rsidRPr="00ED126B" w:rsidRDefault="00F17DAA" w:rsidP="00F17DAA">
      <w:pPr>
        <w:pStyle w:val="Heading2"/>
      </w:pPr>
      <w:r w:rsidRPr="00ED126B">
        <w:t>To note that, in the event that the enterprise referred to in sub-paragraph (a) above would not be assisted by the Multilateral Fund, the funds associated with its conversion would be calculated taking into consideration the flexibility in the allocation of funds approved to the Government of Argentina for the XPS foam sector, and would be deducted from the approval of the next tranche of stage II of the HPMP for Argentina.</w:t>
      </w:r>
    </w:p>
    <w:p w14:paraId="0D705E91" w14:textId="77777777" w:rsidR="005F0F31" w:rsidRPr="00285B32" w:rsidRDefault="005F0F31" w:rsidP="005F0F31">
      <w:r w:rsidRPr="007245B6">
        <w:rPr>
          <w:u w:val="single"/>
        </w:rPr>
        <w:t>Brunei Darussalam: HCFC</w:t>
      </w:r>
      <w:r w:rsidRPr="00285B32">
        <w:rPr>
          <w:u w:val="single"/>
        </w:rPr>
        <w:t xml:space="preserve"> phas</w:t>
      </w:r>
      <w:r>
        <w:rPr>
          <w:u w:val="single"/>
        </w:rPr>
        <w:t xml:space="preserve">e-out management plan (stage I </w:t>
      </w:r>
      <w:r w:rsidRPr="00285B32">
        <w:rPr>
          <w:u w:val="single"/>
        </w:rPr>
        <w:noBreakHyphen/>
        <w:t xml:space="preserve"> request for extension</w:t>
      </w:r>
      <w:r w:rsidR="005E54FF">
        <w:rPr>
          <w:u w:val="single"/>
        </w:rPr>
        <w:t>)</w:t>
      </w:r>
      <w:r w:rsidRPr="00285B32">
        <w:t xml:space="preserve"> (UNEP and UNDP)</w:t>
      </w:r>
    </w:p>
    <w:p w14:paraId="2AE8A756" w14:textId="77777777" w:rsidR="005F0F31" w:rsidRPr="00285B32" w:rsidRDefault="005F0F31" w:rsidP="005F0F31"/>
    <w:p w14:paraId="3A684CBC" w14:textId="77777777" w:rsidR="005F0F31" w:rsidRPr="00285B32" w:rsidRDefault="005F0F31" w:rsidP="005F0F31">
      <w:pPr>
        <w:keepNext/>
        <w:spacing w:after="240"/>
        <w:rPr>
          <w:b/>
        </w:rPr>
      </w:pPr>
      <w:r w:rsidRPr="00285B32">
        <w:rPr>
          <w:b/>
        </w:rPr>
        <w:t>Background</w:t>
      </w:r>
    </w:p>
    <w:p w14:paraId="4E548E81" w14:textId="77777777" w:rsidR="005F0F31" w:rsidRPr="00726DDE" w:rsidRDefault="005F0F31" w:rsidP="005F0F31">
      <w:pPr>
        <w:numPr>
          <w:ilvl w:val="0"/>
          <w:numId w:val="1"/>
        </w:numPr>
        <w:spacing w:after="240"/>
        <w:outlineLvl w:val="0"/>
      </w:pPr>
      <w:r w:rsidRPr="00285B32">
        <w:t xml:space="preserve">On behalf of the Government of </w:t>
      </w:r>
      <w:r>
        <w:t>Brunei Darussalam</w:t>
      </w:r>
      <w:r w:rsidRPr="00285B32">
        <w:t xml:space="preserve">, UNEP as the lead implementing agency has submitted a request for extension of the implementation of stage I of the </w:t>
      </w:r>
      <w:r w:rsidRPr="00726DDE">
        <w:t>HPMP.</w:t>
      </w:r>
    </w:p>
    <w:p w14:paraId="1CEBCC46" w14:textId="77777777" w:rsidR="005F0F31" w:rsidRPr="00726DDE" w:rsidRDefault="005F0F31" w:rsidP="005F0F31">
      <w:pPr>
        <w:pStyle w:val="Heading1"/>
        <w:autoSpaceDE w:val="0"/>
        <w:autoSpaceDN w:val="0"/>
        <w:adjustRightInd w:val="0"/>
        <w:rPr>
          <w:color w:val="000000" w:themeColor="text1"/>
        </w:rPr>
      </w:pPr>
      <w:r w:rsidRPr="00726DDE">
        <w:t>Stage I of the HPMP was approved at the 66</w:t>
      </w:r>
      <w:r w:rsidRPr="00726DDE">
        <w:rPr>
          <w:vertAlign w:val="superscript"/>
        </w:rPr>
        <w:t>th</w:t>
      </w:r>
      <w:r w:rsidRPr="00726DDE">
        <w:t> meeting</w:t>
      </w:r>
      <w:r>
        <w:t>,</w:t>
      </w:r>
      <w:r w:rsidRPr="00726DDE">
        <w:rPr>
          <w:rStyle w:val="FootnoteReference"/>
        </w:rPr>
        <w:footnoteReference w:id="11"/>
      </w:r>
      <w:r w:rsidRPr="00726DDE">
        <w:t xml:space="preserve"> to meet the 35 per cent reduction from the baseline by 2020, at a total funding level of US $</w:t>
      </w:r>
      <w:r>
        <w:rPr>
          <w:rFonts w:eastAsia="MS Mincho"/>
          <w:lang w:val="en-US"/>
        </w:rPr>
        <w:t>315,000</w:t>
      </w:r>
      <w:r w:rsidRPr="00726DDE">
        <w:t>, plus agency support costs</w:t>
      </w:r>
      <w:r>
        <w:t>,</w:t>
      </w:r>
      <w:r w:rsidRPr="00726DDE">
        <w:t xml:space="preserve"> to phase out 2.1</w:t>
      </w:r>
      <w:r>
        <w:t> </w:t>
      </w:r>
      <w:r w:rsidRPr="00726DDE">
        <w:t>ODP tonnes of HCFCs used in the RAC servicing sector. All four tranches planned in stage I have been approved, with the last tranche approved under the intersessional approval process for the 85</w:t>
      </w:r>
      <w:r w:rsidRPr="00726DDE">
        <w:rPr>
          <w:vertAlign w:val="superscript"/>
        </w:rPr>
        <w:t>th</w:t>
      </w:r>
      <w:r w:rsidRPr="00726DDE">
        <w:t> meeting</w:t>
      </w:r>
      <w:r w:rsidRPr="00726DDE">
        <w:rPr>
          <w:rStyle w:val="FootnoteReference"/>
        </w:rPr>
        <w:footnoteReference w:id="12"/>
      </w:r>
      <w:r w:rsidRPr="00726DDE">
        <w:t xml:space="preserve"> in </w:t>
      </w:r>
      <w:r w:rsidRPr="00726DDE">
        <w:lastRenderedPageBreak/>
        <w:t>May 2020. In accor</w:t>
      </w:r>
      <w:r w:rsidRPr="00726DDE">
        <w:rPr>
          <w:color w:val="000000" w:themeColor="text1"/>
        </w:rPr>
        <w:t xml:space="preserve">dance with paragraph </w:t>
      </w:r>
      <w:r w:rsidRPr="00AB6246">
        <w:t xml:space="preserve">14 of </w:t>
      </w:r>
      <w:r w:rsidRPr="00726DDE">
        <w:rPr>
          <w:color w:val="000000" w:themeColor="text1"/>
        </w:rPr>
        <w:t>the Agreement between the Government and the Executive Committee, the project is to be completed by the end of 2021.</w:t>
      </w:r>
    </w:p>
    <w:p w14:paraId="1D085201" w14:textId="77777777" w:rsidR="005F0F31" w:rsidRPr="00325E35" w:rsidRDefault="005F0F31" w:rsidP="005F0F31">
      <w:pPr>
        <w:pStyle w:val="Heading1"/>
        <w:rPr>
          <w:color w:val="000000" w:themeColor="text1"/>
        </w:rPr>
      </w:pPr>
      <w:r w:rsidRPr="00726DDE">
        <w:rPr>
          <w:color w:val="000000" w:themeColor="text1"/>
          <w:lang w:val="en-US"/>
        </w:rPr>
        <w:t xml:space="preserve">The implementation of stage I is progressing. </w:t>
      </w:r>
      <w:r w:rsidRPr="006A3628">
        <w:rPr>
          <w:color w:val="000000" w:themeColor="text1"/>
          <w:lang w:val="en-US"/>
        </w:rPr>
        <w:t>The first and second tranches have been completed; most activities of the third tranche ha</w:t>
      </w:r>
      <w:r>
        <w:rPr>
          <w:color w:val="000000" w:themeColor="text1"/>
          <w:lang w:val="en-US"/>
        </w:rPr>
        <w:t>ve</w:t>
      </w:r>
      <w:r w:rsidRPr="006A3628">
        <w:rPr>
          <w:color w:val="000000" w:themeColor="text1"/>
          <w:lang w:val="en-US"/>
        </w:rPr>
        <w:t xml:space="preserve"> been implemented</w:t>
      </w:r>
      <w:r w:rsidRPr="00726DDE">
        <w:rPr>
          <w:color w:val="000000" w:themeColor="text1"/>
          <w:lang w:val="en-US"/>
        </w:rPr>
        <w:t xml:space="preserve">. However, </w:t>
      </w:r>
      <w:r w:rsidRPr="00726DDE">
        <w:rPr>
          <w:color w:val="000000" w:themeColor="text1"/>
        </w:rPr>
        <w:t xml:space="preserve">due to the impact of the COVID-19 pandemic, the implementation of some HPMP activities, especially </w:t>
      </w:r>
      <w:r>
        <w:rPr>
          <w:color w:val="000000" w:themeColor="text1"/>
        </w:rPr>
        <w:t xml:space="preserve">a </w:t>
      </w:r>
      <w:r w:rsidRPr="00726DDE">
        <w:rPr>
          <w:color w:val="000000" w:themeColor="text1"/>
        </w:rPr>
        <w:t>training workshop for customs brokers and importers, three</w:t>
      </w:r>
      <w:r w:rsidRPr="00726DDE">
        <w:rPr>
          <w:color w:val="000000" w:themeColor="text1"/>
          <w:lang w:val="en-US"/>
        </w:rPr>
        <w:t xml:space="preserve"> training </w:t>
      </w:r>
      <w:r>
        <w:rPr>
          <w:color w:val="000000" w:themeColor="text1"/>
          <w:lang w:val="en-US"/>
        </w:rPr>
        <w:t xml:space="preserve">workshops </w:t>
      </w:r>
      <w:r w:rsidRPr="00726DDE">
        <w:rPr>
          <w:color w:val="000000" w:themeColor="text1"/>
          <w:lang w:val="en-US"/>
        </w:rPr>
        <w:t>f</w:t>
      </w:r>
      <w:r>
        <w:rPr>
          <w:color w:val="000000" w:themeColor="text1"/>
          <w:lang w:val="en-US"/>
        </w:rPr>
        <w:t>or</w:t>
      </w:r>
      <w:r w:rsidRPr="00726DDE">
        <w:rPr>
          <w:color w:val="000000" w:themeColor="text1"/>
          <w:lang w:val="en-US"/>
        </w:rPr>
        <w:t xml:space="preserve"> technicians, </w:t>
      </w:r>
      <w:r>
        <w:rPr>
          <w:color w:val="000000" w:themeColor="text1"/>
          <w:lang w:val="en-US"/>
        </w:rPr>
        <w:t xml:space="preserve">the </w:t>
      </w:r>
      <w:r w:rsidRPr="00726DDE">
        <w:rPr>
          <w:color w:val="000000" w:themeColor="text1"/>
          <w:lang w:val="en-US"/>
        </w:rPr>
        <w:t xml:space="preserve">provision </w:t>
      </w:r>
      <w:r w:rsidRPr="00726DDE">
        <w:rPr>
          <w:iCs/>
          <w:color w:val="000000" w:themeColor="text1"/>
        </w:rPr>
        <w:t xml:space="preserve">of refrigerant identifiers and training </w:t>
      </w:r>
      <w:r>
        <w:rPr>
          <w:iCs/>
          <w:color w:val="000000" w:themeColor="text1"/>
        </w:rPr>
        <w:t>for</w:t>
      </w:r>
      <w:r w:rsidRPr="00726DDE">
        <w:rPr>
          <w:iCs/>
          <w:color w:val="000000" w:themeColor="text1"/>
        </w:rPr>
        <w:t xml:space="preserve"> reclamation centre staff, </w:t>
      </w:r>
      <w:r w:rsidRPr="00726DDE">
        <w:rPr>
          <w:color w:val="000000" w:themeColor="text1"/>
        </w:rPr>
        <w:t xml:space="preserve">awareness and information dissemination, and </w:t>
      </w:r>
      <w:r>
        <w:rPr>
          <w:color w:val="000000" w:themeColor="text1"/>
        </w:rPr>
        <w:t xml:space="preserve">the </w:t>
      </w:r>
      <w:r w:rsidRPr="00726DDE">
        <w:rPr>
          <w:color w:val="000000" w:themeColor="text1"/>
        </w:rPr>
        <w:t>organiz</w:t>
      </w:r>
      <w:r>
        <w:rPr>
          <w:color w:val="000000" w:themeColor="text1"/>
        </w:rPr>
        <w:t>ation of</w:t>
      </w:r>
      <w:r w:rsidRPr="00726DDE">
        <w:rPr>
          <w:color w:val="000000" w:themeColor="text1"/>
        </w:rPr>
        <w:t xml:space="preserve"> a </w:t>
      </w:r>
      <w:r w:rsidRPr="00726DDE">
        <w:rPr>
          <w:bCs/>
          <w:color w:val="000000" w:themeColor="text1"/>
        </w:rPr>
        <w:t xml:space="preserve">national </w:t>
      </w:r>
      <w:r w:rsidR="005D0062" w:rsidRPr="00726DDE">
        <w:rPr>
          <w:bCs/>
          <w:color w:val="000000" w:themeColor="text1"/>
        </w:rPr>
        <w:t>stakeholders’</w:t>
      </w:r>
      <w:r w:rsidRPr="00726DDE">
        <w:rPr>
          <w:bCs/>
          <w:color w:val="000000" w:themeColor="text1"/>
        </w:rPr>
        <w:t xml:space="preserve"> workshop</w:t>
      </w:r>
      <w:r w:rsidRPr="00726DDE">
        <w:rPr>
          <w:iCs/>
          <w:color w:val="000000" w:themeColor="text1"/>
        </w:rPr>
        <w:t xml:space="preserve"> </w:t>
      </w:r>
      <w:r w:rsidRPr="00726DDE">
        <w:rPr>
          <w:color w:val="000000" w:themeColor="text1"/>
          <w:lang w:val="en-US"/>
        </w:rPr>
        <w:t>planned for the th</w:t>
      </w:r>
      <w:r>
        <w:rPr>
          <w:color w:val="000000" w:themeColor="text1"/>
          <w:lang w:val="en-US"/>
        </w:rPr>
        <w:t>ird</w:t>
      </w:r>
      <w:r w:rsidRPr="00726DDE">
        <w:rPr>
          <w:color w:val="000000" w:themeColor="text1"/>
          <w:lang w:val="en-US"/>
        </w:rPr>
        <w:t xml:space="preserve"> and fourth tranches </w:t>
      </w:r>
      <w:r w:rsidRPr="00726DDE">
        <w:rPr>
          <w:color w:val="000000" w:themeColor="text1"/>
        </w:rPr>
        <w:t>have been delayed. Given the uncertain</w:t>
      </w:r>
      <w:r w:rsidRPr="00325E35">
        <w:rPr>
          <w:color w:val="000000" w:themeColor="text1"/>
        </w:rPr>
        <w:t xml:space="preserve"> </w:t>
      </w:r>
      <w:r>
        <w:rPr>
          <w:color w:val="000000" w:themeColor="text1"/>
        </w:rPr>
        <w:t>timing of post-</w:t>
      </w:r>
      <w:r w:rsidRPr="00325E35">
        <w:rPr>
          <w:color w:val="000000" w:themeColor="text1"/>
        </w:rPr>
        <w:t>COVID</w:t>
      </w:r>
      <w:r w:rsidRPr="00325E35">
        <w:rPr>
          <w:color w:val="000000" w:themeColor="text1"/>
        </w:rPr>
        <w:noBreakHyphen/>
        <w:t>19</w:t>
      </w:r>
      <w:r>
        <w:rPr>
          <w:color w:val="000000" w:themeColor="text1"/>
        </w:rPr>
        <w:t xml:space="preserve"> </w:t>
      </w:r>
      <w:r w:rsidRPr="00325E35">
        <w:rPr>
          <w:color w:val="000000" w:themeColor="text1"/>
        </w:rPr>
        <w:t>recovery, the Government is requesting an extension of the implementation of stage I until 31 December 2022.</w:t>
      </w:r>
    </w:p>
    <w:p w14:paraId="633EA928" w14:textId="77777777" w:rsidR="005F0F31" w:rsidRPr="00325E35" w:rsidRDefault="005F0F31" w:rsidP="005F0F31">
      <w:pPr>
        <w:spacing w:after="240"/>
        <w:rPr>
          <w:i/>
          <w:color w:val="000000" w:themeColor="text1"/>
        </w:rPr>
      </w:pPr>
      <w:r w:rsidRPr="00325E35">
        <w:rPr>
          <w:i/>
        </w:rPr>
        <w:t xml:space="preserve">HCFC consumption </w:t>
      </w:r>
    </w:p>
    <w:p w14:paraId="75EC5798" w14:textId="77777777" w:rsidR="005F0F31" w:rsidRPr="00325E35" w:rsidRDefault="005F0F31" w:rsidP="005F0F31">
      <w:pPr>
        <w:pStyle w:val="Heading1"/>
        <w:rPr>
          <w:color w:val="000000" w:themeColor="text1"/>
        </w:rPr>
      </w:pPr>
      <w:r w:rsidRPr="00325E35">
        <w:rPr>
          <w:color w:val="000000" w:themeColor="text1"/>
        </w:rPr>
        <w:t xml:space="preserve">Although the HCFC consumption data </w:t>
      </w:r>
      <w:r>
        <w:rPr>
          <w:color w:val="000000" w:themeColor="text1"/>
        </w:rPr>
        <w:t>for</w:t>
      </w:r>
      <w:r w:rsidRPr="00325E35">
        <w:rPr>
          <w:color w:val="000000" w:themeColor="text1"/>
        </w:rPr>
        <w:t xml:space="preserve"> 2020 has not yet been submitted under Article</w:t>
      </w:r>
      <w:r>
        <w:rPr>
          <w:color w:val="000000" w:themeColor="text1"/>
        </w:rPr>
        <w:t> </w:t>
      </w:r>
      <w:r w:rsidRPr="00325E35">
        <w:rPr>
          <w:color w:val="000000" w:themeColor="text1"/>
        </w:rPr>
        <w:t xml:space="preserve">7 of the Montreal Protocol, the country programme </w:t>
      </w:r>
      <w:r>
        <w:rPr>
          <w:color w:val="000000" w:themeColor="text1"/>
        </w:rPr>
        <w:t xml:space="preserve">implementation </w:t>
      </w:r>
      <w:r w:rsidRPr="00325E35">
        <w:rPr>
          <w:color w:val="000000" w:themeColor="text1"/>
        </w:rPr>
        <w:t>report shows a consumption of 3.67</w:t>
      </w:r>
      <w:r>
        <w:rPr>
          <w:color w:val="000000" w:themeColor="text1"/>
        </w:rPr>
        <w:t> </w:t>
      </w:r>
      <w:r w:rsidRPr="00325E35">
        <w:rPr>
          <w:color w:val="000000" w:themeColor="text1"/>
        </w:rPr>
        <w:t xml:space="preserve">ODP tonnes of HCFCs in 2020, which is </w:t>
      </w:r>
      <w:r>
        <w:rPr>
          <w:color w:val="000000" w:themeColor="text1"/>
        </w:rPr>
        <w:t>7</w:t>
      </w:r>
      <w:r w:rsidRPr="00325E35">
        <w:rPr>
          <w:color w:val="000000" w:themeColor="text1"/>
        </w:rPr>
        <w:t xml:space="preserve"> per cent below the HPMP target of 3.96 ODP tonnes for </w:t>
      </w:r>
      <w:r>
        <w:rPr>
          <w:color w:val="000000" w:themeColor="text1"/>
        </w:rPr>
        <w:t>that year</w:t>
      </w:r>
      <w:r w:rsidRPr="00325E35">
        <w:rPr>
          <w:color w:val="000000" w:themeColor="text1"/>
        </w:rPr>
        <w:t>, and 40 per cent lower than the established baseline of 6.1 ODP tonnes</w:t>
      </w:r>
      <w:r w:rsidRPr="00325E35">
        <w:rPr>
          <w:color w:val="FF0000"/>
        </w:rPr>
        <w:t>.</w:t>
      </w:r>
      <w:r w:rsidRPr="00325E35">
        <w:t xml:space="preserve"> </w:t>
      </w:r>
    </w:p>
    <w:p w14:paraId="06E949EC" w14:textId="77777777" w:rsidR="005F0F31" w:rsidRPr="00325E35" w:rsidRDefault="005F0F31" w:rsidP="005F0F31">
      <w:pPr>
        <w:spacing w:after="240"/>
        <w:rPr>
          <w:b/>
        </w:rPr>
      </w:pPr>
      <w:r w:rsidRPr="00325E35">
        <w:rPr>
          <w:b/>
        </w:rPr>
        <w:t xml:space="preserve">Progress report on the implementation of stage I </w:t>
      </w:r>
    </w:p>
    <w:p w14:paraId="3EC5A532" w14:textId="77777777" w:rsidR="005F0F31" w:rsidRPr="00325E35" w:rsidRDefault="005F0F31" w:rsidP="005F0F31">
      <w:pPr>
        <w:pStyle w:val="Heading1"/>
        <w:widowControl w:val="0"/>
        <w:tabs>
          <w:tab w:val="clear" w:pos="0"/>
        </w:tabs>
      </w:pPr>
      <w:r w:rsidRPr="00325E35">
        <w:t>The country has been enforcing the licensing and quota system to control the import of ODS through an online declaration and permit application system</w:t>
      </w:r>
      <w:r w:rsidRPr="00325E35" w:rsidDel="00111CB2">
        <w:t xml:space="preserve"> </w:t>
      </w:r>
      <w:r w:rsidRPr="00325E35">
        <w:t xml:space="preserve">following a Customs Order established in 2005; the </w:t>
      </w:r>
      <w:r w:rsidRPr="0052523A">
        <w:t>HCFC quota system was introduced in 2013.</w:t>
      </w:r>
      <w:r w:rsidRPr="0052523A">
        <w:rPr>
          <w:lang w:eastAsia="zh-CN"/>
        </w:rPr>
        <w:t xml:space="preserve"> </w:t>
      </w:r>
      <w:r w:rsidRPr="0052523A">
        <w:t xml:space="preserve">The Government has been implementing mandatory inspection and labelling for HCFC-22 containers since 2013, the formalization of HFC licensing has been reviewed by </w:t>
      </w:r>
      <w:r>
        <w:t xml:space="preserve">the </w:t>
      </w:r>
      <w:r w:rsidRPr="0052523A">
        <w:t>Attorney General</w:t>
      </w:r>
      <w:r>
        <w:t>’s</w:t>
      </w:r>
      <w:r w:rsidRPr="0052523A">
        <w:t xml:space="preserve"> Chambers and </w:t>
      </w:r>
      <w:r>
        <w:t xml:space="preserve">the </w:t>
      </w:r>
      <w:r w:rsidRPr="0052523A">
        <w:t xml:space="preserve">Ministry of Finance and Economy, waiting for signature from </w:t>
      </w:r>
      <w:r>
        <w:t>relevant authorities</w:t>
      </w:r>
      <w:r w:rsidRPr="0052523A">
        <w:t xml:space="preserve">. A ban on the </w:t>
      </w:r>
      <w:r w:rsidRPr="0052523A">
        <w:rPr>
          <w:lang w:val="en-US"/>
        </w:rPr>
        <w:t xml:space="preserve">import and export of HCFC-based </w:t>
      </w:r>
      <w:r w:rsidRPr="0052523A">
        <w:t>air-conditioners (up</w:t>
      </w:r>
      <w:r>
        <w:t> </w:t>
      </w:r>
      <w:r w:rsidRPr="0052523A">
        <w:t>to</w:t>
      </w:r>
      <w:r>
        <w:t> </w:t>
      </w:r>
      <w:r w:rsidRPr="0052523A">
        <w:t xml:space="preserve">2.5 HP) is </w:t>
      </w:r>
      <w:r>
        <w:rPr>
          <w:lang w:val="en-US" w:eastAsia="zh-CN"/>
        </w:rPr>
        <w:t>scheduled</w:t>
      </w:r>
      <w:r w:rsidRPr="0052523A" w:rsidDel="00344ABC">
        <w:t xml:space="preserve"> </w:t>
      </w:r>
      <w:r w:rsidRPr="0052523A">
        <w:t>by the end of December 2021</w:t>
      </w:r>
      <w:r>
        <w:t>; and a</w:t>
      </w:r>
      <w:r w:rsidRPr="0052523A">
        <w:t xml:space="preserve"> </w:t>
      </w:r>
      <w:r w:rsidRPr="0052523A">
        <w:rPr>
          <w:lang w:val="en-US" w:eastAsia="zh-CN"/>
        </w:rPr>
        <w:t>ban on the import of all types of HCFC</w:t>
      </w:r>
      <w:r>
        <w:rPr>
          <w:lang w:val="en-US" w:eastAsia="zh-CN"/>
        </w:rPr>
        <w:noBreakHyphen/>
      </w:r>
      <w:r w:rsidRPr="0052523A">
        <w:rPr>
          <w:lang w:val="en-US" w:eastAsia="zh-CN"/>
        </w:rPr>
        <w:t xml:space="preserve">based equipment is </w:t>
      </w:r>
      <w:r>
        <w:rPr>
          <w:lang w:val="en-US" w:eastAsia="zh-CN"/>
        </w:rPr>
        <w:t>scheduled for</w:t>
      </w:r>
      <w:r w:rsidRPr="0052523A">
        <w:rPr>
          <w:lang w:val="en-US" w:eastAsia="zh-CN"/>
        </w:rPr>
        <w:t xml:space="preserve"> </w:t>
      </w:r>
      <w:r w:rsidRPr="0052523A">
        <w:t>1 January 2026</w:t>
      </w:r>
      <w:r w:rsidRPr="0052523A">
        <w:rPr>
          <w:lang w:val="en-US" w:eastAsia="zh-CN"/>
        </w:rPr>
        <w:t xml:space="preserve">. </w:t>
      </w:r>
      <w:r w:rsidRPr="0052523A">
        <w:rPr>
          <w:bCs/>
        </w:rPr>
        <w:t xml:space="preserve">The Customs Department has included the ODS licensing system in the customs training </w:t>
      </w:r>
      <w:r w:rsidRPr="00325E35">
        <w:rPr>
          <w:bCs/>
        </w:rPr>
        <w:t xml:space="preserve">curriculum. A total of </w:t>
      </w:r>
      <w:r w:rsidRPr="00325E35">
        <w:t xml:space="preserve">36 customs officers </w:t>
      </w:r>
      <w:r>
        <w:t>have been</w:t>
      </w:r>
      <w:r w:rsidRPr="00325E35">
        <w:t xml:space="preserve"> trained under stage I.</w:t>
      </w:r>
    </w:p>
    <w:p w14:paraId="3F5F4D6D" w14:textId="77777777" w:rsidR="005F0F31" w:rsidRPr="0052523A" w:rsidRDefault="005F0F31" w:rsidP="005F0F31">
      <w:pPr>
        <w:pStyle w:val="Heading1"/>
        <w:spacing w:before="120"/>
      </w:pPr>
      <w:r w:rsidRPr="00325E35">
        <w:t xml:space="preserve">Training workshops have been </w:t>
      </w:r>
      <w:r>
        <w:t xml:space="preserve">conducted for </w:t>
      </w:r>
      <w:r w:rsidRPr="00325E35">
        <w:t>257 technicians in</w:t>
      </w:r>
      <w:r w:rsidRPr="00325E35">
        <w:rPr>
          <w:rFonts w:eastAsia="SimSun"/>
        </w:rPr>
        <w:t xml:space="preserve"> </w:t>
      </w:r>
      <w:r w:rsidRPr="00325E35">
        <w:t>the installation and servicing of RAC equipment</w:t>
      </w:r>
      <w:r>
        <w:t>,</w:t>
      </w:r>
      <w:r w:rsidRPr="00325E35">
        <w:t xml:space="preserve"> and two master trainers </w:t>
      </w:r>
      <w:r>
        <w:t xml:space="preserve">received training in China on </w:t>
      </w:r>
      <w:r w:rsidRPr="00325E35">
        <w:t xml:space="preserve">the safe handling of flammable refrigerants. Ten sets of recovery equipment were procured for the recovery, recycling, and re-use programme, five of which were distributed to selected RAC enterprises after the completion of training in good practices. The remaining five sets are planned for distribution in </w:t>
      </w:r>
      <w:r>
        <w:t xml:space="preserve">the second half of </w:t>
      </w:r>
      <w:r w:rsidRPr="00325E35">
        <w:t>2021; an agreement was signed to set up a reclamation centre (which has received one mini-reclamation unit and associated tools)</w:t>
      </w:r>
      <w:r>
        <w:t xml:space="preserve">; the </w:t>
      </w:r>
      <w:r w:rsidRPr="00325E35">
        <w:t xml:space="preserve">training for the reclamation centre staff </w:t>
      </w:r>
      <w:r>
        <w:t xml:space="preserve">has been planned; </w:t>
      </w:r>
      <w:r w:rsidRPr="00325E35">
        <w:t xml:space="preserve">and </w:t>
      </w:r>
      <w:r>
        <w:t xml:space="preserve">the </w:t>
      </w:r>
      <w:r w:rsidRPr="00325E35">
        <w:t xml:space="preserve">procurement requirements for effective operation </w:t>
      </w:r>
      <w:r>
        <w:t>have been</w:t>
      </w:r>
      <w:r w:rsidRPr="00325E35">
        <w:t xml:space="preserve"> completed.</w:t>
      </w:r>
    </w:p>
    <w:p w14:paraId="462A1568" w14:textId="77777777" w:rsidR="005F0F31" w:rsidRPr="0052523A" w:rsidRDefault="005F0F31" w:rsidP="005F0F31">
      <w:pPr>
        <w:pStyle w:val="Heading1"/>
        <w:rPr>
          <w:color w:val="000000" w:themeColor="text1"/>
          <w:spacing w:val="-4"/>
        </w:rPr>
      </w:pPr>
      <w:r w:rsidRPr="0052523A">
        <w:t>Since the approval of the fourth tranche at the 85</w:t>
      </w:r>
      <w:r w:rsidRPr="00EB709D">
        <w:rPr>
          <w:vertAlign w:val="superscript"/>
        </w:rPr>
        <w:t>th</w:t>
      </w:r>
      <w:r w:rsidRPr="0052523A">
        <w:t xml:space="preserve"> meeting, UNEP and UNDP </w:t>
      </w:r>
      <w:r>
        <w:t xml:space="preserve">have </w:t>
      </w:r>
      <w:r w:rsidRPr="0052523A">
        <w:t xml:space="preserve">respectively submitted a </w:t>
      </w:r>
      <w:r w:rsidR="00F66EEB">
        <w:t>SSFA</w:t>
      </w:r>
      <w:r w:rsidRPr="0052523A">
        <w:t xml:space="preserve"> and a letter of agreement (LOA) to the Government of Brunei Darussalam</w:t>
      </w:r>
      <w:r>
        <w:t>,</w:t>
      </w:r>
      <w:r w:rsidRPr="0052523A">
        <w:t xml:space="preserve"> specify</w:t>
      </w:r>
      <w:r>
        <w:t>ing</w:t>
      </w:r>
      <w:r w:rsidRPr="0052523A">
        <w:t xml:space="preserve"> legal responsibilities for implementation and reporting. The country has internal procedures to approve the signing of agreements with an international organization on a project</w:t>
      </w:r>
      <w:r>
        <w:noBreakHyphen/>
        <w:t>by</w:t>
      </w:r>
      <w:r>
        <w:noBreakHyphen/>
      </w:r>
      <w:r w:rsidRPr="0052523A">
        <w:t xml:space="preserve">project basis. The restrictions </w:t>
      </w:r>
      <w:r>
        <w:t>on</w:t>
      </w:r>
      <w:r w:rsidRPr="0052523A">
        <w:t xml:space="preserve"> movement imposed by the Government because of the COVID</w:t>
      </w:r>
      <w:r>
        <w:noBreakHyphen/>
      </w:r>
      <w:r w:rsidRPr="0052523A">
        <w:t xml:space="preserve">19 pandemic have slowed down the internal consultation and approval process. The internal review process is currently at the final stage </w:t>
      </w:r>
      <w:r>
        <w:t>for approval</w:t>
      </w:r>
      <w:r w:rsidRPr="0052523A">
        <w:rPr>
          <w:color w:val="000000" w:themeColor="text1"/>
        </w:rPr>
        <w:t xml:space="preserve"> by the Prime Minister’s Office. UNEP estimated that these agreements would be signed in June 2021, </w:t>
      </w:r>
      <w:r>
        <w:rPr>
          <w:color w:val="000000" w:themeColor="text1"/>
        </w:rPr>
        <w:t>with</w:t>
      </w:r>
      <w:r w:rsidRPr="0052523A">
        <w:rPr>
          <w:color w:val="000000" w:themeColor="text1"/>
        </w:rPr>
        <w:t xml:space="preserve"> implementation </w:t>
      </w:r>
      <w:r>
        <w:rPr>
          <w:color w:val="000000" w:themeColor="text1"/>
        </w:rPr>
        <w:t>starting</w:t>
      </w:r>
      <w:r w:rsidRPr="0052523A">
        <w:rPr>
          <w:color w:val="000000" w:themeColor="text1"/>
        </w:rPr>
        <w:t xml:space="preserve"> after</w:t>
      </w:r>
      <w:r>
        <w:rPr>
          <w:color w:val="000000" w:themeColor="text1"/>
        </w:rPr>
        <w:t xml:space="preserve"> signature</w:t>
      </w:r>
      <w:r w:rsidRPr="0052523A">
        <w:rPr>
          <w:color w:val="000000" w:themeColor="text1"/>
        </w:rPr>
        <w:t>.</w:t>
      </w:r>
    </w:p>
    <w:p w14:paraId="57840335" w14:textId="77777777" w:rsidR="005F0F31" w:rsidRPr="00325E35" w:rsidRDefault="005F0F31" w:rsidP="00621D13">
      <w:pPr>
        <w:keepNext/>
        <w:keepLines/>
        <w:spacing w:after="240"/>
        <w:outlineLvl w:val="0"/>
        <w:rPr>
          <w:color w:val="000000" w:themeColor="text1"/>
          <w:u w:val="single"/>
        </w:rPr>
      </w:pPr>
      <w:r w:rsidRPr="00325E35">
        <w:rPr>
          <w:color w:val="000000" w:themeColor="text1"/>
          <w:u w:val="single"/>
        </w:rPr>
        <w:lastRenderedPageBreak/>
        <w:t>Level of fund disbursement</w:t>
      </w:r>
    </w:p>
    <w:p w14:paraId="7E7BEC94" w14:textId="77777777" w:rsidR="005F0F31" w:rsidRPr="00827EE3" w:rsidRDefault="005F0F31" w:rsidP="005F0F31">
      <w:pPr>
        <w:numPr>
          <w:ilvl w:val="0"/>
          <w:numId w:val="1"/>
        </w:numPr>
        <w:spacing w:after="240"/>
        <w:outlineLvl w:val="0"/>
        <w:rPr>
          <w:color w:val="000000" w:themeColor="text1"/>
        </w:rPr>
      </w:pPr>
      <w:r w:rsidRPr="00827EE3">
        <w:rPr>
          <w:color w:val="000000" w:themeColor="text1"/>
        </w:rPr>
        <w:t xml:space="preserve">As of April 2020, of the US $315,000 approved so far, US $151,523 had been disbursed by UNEP and US $120,710 had been disbursed by UNDP. </w:t>
      </w:r>
    </w:p>
    <w:p w14:paraId="732FF248" w14:textId="77777777" w:rsidR="005F0F31" w:rsidRPr="0052523A" w:rsidRDefault="005F0F31" w:rsidP="005F0F31">
      <w:pPr>
        <w:keepNext/>
        <w:spacing w:after="240"/>
        <w:rPr>
          <w:b/>
        </w:rPr>
      </w:pPr>
      <w:r w:rsidRPr="0052523A">
        <w:rPr>
          <w:b/>
        </w:rPr>
        <w:t>Secretariat’s comments</w:t>
      </w:r>
    </w:p>
    <w:p w14:paraId="116EB290" w14:textId="77777777" w:rsidR="005F0F31" w:rsidRPr="0052523A" w:rsidRDefault="005F0F31" w:rsidP="005F0F31">
      <w:pPr>
        <w:numPr>
          <w:ilvl w:val="0"/>
          <w:numId w:val="1"/>
        </w:numPr>
        <w:spacing w:after="240"/>
        <w:outlineLvl w:val="0"/>
      </w:pPr>
      <w:r w:rsidRPr="0052523A">
        <w:t>The Secretariat notes the efforts undertaken by the Government of Brunei Darussalam, UNEP and UNDP to implement the activities planned in the fourth tranche of stage I of the HPMP by 31</w:t>
      </w:r>
      <w:r>
        <w:t> </w:t>
      </w:r>
      <w:r w:rsidRPr="0052523A">
        <w:t>December</w:t>
      </w:r>
      <w:r>
        <w:t> </w:t>
      </w:r>
      <w:r w:rsidRPr="0052523A">
        <w:t xml:space="preserve">2021. Notwithstanding those efforts, it is anticipated that the project will not be completed by the end of 2021 due to delays associated with the COVID-19 pandemic. </w:t>
      </w:r>
      <w:r>
        <w:t>UNEP explained that d</w:t>
      </w:r>
      <w:r w:rsidRPr="00064072">
        <w:t>uring the peak of COVID-19, Brunei Darussalam was unable to conduct large-scale in-person meetings as per the Ministry of Health’s guidelines, which delayed the implementation of the planned activities. Moreover, travel restrictions blocked the hiring of regional expert to conduct technician training on handling flammable refrigerants and refrigerant reclamation modules.</w:t>
      </w:r>
      <w:r>
        <w:t xml:space="preserve"> </w:t>
      </w:r>
      <w:r w:rsidRPr="0052523A">
        <w:t>In addition, the</w:t>
      </w:r>
      <w:r w:rsidRPr="0052523A">
        <w:rPr>
          <w:lang w:val="en-US"/>
        </w:rPr>
        <w:t xml:space="preserve"> </w:t>
      </w:r>
      <w:r>
        <w:rPr>
          <w:lang w:val="en-US"/>
        </w:rPr>
        <w:t>SSFAs</w:t>
      </w:r>
      <w:r w:rsidRPr="0052523A">
        <w:rPr>
          <w:lang w:val="en-US"/>
        </w:rPr>
        <w:t xml:space="preserve"> </w:t>
      </w:r>
      <w:r>
        <w:rPr>
          <w:lang w:val="en-US"/>
        </w:rPr>
        <w:t xml:space="preserve">will </w:t>
      </w:r>
      <w:r w:rsidRPr="0052523A">
        <w:rPr>
          <w:lang w:val="en-US"/>
        </w:rPr>
        <w:t>be signed in June</w:t>
      </w:r>
      <w:r>
        <w:rPr>
          <w:lang w:val="en-US"/>
        </w:rPr>
        <w:t xml:space="preserve"> </w:t>
      </w:r>
      <w:r w:rsidRPr="0052523A">
        <w:rPr>
          <w:lang w:val="en-US"/>
        </w:rPr>
        <w:t>2021</w:t>
      </w:r>
      <w:r w:rsidRPr="0052523A">
        <w:t xml:space="preserve">. The extension of one additional year would allow the Government, UNEP and UNDP to complete the remaining activities in the fourth tranche. </w:t>
      </w:r>
    </w:p>
    <w:p w14:paraId="5EC50245" w14:textId="77777777" w:rsidR="005F0F31" w:rsidRPr="00896F54" w:rsidRDefault="005F0F31" w:rsidP="005F0F31">
      <w:pPr>
        <w:spacing w:after="240"/>
        <w:rPr>
          <w:b/>
        </w:rPr>
      </w:pPr>
      <w:r w:rsidRPr="00896F54">
        <w:rPr>
          <w:b/>
        </w:rPr>
        <w:t>Recommendation</w:t>
      </w:r>
    </w:p>
    <w:p w14:paraId="46F5079A" w14:textId="77777777" w:rsidR="005F0F31" w:rsidRPr="00896F54" w:rsidRDefault="005F0F31" w:rsidP="005F0F31">
      <w:pPr>
        <w:numPr>
          <w:ilvl w:val="0"/>
          <w:numId w:val="1"/>
        </w:numPr>
        <w:spacing w:after="240"/>
        <w:outlineLvl w:val="0"/>
      </w:pPr>
      <w:r w:rsidRPr="00896F54">
        <w:t>The Executive Committee may wish:</w:t>
      </w:r>
    </w:p>
    <w:p w14:paraId="4131866C" w14:textId="77777777" w:rsidR="005F0F31" w:rsidRPr="00896F54" w:rsidRDefault="005F0F31" w:rsidP="005F0F31">
      <w:pPr>
        <w:widowControl w:val="0"/>
        <w:numPr>
          <w:ilvl w:val="1"/>
          <w:numId w:val="1"/>
        </w:numPr>
        <w:tabs>
          <w:tab w:val="num" w:pos="557"/>
        </w:tabs>
        <w:spacing w:after="240"/>
        <w:outlineLvl w:val="1"/>
      </w:pPr>
      <w:r w:rsidRPr="00896F54">
        <w:t>To note the progress report on the implementation of the work programme associated with stage I of the HCFC phase-out management plan (HPMP) for Brunei Darussalam and the request for extension submitted by UNEP, contained in document UNEP/OzL.Pro/</w:t>
      </w:r>
      <w:r w:rsidRPr="00D2371B">
        <w:t>ExCom/87/9;</w:t>
      </w:r>
    </w:p>
    <w:p w14:paraId="23FEB128" w14:textId="77777777" w:rsidR="005F0F31" w:rsidRPr="00896F54" w:rsidRDefault="005F0F31" w:rsidP="005E54FF">
      <w:pPr>
        <w:widowControl w:val="0"/>
        <w:numPr>
          <w:ilvl w:val="1"/>
          <w:numId w:val="1"/>
        </w:numPr>
        <w:tabs>
          <w:tab w:val="num" w:pos="557"/>
        </w:tabs>
        <w:spacing w:after="240"/>
        <w:outlineLvl w:val="1"/>
      </w:pPr>
      <w:r w:rsidRPr="00896F54">
        <w:t>To extend, on an exceptional basis due to the delays imposed by the COVID-19 pandemic, the completion date of stage I of the HPMP for Brunei Darussalam until 31 December 2022</w:t>
      </w:r>
      <w:r w:rsidRPr="00FD5D4F">
        <w:t>, noting that no further extension would be requested; and</w:t>
      </w:r>
      <w:r w:rsidRPr="00896F54">
        <w:t xml:space="preserve"> </w:t>
      </w:r>
    </w:p>
    <w:p w14:paraId="7CDF0FCA" w14:textId="77777777" w:rsidR="005F0F31" w:rsidRPr="00896F54" w:rsidRDefault="005F0F31" w:rsidP="005F0F31">
      <w:pPr>
        <w:keepNext/>
        <w:numPr>
          <w:ilvl w:val="1"/>
          <w:numId w:val="1"/>
        </w:numPr>
        <w:tabs>
          <w:tab w:val="num" w:pos="557"/>
        </w:tabs>
        <w:spacing w:after="240"/>
        <w:outlineLvl w:val="1"/>
      </w:pPr>
      <w:r w:rsidRPr="00896F54">
        <w:t>To request the Government of</w:t>
      </w:r>
      <w:r>
        <w:t xml:space="preserve"> Brunei Darussalam</w:t>
      </w:r>
      <w:r w:rsidRPr="00896F54">
        <w:t xml:space="preserve">, UNEP and </w:t>
      </w:r>
      <w:r>
        <w:t xml:space="preserve">UNDP </w:t>
      </w:r>
      <w:r w:rsidRPr="00896F54">
        <w:t>to submit a project completion report to the first meeting of 2023</w:t>
      </w:r>
      <w:r>
        <w:t>.</w:t>
      </w:r>
    </w:p>
    <w:p w14:paraId="146DA46F" w14:textId="77777777" w:rsidR="000D376B" w:rsidRDefault="009F6083" w:rsidP="000D376B">
      <w:pPr>
        <w:spacing w:after="240"/>
      </w:pPr>
      <w:r>
        <w:rPr>
          <w:u w:val="single"/>
        </w:rPr>
        <w:t xml:space="preserve">Chile: </w:t>
      </w:r>
      <w:r w:rsidR="000D376B">
        <w:rPr>
          <w:u w:val="single"/>
        </w:rPr>
        <w:t>HCFC phase-out management plan (third and final tranche stage II –annual progress report)</w:t>
      </w:r>
      <w:r w:rsidR="000D376B">
        <w:t xml:space="preserve"> (UNDP, UNEP and UNIDO)</w:t>
      </w:r>
    </w:p>
    <w:p w14:paraId="4D49E71A" w14:textId="77777777" w:rsidR="000D376B" w:rsidRPr="005E536F" w:rsidRDefault="000D376B" w:rsidP="000D376B">
      <w:pPr>
        <w:spacing w:after="240"/>
        <w:ind w:left="1440" w:hanging="1440"/>
        <w:rPr>
          <w:b/>
          <w:lang w:val="en-CA"/>
        </w:rPr>
      </w:pPr>
      <w:r w:rsidRPr="005E536F">
        <w:rPr>
          <w:b/>
          <w:lang w:val="en-CA"/>
        </w:rPr>
        <w:t>Background</w:t>
      </w:r>
    </w:p>
    <w:p w14:paraId="2733B3CD" w14:textId="77777777" w:rsidR="000D376B" w:rsidRPr="00FF6743" w:rsidRDefault="000D376B" w:rsidP="000D376B">
      <w:pPr>
        <w:pStyle w:val="Heading1"/>
        <w:rPr>
          <w:lang w:val="en-CA"/>
        </w:rPr>
      </w:pPr>
      <w:r>
        <w:rPr>
          <w:lang w:val="en-CA"/>
        </w:rPr>
        <w:t xml:space="preserve">On behalf of the Government of Chile, UNDP as </w:t>
      </w:r>
      <w:r w:rsidRPr="00FE5430">
        <w:rPr>
          <w:lang w:val="en-CA"/>
        </w:rPr>
        <w:t>lead implementing agency,</w:t>
      </w:r>
      <w:r>
        <w:rPr>
          <w:lang w:val="en-CA"/>
        </w:rPr>
        <w:t xml:space="preserve"> has submitted the annual progress report on the implementation of the work programme associated with the third and final tranche of stage II of the HPMP and a verification report on HCFC consumption for 2019 to 2020, as requested by the Executive Committee u</w:t>
      </w:r>
      <w:r w:rsidRPr="00FF6743">
        <w:rPr>
          <w:lang w:val="en-CA"/>
        </w:rPr>
        <w:t>nder the intersessional approval process for the 85</w:t>
      </w:r>
      <w:r w:rsidRPr="00FF6743">
        <w:rPr>
          <w:vertAlign w:val="superscript"/>
          <w:lang w:val="en-CA"/>
        </w:rPr>
        <w:t>th</w:t>
      </w:r>
      <w:r w:rsidRPr="00FF6743">
        <w:rPr>
          <w:lang w:val="en-CA"/>
        </w:rPr>
        <w:t xml:space="preserve"> meeting</w:t>
      </w:r>
      <w:r>
        <w:rPr>
          <w:rStyle w:val="FootnoteReference"/>
          <w:lang w:val="en-CA"/>
        </w:rPr>
        <w:footnoteReference w:id="13"/>
      </w:r>
      <w:r w:rsidRPr="00FF6743">
        <w:rPr>
          <w:lang w:val="en-CA"/>
        </w:rPr>
        <w:t xml:space="preserve"> in May 2020</w:t>
      </w:r>
      <w:r>
        <w:rPr>
          <w:lang w:val="en-CA"/>
        </w:rPr>
        <w:t>.</w:t>
      </w:r>
    </w:p>
    <w:p w14:paraId="058593C5" w14:textId="77777777" w:rsidR="000D376B" w:rsidRDefault="000D376B" w:rsidP="000D376B">
      <w:pPr>
        <w:spacing w:after="240"/>
        <w:jc w:val="left"/>
        <w:rPr>
          <w:i/>
        </w:rPr>
      </w:pPr>
      <w:r>
        <w:rPr>
          <w:i/>
        </w:rPr>
        <w:t>HCFC consumption</w:t>
      </w:r>
    </w:p>
    <w:p w14:paraId="7082AD4D" w14:textId="77777777" w:rsidR="000D376B" w:rsidRPr="00D86CDF" w:rsidRDefault="000D376B" w:rsidP="000D376B">
      <w:pPr>
        <w:pStyle w:val="Heading1"/>
        <w:rPr>
          <w:rFonts w:eastAsia="SimSun"/>
          <w:lang w:eastAsia="zh-CN"/>
        </w:rPr>
      </w:pPr>
      <w:r>
        <w:t xml:space="preserve">The </w:t>
      </w:r>
      <w:r w:rsidRPr="000402C9">
        <w:t xml:space="preserve">Government of Chile reported </w:t>
      </w:r>
      <w:r>
        <w:t>a consumption of 27.0</w:t>
      </w:r>
      <w:r w:rsidRPr="000402C9">
        <w:t> ODP tonnes of HCFC in 2020, which is 69 per cent below the HCFC baseline for compliance</w:t>
      </w:r>
      <w:r>
        <w:t xml:space="preserve"> and</w:t>
      </w:r>
      <w:r w:rsidRPr="000402C9">
        <w:rPr>
          <w:rFonts w:eastAsia="SimSun"/>
          <w:lang w:eastAsia="zh-CN"/>
        </w:rPr>
        <w:t xml:space="preserve"> </w:t>
      </w:r>
      <w:r>
        <w:rPr>
          <w:rFonts w:eastAsia="SimSun"/>
          <w:lang w:eastAsia="zh-CN"/>
        </w:rPr>
        <w:t>44 per cent below the allowable level of consumption in the A</w:t>
      </w:r>
      <w:r w:rsidRPr="000402C9">
        <w:rPr>
          <w:rFonts w:eastAsia="SimSun"/>
          <w:lang w:eastAsia="zh-CN"/>
        </w:rPr>
        <w:t>greement with the Executive Committee</w:t>
      </w:r>
      <w:r>
        <w:rPr>
          <w:rFonts w:eastAsia="SimSun"/>
          <w:lang w:eastAsia="zh-CN"/>
        </w:rPr>
        <w:t>.</w:t>
      </w:r>
    </w:p>
    <w:p w14:paraId="603F60C7" w14:textId="77777777" w:rsidR="000D376B" w:rsidRDefault="000D376B" w:rsidP="00621D13">
      <w:pPr>
        <w:keepNext/>
        <w:keepLines/>
        <w:tabs>
          <w:tab w:val="left" w:pos="6360"/>
        </w:tabs>
        <w:spacing w:after="240"/>
        <w:rPr>
          <w:i/>
          <w:lang w:val="en-CA"/>
        </w:rPr>
      </w:pPr>
      <w:r w:rsidRPr="00234A52">
        <w:rPr>
          <w:i/>
          <w:lang w:val="en-CA"/>
        </w:rPr>
        <w:lastRenderedPageBreak/>
        <w:t>Verification report</w:t>
      </w:r>
    </w:p>
    <w:p w14:paraId="7A708B3B" w14:textId="77777777" w:rsidR="000D376B" w:rsidRDefault="000D376B" w:rsidP="000D376B">
      <w:pPr>
        <w:numPr>
          <w:ilvl w:val="0"/>
          <w:numId w:val="1"/>
        </w:numPr>
        <w:spacing w:after="240"/>
        <w:outlineLvl w:val="0"/>
        <w:rPr>
          <w:lang w:val="en-CA"/>
        </w:rPr>
      </w:pPr>
      <w:r w:rsidRPr="00234A52">
        <w:rPr>
          <w:lang w:val="en-CA"/>
        </w:rPr>
        <w:t xml:space="preserve">The verification report confirmed that the Government </w:t>
      </w:r>
      <w:r>
        <w:rPr>
          <w:lang w:val="en-CA"/>
        </w:rPr>
        <w:t xml:space="preserve">of Chile </w:t>
      </w:r>
      <w:r w:rsidRPr="00234A52">
        <w:rPr>
          <w:lang w:val="en-CA"/>
        </w:rPr>
        <w:t>was implementing a licensing and quota syste</w:t>
      </w:r>
      <w:r>
        <w:rPr>
          <w:lang w:val="en-CA"/>
        </w:rPr>
        <w:t xml:space="preserve">m for HCFC import and export. </w:t>
      </w:r>
      <w:r>
        <w:t>T</w:t>
      </w:r>
      <w:r w:rsidRPr="0034371D">
        <w:t xml:space="preserve">he total consumption of HCFCs </w:t>
      </w:r>
      <w:r>
        <w:t xml:space="preserve">reported under Article 7 of the Montreal Protocol </w:t>
      </w:r>
      <w:r w:rsidRPr="0034371D">
        <w:t>for</w:t>
      </w:r>
      <w:r>
        <w:t xml:space="preserve"> 2019 of 32.21 ODP tonnes was 3.03 ODP tonnes lower than the verified consumption of 35.24 ODP tonnes; the difference was due to the inclusion of HCFC-141b contained in imported pre-blended polyols in the verified consumption. The </w:t>
      </w:r>
      <w:r w:rsidRPr="0034371D">
        <w:t xml:space="preserve">total consumption of </w:t>
      </w:r>
      <w:r>
        <w:t>27.01 ODP tonnes</w:t>
      </w:r>
      <w:r w:rsidRPr="0034371D">
        <w:t xml:space="preserve"> </w:t>
      </w:r>
      <w:r>
        <w:t xml:space="preserve">of </w:t>
      </w:r>
      <w:r w:rsidRPr="0034371D">
        <w:t>HCFCs</w:t>
      </w:r>
      <w:r>
        <w:t xml:space="preserve"> for 2020 reported under Article 7 was consistent with the verified consumption. The verification report also indicated that the Government has a robust regulation to control the import of HCFCs and all other ODS.</w:t>
      </w:r>
    </w:p>
    <w:p w14:paraId="4A9A4793" w14:textId="77777777" w:rsidR="000D376B" w:rsidRDefault="000D376B" w:rsidP="000D376B">
      <w:pPr>
        <w:keepNext/>
        <w:spacing w:after="240"/>
        <w:jc w:val="left"/>
        <w:rPr>
          <w:i/>
        </w:rPr>
      </w:pPr>
      <w:r>
        <w:rPr>
          <w:i/>
        </w:rPr>
        <w:t>Legal framework</w:t>
      </w:r>
    </w:p>
    <w:p w14:paraId="1BB8B709" w14:textId="77777777" w:rsidR="000D376B" w:rsidRPr="001B4846" w:rsidRDefault="000D376B" w:rsidP="000D376B">
      <w:pPr>
        <w:pStyle w:val="Heading1"/>
      </w:pPr>
      <w:r w:rsidRPr="001B4846">
        <w:t xml:space="preserve">The ban on the import and use of HCFC-141b for the polyurethane </w:t>
      </w:r>
      <w:r>
        <w:t xml:space="preserve">(PU) </w:t>
      </w:r>
      <w:r w:rsidRPr="001B4846">
        <w:t xml:space="preserve">foam manufacturing sector and on </w:t>
      </w:r>
      <w:r>
        <w:t>the import and export</w:t>
      </w:r>
      <w:r w:rsidRPr="001B4846">
        <w:t xml:space="preserve"> of HCFC-141b contained in pre-blended polyols has been in place since 1</w:t>
      </w:r>
      <w:r>
        <w:t> </w:t>
      </w:r>
      <w:r w:rsidRPr="001B4846">
        <w:t>January 2020.</w:t>
      </w:r>
      <w:r>
        <w:t xml:space="preserve"> Implementation of this ban has been reported in the verification report, which found no import of this substance has been registered and customs has not detected any possible smuggling intent.</w:t>
      </w:r>
    </w:p>
    <w:p w14:paraId="18528593" w14:textId="77777777" w:rsidR="000D376B" w:rsidRPr="001B4846" w:rsidRDefault="000D376B" w:rsidP="000D376B">
      <w:pPr>
        <w:pStyle w:val="Heading1"/>
      </w:pPr>
      <w:r>
        <w:t>The updating of the</w:t>
      </w:r>
      <w:r w:rsidRPr="001B4846">
        <w:t xml:space="preserve"> </w:t>
      </w:r>
      <w:r>
        <w:t>n</w:t>
      </w:r>
      <w:r w:rsidRPr="001B4846">
        <w:t xml:space="preserve">ational </w:t>
      </w:r>
      <w:r>
        <w:t>c</w:t>
      </w:r>
      <w:r w:rsidRPr="001B4846">
        <w:t xml:space="preserve">ustoms </w:t>
      </w:r>
      <w:r>
        <w:t>c</w:t>
      </w:r>
      <w:r w:rsidRPr="001B4846">
        <w:t>ode f</w:t>
      </w:r>
      <w:r>
        <w:t>or HCFCs, HFCs and their alternatives, for</w:t>
      </w:r>
      <w:r w:rsidRPr="001B4846">
        <w:t xml:space="preserve"> p</w:t>
      </w:r>
      <w:r>
        <w:t>ure substances,</w:t>
      </w:r>
      <w:r w:rsidRPr="001B4846">
        <w:t xml:space="preserve"> blends and fully formulated polyols, was </w:t>
      </w:r>
      <w:r>
        <w:t xml:space="preserve">completed </w:t>
      </w:r>
      <w:r w:rsidRPr="001B4846">
        <w:t>in 2020</w:t>
      </w:r>
      <w:r>
        <w:t xml:space="preserve">, and from January 2022, importation of these controlled substances will use the </w:t>
      </w:r>
      <w:r w:rsidRPr="00DF5D20">
        <w:t>HS codes. Training for customs officers could not be delivered in 2020 due to the pandemic situation. The theory part of the training will be made available online in 2021 and in</w:t>
      </w:r>
      <w:r>
        <w:noBreakHyphen/>
      </w:r>
      <w:r w:rsidRPr="00DF5D20">
        <w:t>person training will be completed in the first half of 2022.</w:t>
      </w:r>
    </w:p>
    <w:p w14:paraId="30DB1FCF" w14:textId="77777777" w:rsidR="000D376B" w:rsidRDefault="000D376B" w:rsidP="000D376B">
      <w:pPr>
        <w:pStyle w:val="Heading1"/>
        <w:widowControl w:val="0"/>
        <w:numPr>
          <w:ilvl w:val="0"/>
          <w:numId w:val="0"/>
        </w:numPr>
        <w:tabs>
          <w:tab w:val="left" w:pos="720"/>
        </w:tabs>
        <w:rPr>
          <w:lang w:val="en-CA"/>
        </w:rPr>
      </w:pPr>
      <w:r>
        <w:rPr>
          <w:i/>
          <w:lang w:val="en-CA"/>
        </w:rPr>
        <w:t>Polyurethane (PU) foam manufacturing sector</w:t>
      </w:r>
    </w:p>
    <w:p w14:paraId="61602602" w14:textId="77777777" w:rsidR="000D376B" w:rsidRPr="00576655" w:rsidRDefault="000D376B" w:rsidP="000D376B">
      <w:pPr>
        <w:pStyle w:val="Heading1"/>
        <w:rPr>
          <w:lang w:val="en-CA"/>
        </w:rPr>
      </w:pPr>
      <w:r w:rsidRPr="00576655">
        <w:t xml:space="preserve">Prior to the submission of the third tranche </w:t>
      </w:r>
      <w:r w:rsidRPr="00576655">
        <w:rPr>
          <w:lang w:val="en-CA"/>
        </w:rPr>
        <w:t>the following foam enterprises had been converted to alternative technologies:</w:t>
      </w:r>
    </w:p>
    <w:p w14:paraId="409F0473" w14:textId="77777777" w:rsidR="000D376B" w:rsidRPr="00576655" w:rsidRDefault="000D376B" w:rsidP="000D376B">
      <w:pPr>
        <w:pStyle w:val="Heading2"/>
        <w:rPr>
          <w:lang w:val="en-CA"/>
        </w:rPr>
      </w:pPr>
      <w:r w:rsidRPr="00576655">
        <w:rPr>
          <w:lang w:val="en-CA"/>
        </w:rPr>
        <w:t>Two individual enterprises; one (</w:t>
      </w:r>
      <w:proofErr w:type="spellStart"/>
      <w:r w:rsidRPr="00576655">
        <w:rPr>
          <w:rFonts w:eastAsia="SimSun"/>
          <w:lang w:eastAsia="zh-CN"/>
        </w:rPr>
        <w:t>Inema</w:t>
      </w:r>
      <w:proofErr w:type="spellEnd"/>
      <w:r w:rsidRPr="00576655">
        <w:rPr>
          <w:lang w:val="en-CA"/>
        </w:rPr>
        <w:t>) to cyclopentane/HFO and one (</w:t>
      </w:r>
      <w:proofErr w:type="spellStart"/>
      <w:r w:rsidRPr="00576655">
        <w:rPr>
          <w:rFonts w:eastAsia="SimSun"/>
          <w:lang w:eastAsia="zh-CN"/>
        </w:rPr>
        <w:t>Polchile</w:t>
      </w:r>
      <w:proofErr w:type="spellEnd"/>
      <w:r w:rsidRPr="00576655">
        <w:rPr>
          <w:rFonts w:eastAsia="SimSun"/>
          <w:lang w:eastAsia="zh-CN"/>
        </w:rPr>
        <w:t xml:space="preserve"> and </w:t>
      </w:r>
      <w:r w:rsidRPr="000D376B">
        <w:rPr>
          <w:rFonts w:eastAsia="SimSun"/>
          <w:lang w:val="en-US" w:eastAsia="zh-CN"/>
        </w:rPr>
        <w:t xml:space="preserve">Claudia </w:t>
      </w:r>
      <w:proofErr w:type="spellStart"/>
      <w:r w:rsidRPr="000D376B">
        <w:rPr>
          <w:rFonts w:eastAsia="SimSun"/>
          <w:lang w:val="en-US" w:eastAsia="zh-CN"/>
        </w:rPr>
        <w:t>Letelier</w:t>
      </w:r>
      <w:proofErr w:type="spellEnd"/>
      <w:r w:rsidRPr="000D376B">
        <w:rPr>
          <w:rFonts w:eastAsia="SimSun"/>
          <w:lang w:val="en-US" w:eastAsia="zh-CN"/>
        </w:rPr>
        <w:t xml:space="preserve"> F&amp;C)</w:t>
      </w:r>
      <w:r w:rsidRPr="00576655">
        <w:rPr>
          <w:lang w:val="en-CA"/>
        </w:rPr>
        <w:t xml:space="preserve"> to HFO technology, with a phase-out of 7.22 ODP tonnes (77.36 mt) of HCFC-141b;</w:t>
      </w:r>
    </w:p>
    <w:p w14:paraId="2F7A94EF" w14:textId="77777777" w:rsidR="000D376B" w:rsidRPr="00576655" w:rsidRDefault="000D376B" w:rsidP="000D376B">
      <w:pPr>
        <w:pStyle w:val="Heading2"/>
        <w:rPr>
          <w:lang w:val="en-CA"/>
        </w:rPr>
      </w:pPr>
      <w:r w:rsidRPr="00576655">
        <w:rPr>
          <w:lang w:val="en-CA"/>
        </w:rPr>
        <w:t>Two small- and medium- sized enterprises (SMEs)) (</w:t>
      </w:r>
      <w:proofErr w:type="spellStart"/>
      <w:r w:rsidRPr="00576655">
        <w:rPr>
          <w:lang w:val="en-CA"/>
        </w:rPr>
        <w:t>Ingepur</w:t>
      </w:r>
      <w:proofErr w:type="spellEnd"/>
      <w:r w:rsidRPr="00576655">
        <w:rPr>
          <w:lang w:val="en-CA"/>
        </w:rPr>
        <w:t xml:space="preserve"> and </w:t>
      </w:r>
      <w:proofErr w:type="spellStart"/>
      <w:r w:rsidRPr="00576655">
        <w:rPr>
          <w:lang w:val="en-CA"/>
        </w:rPr>
        <w:t>Sociedad</w:t>
      </w:r>
      <w:proofErr w:type="spellEnd"/>
      <w:r w:rsidRPr="00576655">
        <w:rPr>
          <w:lang w:val="en-CA"/>
        </w:rPr>
        <w:t xml:space="preserve"> </w:t>
      </w:r>
      <w:proofErr w:type="spellStart"/>
      <w:r w:rsidRPr="00576655">
        <w:rPr>
          <w:lang w:val="en-CA"/>
        </w:rPr>
        <w:t>Aislaciones</w:t>
      </w:r>
      <w:proofErr w:type="spellEnd"/>
      <w:r w:rsidRPr="00576655">
        <w:rPr>
          <w:lang w:val="en-CA"/>
        </w:rPr>
        <w:t xml:space="preserve"> </w:t>
      </w:r>
      <w:proofErr w:type="spellStart"/>
      <w:r w:rsidRPr="00576655">
        <w:rPr>
          <w:lang w:val="en-CA"/>
        </w:rPr>
        <w:t>Térmicas</w:t>
      </w:r>
      <w:proofErr w:type="spellEnd"/>
      <w:r w:rsidRPr="00576655">
        <w:rPr>
          <w:lang w:val="en-CA"/>
        </w:rPr>
        <w:t>) formerly part of the group supported by Austral, with a total consumption of 1.03 ODP tonnes (9.36 mt) of HCFC</w:t>
      </w:r>
      <w:r w:rsidRPr="00576655">
        <w:rPr>
          <w:lang w:val="en-CA"/>
        </w:rPr>
        <w:noBreakHyphen/>
        <w:t xml:space="preserve">141b, and one SME (Fidel Valenzuela) formerly part of the group supported by </w:t>
      </w:r>
      <w:proofErr w:type="spellStart"/>
      <w:r w:rsidRPr="00576655">
        <w:rPr>
          <w:lang w:val="en-CA"/>
        </w:rPr>
        <w:t>Ixom</w:t>
      </w:r>
      <w:proofErr w:type="spellEnd"/>
      <w:r w:rsidRPr="00576655">
        <w:rPr>
          <w:lang w:val="en-CA"/>
        </w:rPr>
        <w:t>, with a total consumption of 0.26 ODP tonnes (2.36 mt) of HCFC-141b, completed their conversion to HFO technology as “individual enterprises” without any additional funding from the Multilateral Fund; and</w:t>
      </w:r>
    </w:p>
    <w:p w14:paraId="0CB0508C" w14:textId="77777777" w:rsidR="000D376B" w:rsidRPr="00576655" w:rsidRDefault="000D376B" w:rsidP="000D376B">
      <w:pPr>
        <w:pStyle w:val="Heading2"/>
        <w:rPr>
          <w:lang w:val="en-CA"/>
        </w:rPr>
      </w:pPr>
      <w:r w:rsidRPr="00576655">
        <w:rPr>
          <w:lang w:val="en-CA"/>
        </w:rPr>
        <w:t xml:space="preserve">Twenty-seven SMEs supported by Austral, (one (Victor </w:t>
      </w:r>
      <w:proofErr w:type="spellStart"/>
      <w:r w:rsidRPr="00576655">
        <w:rPr>
          <w:lang w:val="en-CA"/>
        </w:rPr>
        <w:t>Himmers</w:t>
      </w:r>
      <w:proofErr w:type="spellEnd"/>
      <w:r w:rsidRPr="00576655">
        <w:rPr>
          <w:lang w:val="en-CA"/>
        </w:rPr>
        <w:t xml:space="preserve">) moved from </w:t>
      </w:r>
      <w:proofErr w:type="spellStart"/>
      <w:r w:rsidRPr="00576655">
        <w:rPr>
          <w:lang w:val="en-CA"/>
        </w:rPr>
        <w:t>Ixom</w:t>
      </w:r>
      <w:proofErr w:type="spellEnd"/>
      <w:r w:rsidRPr="00576655">
        <w:rPr>
          <w:lang w:val="en-CA"/>
        </w:rPr>
        <w:t xml:space="preserve"> to Austral during project implementation), to HFO technology with a total phase-out of 6.37 ODP tonnes (57.91 mt) of HCFC-141b.</w:t>
      </w:r>
    </w:p>
    <w:p w14:paraId="630EB56B" w14:textId="77777777" w:rsidR="000D376B" w:rsidRPr="00576655" w:rsidRDefault="000D376B" w:rsidP="000D376B">
      <w:pPr>
        <w:pStyle w:val="Heading1"/>
        <w:widowControl w:val="0"/>
      </w:pPr>
      <w:r>
        <w:t xml:space="preserve">The three remaining </w:t>
      </w:r>
      <w:r w:rsidRPr="00692AA3">
        <w:t xml:space="preserve">enterprises (Danica, </w:t>
      </w:r>
      <w:proofErr w:type="spellStart"/>
      <w:r w:rsidRPr="00692AA3">
        <w:t>Refricentro</w:t>
      </w:r>
      <w:proofErr w:type="spellEnd"/>
      <w:r w:rsidRPr="00692AA3">
        <w:t xml:space="preserve"> and </w:t>
      </w:r>
      <w:proofErr w:type="spellStart"/>
      <w:r w:rsidRPr="00692AA3">
        <w:t>Superfrigo</w:t>
      </w:r>
      <w:proofErr w:type="spellEnd"/>
      <w:r w:rsidRPr="00692AA3">
        <w:t>) and one systems house (</w:t>
      </w:r>
      <w:proofErr w:type="spellStart"/>
      <w:r w:rsidRPr="00692AA3">
        <w:t>Ixom</w:t>
      </w:r>
      <w:proofErr w:type="spellEnd"/>
      <w:r>
        <w:t xml:space="preserve">, which originally included the conversion of </w:t>
      </w:r>
      <w:r w:rsidRPr="00692AA3">
        <w:t>eight SMEs</w:t>
      </w:r>
      <w:r w:rsidRPr="00E07876">
        <w:rPr>
          <w:vertAlign w:val="superscript"/>
        </w:rPr>
        <w:footnoteReference w:id="14"/>
      </w:r>
      <w:r>
        <w:t xml:space="preserve">), were to be converted </w:t>
      </w:r>
      <w:r w:rsidRPr="00692AA3">
        <w:t xml:space="preserve">during </w:t>
      </w:r>
      <w:r>
        <w:t xml:space="preserve">implementation of </w:t>
      </w:r>
      <w:r w:rsidRPr="00692AA3">
        <w:t xml:space="preserve">the third tranche. </w:t>
      </w:r>
      <w:r w:rsidRPr="00C3473C">
        <w:rPr>
          <w:lang w:val="en-CA"/>
        </w:rPr>
        <w:t xml:space="preserve">In May 2020, </w:t>
      </w:r>
      <w:proofErr w:type="spellStart"/>
      <w:r w:rsidRPr="00C3473C">
        <w:rPr>
          <w:lang w:val="en-CA"/>
        </w:rPr>
        <w:t>Superfrigo</w:t>
      </w:r>
      <w:proofErr w:type="spellEnd"/>
      <w:r w:rsidRPr="00C3473C">
        <w:rPr>
          <w:lang w:val="en-CA"/>
        </w:rPr>
        <w:t xml:space="preserve"> </w:t>
      </w:r>
      <w:r w:rsidRPr="00C3473C">
        <w:rPr>
          <w:color w:val="000000"/>
        </w:rPr>
        <w:t xml:space="preserve">sent a letter to the </w:t>
      </w:r>
      <w:r>
        <w:rPr>
          <w:color w:val="000000"/>
        </w:rPr>
        <w:t>NOU</w:t>
      </w:r>
      <w:r w:rsidRPr="00C3473C">
        <w:rPr>
          <w:color w:val="000000"/>
        </w:rPr>
        <w:t xml:space="preserve"> cancelling its participation in the project; </w:t>
      </w:r>
      <w:r w:rsidRPr="00C3473C">
        <w:rPr>
          <w:lang w:val="en-CA"/>
        </w:rPr>
        <w:t xml:space="preserve">Danica and </w:t>
      </w:r>
      <w:proofErr w:type="spellStart"/>
      <w:r w:rsidRPr="00C3473C">
        <w:rPr>
          <w:lang w:val="en-CA"/>
        </w:rPr>
        <w:t>Refricentro</w:t>
      </w:r>
      <w:proofErr w:type="spellEnd"/>
      <w:r w:rsidRPr="00C3473C">
        <w:rPr>
          <w:lang w:val="en-CA"/>
        </w:rPr>
        <w:t xml:space="preserve"> completed their conversions to HFO in October and December 2020</w:t>
      </w:r>
      <w:r>
        <w:rPr>
          <w:lang w:val="en-CA"/>
        </w:rPr>
        <w:t>,</w:t>
      </w:r>
      <w:r w:rsidRPr="00C3473C">
        <w:rPr>
          <w:lang w:val="en-CA"/>
        </w:rPr>
        <w:t xml:space="preserve"> respectively, phasing out 4.16 ODP tonnes (37.82</w:t>
      </w:r>
      <w:r>
        <w:rPr>
          <w:lang w:val="en-CA"/>
        </w:rPr>
        <w:t> </w:t>
      </w:r>
      <w:proofErr w:type="spellStart"/>
      <w:r w:rsidRPr="00C3473C">
        <w:rPr>
          <w:lang w:val="en-CA"/>
        </w:rPr>
        <w:t>mt</w:t>
      </w:r>
      <w:proofErr w:type="spellEnd"/>
      <w:r w:rsidRPr="00C3473C">
        <w:rPr>
          <w:lang w:val="en-CA"/>
        </w:rPr>
        <w:t xml:space="preserve">) of HCFC-141b; </w:t>
      </w:r>
      <w:r>
        <w:t xml:space="preserve">and </w:t>
      </w:r>
      <w:proofErr w:type="spellStart"/>
      <w:r w:rsidRPr="00692AA3">
        <w:t>Ixom</w:t>
      </w:r>
      <w:proofErr w:type="spellEnd"/>
      <w:r w:rsidRPr="00692AA3">
        <w:t xml:space="preserve"> signed </w:t>
      </w:r>
      <w:r w:rsidRPr="00692AA3">
        <w:lastRenderedPageBreak/>
        <w:t xml:space="preserve">the agreement with seven </w:t>
      </w:r>
      <w:r>
        <w:t xml:space="preserve">downstream </w:t>
      </w:r>
      <w:r w:rsidRPr="00692AA3">
        <w:t>SMEs</w:t>
      </w:r>
      <w:r>
        <w:t xml:space="preserve"> </w:t>
      </w:r>
      <w:r w:rsidRPr="00692AA3">
        <w:t>in July 2020</w:t>
      </w:r>
      <w:r>
        <w:t xml:space="preserve">, with the conversion to </w:t>
      </w:r>
      <w:r w:rsidRPr="00576655">
        <w:t>HFO technology to be completed during the second half of 2021.</w:t>
      </w:r>
    </w:p>
    <w:p w14:paraId="4652AA4E" w14:textId="77777777" w:rsidR="000D376B" w:rsidRDefault="000D376B" w:rsidP="000D376B">
      <w:pPr>
        <w:keepNext/>
        <w:keepLines/>
        <w:jc w:val="left"/>
        <w:rPr>
          <w:i/>
        </w:rPr>
      </w:pPr>
      <w:r>
        <w:rPr>
          <w:i/>
        </w:rPr>
        <w:t>Refrigeration servicing sector</w:t>
      </w:r>
    </w:p>
    <w:p w14:paraId="6C5C4368" w14:textId="77777777" w:rsidR="000D376B" w:rsidRDefault="000D376B" w:rsidP="000D376B">
      <w:pPr>
        <w:keepNext/>
        <w:keepLines/>
        <w:jc w:val="left"/>
        <w:rPr>
          <w:i/>
        </w:rPr>
      </w:pPr>
    </w:p>
    <w:p w14:paraId="2A92DB27" w14:textId="77777777" w:rsidR="000D376B" w:rsidRPr="00692AA3" w:rsidRDefault="000D376B" w:rsidP="000D376B">
      <w:pPr>
        <w:pStyle w:val="Heading1"/>
      </w:pPr>
      <w:r w:rsidRPr="00692AA3">
        <w:t xml:space="preserve">The following </w:t>
      </w:r>
      <w:r w:rsidRPr="00932AB9">
        <w:t>activities were implemented:</w:t>
      </w:r>
    </w:p>
    <w:p w14:paraId="5EEE3012" w14:textId="77777777" w:rsidR="000D376B" w:rsidRDefault="000D376B" w:rsidP="000D376B">
      <w:pPr>
        <w:pStyle w:val="Heading2"/>
        <w:rPr>
          <w:rFonts w:eastAsia="SimSun"/>
          <w:lang w:eastAsia="zh-CN"/>
        </w:rPr>
      </w:pPr>
      <w:r w:rsidRPr="000632F3">
        <w:rPr>
          <w:rFonts w:eastAsia="SimSun"/>
          <w:lang w:eastAsia="zh-CN"/>
        </w:rPr>
        <w:t>F</w:t>
      </w:r>
      <w:r>
        <w:rPr>
          <w:rFonts w:eastAsia="SimSun"/>
          <w:lang w:eastAsia="zh-CN"/>
        </w:rPr>
        <w:t>ive online training courses on g</w:t>
      </w:r>
      <w:r w:rsidRPr="000632F3">
        <w:rPr>
          <w:rFonts w:eastAsia="SimSun"/>
          <w:lang w:eastAsia="zh-CN"/>
        </w:rPr>
        <w:t xml:space="preserve">ood refrigeration </w:t>
      </w:r>
      <w:r w:rsidRPr="00935962">
        <w:rPr>
          <w:rFonts w:eastAsia="SimSun"/>
          <w:lang w:eastAsia="zh-CN"/>
        </w:rPr>
        <w:t>practices for 83 RAC technicians (</w:t>
      </w:r>
      <w:r w:rsidRPr="003C5C35">
        <w:rPr>
          <w:rFonts w:eastAsia="SimSun"/>
          <w:lang w:eastAsia="zh-CN"/>
        </w:rPr>
        <w:t xml:space="preserve">including 13 women); </w:t>
      </w:r>
      <w:r>
        <w:rPr>
          <w:rFonts w:eastAsia="SimSun"/>
          <w:lang w:eastAsia="zh-CN"/>
        </w:rPr>
        <w:t>completion and publishing of g</w:t>
      </w:r>
      <w:r w:rsidRPr="003C5C35">
        <w:rPr>
          <w:rFonts w:eastAsia="SimSun"/>
          <w:lang w:eastAsia="zh-CN"/>
        </w:rPr>
        <w:t>ood refrigeration practices</w:t>
      </w:r>
      <w:r>
        <w:rPr>
          <w:rFonts w:eastAsia="SimSun"/>
          <w:lang w:eastAsia="zh-CN"/>
        </w:rPr>
        <w:t xml:space="preserve"> training manuals; </w:t>
      </w:r>
      <w:r w:rsidRPr="003C5C35">
        <w:rPr>
          <w:rFonts w:eastAsia="SimSun"/>
          <w:lang w:eastAsia="zh-CN"/>
        </w:rPr>
        <w:t>an</w:t>
      </w:r>
      <w:r>
        <w:rPr>
          <w:rFonts w:eastAsia="SimSun"/>
          <w:lang w:eastAsia="zh-CN"/>
        </w:rPr>
        <w:t>d an</w:t>
      </w:r>
      <w:r w:rsidRPr="003C5C35">
        <w:rPr>
          <w:rFonts w:eastAsia="SimSun"/>
          <w:lang w:eastAsia="zh-CN"/>
        </w:rPr>
        <w:t xml:space="preserve"> online training on alternatives to HCFC-141b in flushing held for 100</w:t>
      </w:r>
      <w:r>
        <w:rPr>
          <w:rFonts w:eastAsia="SimSun"/>
          <w:lang w:eastAsia="zh-CN"/>
        </w:rPr>
        <w:t> </w:t>
      </w:r>
      <w:r w:rsidRPr="003C5C35">
        <w:rPr>
          <w:rFonts w:eastAsia="SimSun"/>
          <w:lang w:eastAsia="zh-CN"/>
        </w:rPr>
        <w:t>participants.</w:t>
      </w:r>
      <w:r w:rsidRPr="00D85E02">
        <w:rPr>
          <w:rFonts w:eastAsia="SimSun"/>
          <w:lang w:eastAsia="zh-CN"/>
        </w:rPr>
        <w:t xml:space="preserve"> </w:t>
      </w:r>
      <w:r>
        <w:rPr>
          <w:rFonts w:eastAsia="SimSun"/>
          <w:lang w:eastAsia="zh-CN"/>
        </w:rPr>
        <w:t>S</w:t>
      </w:r>
      <w:r w:rsidRPr="00D85E02">
        <w:rPr>
          <w:rFonts w:eastAsia="SimSun"/>
          <w:lang w:eastAsia="zh-CN"/>
        </w:rPr>
        <w:t xml:space="preserve">ince </w:t>
      </w:r>
      <w:r>
        <w:rPr>
          <w:rFonts w:eastAsia="SimSun"/>
          <w:lang w:eastAsia="zh-CN"/>
        </w:rPr>
        <w:t xml:space="preserve">January </w:t>
      </w:r>
      <w:r w:rsidRPr="00D85E02">
        <w:rPr>
          <w:rFonts w:eastAsia="SimSun"/>
          <w:lang w:eastAsia="zh-CN"/>
        </w:rPr>
        <w:t>2020</w:t>
      </w:r>
      <w:r>
        <w:rPr>
          <w:rFonts w:eastAsia="SimSun"/>
          <w:lang w:eastAsia="zh-CN"/>
        </w:rPr>
        <w:t>,</w:t>
      </w:r>
      <w:r w:rsidRPr="00D85E02">
        <w:rPr>
          <w:rFonts w:eastAsia="SimSun"/>
          <w:lang w:eastAsia="zh-CN"/>
        </w:rPr>
        <w:t xml:space="preserve"> five </w:t>
      </w:r>
      <w:r>
        <w:rPr>
          <w:rFonts w:eastAsia="SimSun"/>
          <w:lang w:eastAsia="zh-CN"/>
        </w:rPr>
        <w:t xml:space="preserve">RAC technicians were </w:t>
      </w:r>
      <w:r w:rsidRPr="00D85E02">
        <w:rPr>
          <w:rFonts w:eastAsia="SimSun"/>
          <w:lang w:eastAsia="zh-CN"/>
        </w:rPr>
        <w:t>certifi</w:t>
      </w:r>
      <w:r>
        <w:rPr>
          <w:rFonts w:eastAsia="SimSun"/>
          <w:lang w:eastAsia="zh-CN"/>
        </w:rPr>
        <w:t xml:space="preserve">ed on </w:t>
      </w:r>
      <w:r w:rsidRPr="00D85E02">
        <w:rPr>
          <w:rFonts w:eastAsia="SimSun"/>
          <w:lang w:eastAsia="zh-CN"/>
        </w:rPr>
        <w:t xml:space="preserve">installation of refrigeration systems and 101 </w:t>
      </w:r>
      <w:r>
        <w:rPr>
          <w:rFonts w:eastAsia="SimSun"/>
          <w:lang w:eastAsia="zh-CN"/>
        </w:rPr>
        <w:t xml:space="preserve">technicians were </w:t>
      </w:r>
      <w:r w:rsidRPr="00D85E02">
        <w:rPr>
          <w:rFonts w:eastAsia="SimSun"/>
          <w:lang w:eastAsia="zh-CN"/>
        </w:rPr>
        <w:t>certifi</w:t>
      </w:r>
      <w:r>
        <w:rPr>
          <w:rFonts w:eastAsia="SimSun"/>
          <w:lang w:eastAsia="zh-CN"/>
        </w:rPr>
        <w:t xml:space="preserve">ed on </w:t>
      </w:r>
      <w:r w:rsidRPr="00D85E02">
        <w:rPr>
          <w:rFonts w:eastAsia="SimSun"/>
          <w:lang w:eastAsia="zh-CN"/>
        </w:rPr>
        <w:t>installation a</w:t>
      </w:r>
      <w:r>
        <w:rPr>
          <w:rFonts w:eastAsia="SimSun"/>
          <w:lang w:eastAsia="zh-CN"/>
        </w:rPr>
        <w:t>nd maintenance of RAC equipment;</w:t>
      </w:r>
    </w:p>
    <w:p w14:paraId="72B718A0" w14:textId="77777777" w:rsidR="000D376B" w:rsidRDefault="000D376B" w:rsidP="000D376B">
      <w:pPr>
        <w:pStyle w:val="Heading2"/>
        <w:rPr>
          <w:rFonts w:eastAsia="SimSun"/>
          <w:lang w:eastAsia="zh-CN"/>
        </w:rPr>
      </w:pPr>
      <w:r>
        <w:rPr>
          <w:rFonts w:eastAsia="SimSun"/>
          <w:lang w:eastAsia="zh-CN"/>
        </w:rPr>
        <w:t xml:space="preserve">Continued the </w:t>
      </w:r>
      <w:r w:rsidRPr="00D14A9A">
        <w:rPr>
          <w:rFonts w:eastAsia="SimSun"/>
          <w:lang w:eastAsia="zh-CN"/>
        </w:rPr>
        <w:t xml:space="preserve">development of the registry </w:t>
      </w:r>
      <w:r>
        <w:rPr>
          <w:rFonts w:eastAsia="SimSun"/>
          <w:lang w:eastAsia="zh-CN"/>
        </w:rPr>
        <w:t xml:space="preserve">system </w:t>
      </w:r>
      <w:r w:rsidRPr="00D14A9A">
        <w:rPr>
          <w:rFonts w:eastAsia="SimSun"/>
          <w:lang w:eastAsia="zh-CN"/>
        </w:rPr>
        <w:t>for products containing controlled substances</w:t>
      </w:r>
      <w:r>
        <w:rPr>
          <w:rFonts w:eastAsia="SimSun"/>
          <w:lang w:eastAsia="zh-CN"/>
        </w:rPr>
        <w:t xml:space="preserve">. The system is expected to be online by the end of 2021 and will be used to monitor </w:t>
      </w:r>
      <w:r w:rsidRPr="00576655">
        <w:rPr>
          <w:rFonts w:eastAsia="SimSun"/>
          <w:lang w:eastAsia="zh-CN"/>
        </w:rPr>
        <w:t>the import of</w:t>
      </w:r>
      <w:r>
        <w:rPr>
          <w:rFonts w:eastAsia="SimSun"/>
          <w:lang w:eastAsia="zh-CN"/>
        </w:rPr>
        <w:t xml:space="preserve"> products and equipment using controlled substances;</w:t>
      </w:r>
    </w:p>
    <w:p w14:paraId="75389627" w14:textId="77777777" w:rsidR="000D376B" w:rsidRPr="00B77E8B" w:rsidRDefault="000D376B" w:rsidP="000D376B">
      <w:pPr>
        <w:pStyle w:val="Heading2"/>
        <w:rPr>
          <w:rFonts w:eastAsia="SimSun"/>
          <w:lang w:eastAsia="zh-CN"/>
        </w:rPr>
      </w:pPr>
      <w:r w:rsidRPr="00576655">
        <w:rPr>
          <w:rFonts w:eastAsia="SimSun"/>
          <w:lang w:eastAsia="zh-CN"/>
        </w:rPr>
        <w:t>Initiated work to establish the recovery and recycling centres including hiring a consultant to assist with the technical specifications of the equipment required in order to launch the procurement process and to select the beneficiaries. These cen</w:t>
      </w:r>
      <w:r w:rsidRPr="00B77E8B">
        <w:rPr>
          <w:rFonts w:eastAsia="SimSun"/>
          <w:lang w:eastAsia="zh-CN"/>
        </w:rPr>
        <w:t>tres are expected to be operational by the end of 2021 or early 2022;</w:t>
      </w:r>
    </w:p>
    <w:p w14:paraId="16E542E4" w14:textId="77777777" w:rsidR="000D376B" w:rsidRPr="00576655" w:rsidRDefault="000D376B" w:rsidP="000D376B">
      <w:pPr>
        <w:pStyle w:val="Heading2"/>
        <w:rPr>
          <w:rFonts w:eastAsia="SimSun"/>
          <w:lang w:eastAsia="zh-CN"/>
        </w:rPr>
      </w:pPr>
      <w:r>
        <w:rPr>
          <w:rFonts w:eastAsia="SimSun"/>
          <w:lang w:eastAsia="zh-CN"/>
        </w:rPr>
        <w:t xml:space="preserve">Technical specifications to identify </w:t>
      </w:r>
      <w:r w:rsidRPr="00D85E02">
        <w:rPr>
          <w:lang w:val="en-CA"/>
        </w:rPr>
        <w:t>beneficiary companies for a</w:t>
      </w:r>
      <w:r w:rsidRPr="00D85E02">
        <w:rPr>
          <w:rFonts w:eastAsia="SimSun"/>
          <w:lang w:eastAsia="zh-CN"/>
        </w:rPr>
        <w:t xml:space="preserve"> demonstration project for </w:t>
      </w:r>
      <w:r w:rsidRPr="00576655">
        <w:rPr>
          <w:rFonts w:eastAsia="SimSun"/>
          <w:lang w:eastAsia="zh-CN"/>
        </w:rPr>
        <w:t xml:space="preserve">the conversion of cold rooms and air-conditioners to </w:t>
      </w:r>
      <w:r w:rsidRPr="00576655">
        <w:rPr>
          <w:rFonts w:eastAsia="SimSun"/>
          <w:lang w:val="en-CA" w:eastAsia="zh-CN"/>
        </w:rPr>
        <w:t>trans</w:t>
      </w:r>
      <w:r w:rsidRPr="00576655">
        <w:rPr>
          <w:rFonts w:eastAsia="SimSun"/>
          <w:lang w:val="en-CA" w:eastAsia="zh-CN"/>
        </w:rPr>
        <w:noBreakHyphen/>
        <w:t xml:space="preserve">critical </w:t>
      </w:r>
      <w:r w:rsidRPr="00576655">
        <w:rPr>
          <w:lang w:val="en-CA"/>
        </w:rPr>
        <w:t>CO</w:t>
      </w:r>
      <w:r w:rsidRPr="00576655">
        <w:rPr>
          <w:vertAlign w:val="subscript"/>
          <w:lang w:val="en-CA"/>
        </w:rPr>
        <w:t>2</w:t>
      </w:r>
      <w:r w:rsidRPr="00576655">
        <w:rPr>
          <w:rFonts w:eastAsia="SimSun"/>
          <w:lang w:val="en-CA" w:eastAsia="zh-CN"/>
        </w:rPr>
        <w:t xml:space="preserve">, trans-critical </w:t>
      </w:r>
      <w:r w:rsidRPr="00576655">
        <w:rPr>
          <w:lang w:val="en-CA"/>
        </w:rPr>
        <w:t>CO</w:t>
      </w:r>
      <w:r w:rsidRPr="00576655">
        <w:rPr>
          <w:vertAlign w:val="subscript"/>
          <w:lang w:val="en-CA"/>
        </w:rPr>
        <w:t>2</w:t>
      </w:r>
      <w:r w:rsidRPr="00576655">
        <w:rPr>
          <w:rFonts w:eastAsia="SimSun"/>
          <w:lang w:val="en-CA" w:eastAsia="zh-CN"/>
        </w:rPr>
        <w:t>/ammonia, and ammonia</w:t>
      </w:r>
      <w:r w:rsidRPr="00576655" w:rsidDel="00B77E8B">
        <w:rPr>
          <w:rFonts w:eastAsia="SimSun"/>
          <w:lang w:eastAsia="zh-CN"/>
        </w:rPr>
        <w:t xml:space="preserve"> </w:t>
      </w:r>
      <w:r w:rsidRPr="00576655">
        <w:rPr>
          <w:rFonts w:eastAsia="SimSun"/>
          <w:lang w:eastAsia="zh-CN"/>
        </w:rPr>
        <w:t>finalized with the assistance of an international consultant; and</w:t>
      </w:r>
    </w:p>
    <w:p w14:paraId="7443EDE1" w14:textId="77777777" w:rsidR="000D376B" w:rsidRDefault="000D376B" w:rsidP="000D376B">
      <w:pPr>
        <w:pStyle w:val="Heading2"/>
        <w:rPr>
          <w:rFonts w:eastAsia="SimSun"/>
          <w:lang w:eastAsia="zh-CN"/>
        </w:rPr>
      </w:pPr>
      <w:r>
        <w:rPr>
          <w:rFonts w:eastAsia="SimSun"/>
          <w:lang w:eastAsia="zh-CN"/>
        </w:rPr>
        <w:t xml:space="preserve">Awareness raising activities including the publication of </w:t>
      </w:r>
      <w:r w:rsidRPr="00D14A9A">
        <w:rPr>
          <w:rFonts w:eastAsia="SimSun"/>
          <w:lang w:eastAsia="zh-CN"/>
        </w:rPr>
        <w:t xml:space="preserve">several online videos about </w:t>
      </w:r>
      <w:r>
        <w:rPr>
          <w:rFonts w:eastAsia="SimSun"/>
          <w:lang w:eastAsia="zh-CN"/>
        </w:rPr>
        <w:t>g</w:t>
      </w:r>
      <w:r w:rsidRPr="00D14A9A">
        <w:rPr>
          <w:rFonts w:eastAsia="SimSun"/>
          <w:lang w:eastAsia="zh-CN"/>
        </w:rPr>
        <w:t xml:space="preserve">ood refrigeration practices, the refrigerant reclamation centre, and the Kigali Amendment </w:t>
      </w:r>
      <w:r>
        <w:rPr>
          <w:rFonts w:eastAsia="SimSun"/>
          <w:lang w:eastAsia="zh-CN"/>
        </w:rPr>
        <w:t>targeting</w:t>
      </w:r>
      <w:r w:rsidRPr="00D14A9A">
        <w:rPr>
          <w:rFonts w:eastAsia="SimSun"/>
          <w:lang w:eastAsia="zh-CN"/>
        </w:rPr>
        <w:t xml:space="preserve"> RAC technicia</w:t>
      </w:r>
      <w:r>
        <w:rPr>
          <w:rFonts w:eastAsia="SimSun"/>
          <w:lang w:eastAsia="zh-CN"/>
        </w:rPr>
        <w:t>ns; published monthly bulletins</w:t>
      </w:r>
      <w:r w:rsidRPr="00D14A9A">
        <w:rPr>
          <w:rFonts w:eastAsia="SimSun"/>
          <w:lang w:eastAsia="zh-CN"/>
        </w:rPr>
        <w:t xml:space="preserve"> and posted information on </w:t>
      </w:r>
      <w:r>
        <w:rPr>
          <w:rFonts w:eastAsia="SimSun"/>
          <w:lang w:eastAsia="zh-CN"/>
        </w:rPr>
        <w:t xml:space="preserve">various online </w:t>
      </w:r>
      <w:r w:rsidRPr="00D14A9A">
        <w:rPr>
          <w:rFonts w:eastAsia="SimSun"/>
          <w:lang w:eastAsia="zh-CN"/>
        </w:rPr>
        <w:t xml:space="preserve">media to promote the switch </w:t>
      </w:r>
      <w:r>
        <w:rPr>
          <w:rFonts w:eastAsia="SimSun"/>
          <w:lang w:eastAsia="zh-CN"/>
        </w:rPr>
        <w:t>to</w:t>
      </w:r>
      <w:r w:rsidRPr="00D14A9A">
        <w:rPr>
          <w:rFonts w:eastAsia="SimSun"/>
          <w:lang w:eastAsia="zh-CN"/>
        </w:rPr>
        <w:t xml:space="preserve"> HCFC-free technologies.</w:t>
      </w:r>
    </w:p>
    <w:p w14:paraId="6D09D4C2" w14:textId="77777777" w:rsidR="000D376B" w:rsidRPr="00D14A9A" w:rsidRDefault="000D376B" w:rsidP="000D376B">
      <w:pPr>
        <w:pStyle w:val="Heading1"/>
        <w:widowControl w:val="0"/>
        <w:numPr>
          <w:ilvl w:val="0"/>
          <w:numId w:val="0"/>
        </w:numPr>
        <w:tabs>
          <w:tab w:val="num" w:pos="360"/>
        </w:tabs>
        <w:jc w:val="left"/>
        <w:rPr>
          <w:i/>
        </w:rPr>
      </w:pPr>
      <w:r w:rsidRPr="00D14A9A">
        <w:rPr>
          <w:i/>
        </w:rPr>
        <w:t>Project implementation and monitoring unit (PMU)</w:t>
      </w:r>
    </w:p>
    <w:p w14:paraId="2D3418C7" w14:textId="77777777" w:rsidR="000D376B" w:rsidRPr="00F049D6" w:rsidRDefault="000D376B" w:rsidP="000D376B">
      <w:pPr>
        <w:pStyle w:val="Heading1"/>
        <w:widowControl w:val="0"/>
      </w:pPr>
      <w:r w:rsidRPr="00F049D6">
        <w:t xml:space="preserve">Of the </w:t>
      </w:r>
      <w:r>
        <w:t>US $</w:t>
      </w:r>
      <w:r w:rsidRPr="00F049D6">
        <w:t>14,200 (</w:t>
      </w:r>
      <w:r>
        <w:t>US $</w:t>
      </w:r>
      <w:r w:rsidRPr="00F049D6">
        <w:t xml:space="preserve">4,830 for UNDP and </w:t>
      </w:r>
      <w:r>
        <w:t>US $</w:t>
      </w:r>
      <w:r w:rsidRPr="00F049D6">
        <w:t xml:space="preserve">9,370 for UNIDO) approved for project monitoring and implementation for the third tranche, a consultant for HCFC consumption verification and experts to provide technical support to the NOU were engaged </w:t>
      </w:r>
      <w:r>
        <w:t>as well as</w:t>
      </w:r>
      <w:r w:rsidRPr="00F049D6">
        <w:t xml:space="preserve"> an assistant.</w:t>
      </w:r>
    </w:p>
    <w:p w14:paraId="42A75F56" w14:textId="77777777" w:rsidR="000D376B" w:rsidRDefault="000D376B" w:rsidP="000D376B">
      <w:pPr>
        <w:keepNext/>
        <w:keepLines/>
        <w:spacing w:after="240"/>
        <w:jc w:val="left"/>
        <w:rPr>
          <w:i/>
        </w:rPr>
      </w:pPr>
      <w:r>
        <w:rPr>
          <w:i/>
        </w:rPr>
        <w:t>Status of disbursement</w:t>
      </w:r>
    </w:p>
    <w:p w14:paraId="2A01464D" w14:textId="77777777" w:rsidR="000D376B" w:rsidRPr="007513BB" w:rsidRDefault="000D376B" w:rsidP="000D376B">
      <w:pPr>
        <w:pStyle w:val="Heading1"/>
        <w:keepNext/>
        <w:keepLines/>
      </w:pPr>
      <w:r>
        <w:t>As of May 2021, of the US $3,394,017 approved for stage II, US $2,079,621 (61 per cent) had been disbursed (i.e., US $</w:t>
      </w:r>
      <w:r>
        <w:rPr>
          <w:color w:val="000000"/>
          <w:lang w:val="en-US"/>
        </w:rPr>
        <w:t xml:space="preserve">1,634,991 </w:t>
      </w:r>
      <w:r>
        <w:t xml:space="preserve">for UNDP, US $12,635 for UNEP, and US $431,995 for UNIDO), as shown </w:t>
      </w:r>
      <w:r w:rsidRPr="007513BB">
        <w:t xml:space="preserve">in </w:t>
      </w:r>
      <w:r>
        <w:t>T</w:t>
      </w:r>
      <w:r w:rsidR="00F66EEB">
        <w:t>able 3</w:t>
      </w:r>
      <w:r w:rsidRPr="007513BB">
        <w:t>.</w:t>
      </w:r>
    </w:p>
    <w:p w14:paraId="0DF2CC92" w14:textId="77777777" w:rsidR="000D376B" w:rsidRPr="00CB5477" w:rsidRDefault="00F66EEB" w:rsidP="000D376B">
      <w:pPr>
        <w:keepNext/>
      </w:pPr>
      <w:r>
        <w:rPr>
          <w:b/>
        </w:rPr>
        <w:t>Table 3.</w:t>
      </w:r>
      <w:r w:rsidR="000D376B" w:rsidRPr="007513BB">
        <w:rPr>
          <w:b/>
        </w:rPr>
        <w:t xml:space="preserve"> Financial</w:t>
      </w:r>
      <w:r w:rsidR="000D376B" w:rsidRPr="00CB5477">
        <w:rPr>
          <w:b/>
        </w:rPr>
        <w:t xml:space="preserve"> report of stage II of the HPMP for Chile</w:t>
      </w:r>
      <w:r w:rsidR="000D376B">
        <w:rPr>
          <w:b/>
        </w:rPr>
        <w:t xml:space="preserve"> (US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47"/>
        <w:gridCol w:w="2048"/>
        <w:gridCol w:w="2047"/>
        <w:gridCol w:w="2048"/>
      </w:tblGrid>
      <w:tr w:rsidR="000D376B" w:rsidRPr="007C529B" w14:paraId="6E1F36E4" w14:textId="77777777" w:rsidTr="0051060F">
        <w:tc>
          <w:tcPr>
            <w:tcW w:w="1165" w:type="dxa"/>
            <w:shd w:val="clear" w:color="auto" w:fill="auto"/>
            <w:vAlign w:val="center"/>
            <w:hideMark/>
          </w:tcPr>
          <w:p w14:paraId="369EB34A" w14:textId="77777777" w:rsidR="000D376B" w:rsidRPr="007C529B" w:rsidRDefault="000D376B" w:rsidP="0051060F">
            <w:pPr>
              <w:rPr>
                <w:b/>
                <w:bCs/>
                <w:color w:val="000000"/>
                <w:sz w:val="20"/>
                <w:szCs w:val="20"/>
                <w:lang w:val="en-US"/>
              </w:rPr>
            </w:pPr>
            <w:r w:rsidRPr="007C529B">
              <w:rPr>
                <w:b/>
                <w:bCs/>
                <w:color w:val="000000"/>
                <w:sz w:val="20"/>
                <w:szCs w:val="20"/>
                <w:lang w:val="en-CA" w:eastAsia="en-CA"/>
              </w:rPr>
              <w:t>Agency</w:t>
            </w:r>
          </w:p>
        </w:tc>
        <w:tc>
          <w:tcPr>
            <w:tcW w:w="2047" w:type="dxa"/>
            <w:shd w:val="clear" w:color="auto" w:fill="auto"/>
            <w:vAlign w:val="center"/>
            <w:hideMark/>
          </w:tcPr>
          <w:p w14:paraId="0150E4D8" w14:textId="77777777" w:rsidR="000D376B" w:rsidRPr="007C529B" w:rsidRDefault="000D376B" w:rsidP="0051060F">
            <w:pPr>
              <w:jc w:val="center"/>
              <w:rPr>
                <w:b/>
                <w:bCs/>
                <w:color w:val="000000"/>
                <w:sz w:val="20"/>
                <w:szCs w:val="20"/>
                <w:lang w:val="en-US"/>
              </w:rPr>
            </w:pPr>
            <w:r w:rsidRPr="007C529B">
              <w:rPr>
                <w:b/>
                <w:bCs/>
                <w:color w:val="000000"/>
                <w:sz w:val="20"/>
                <w:szCs w:val="20"/>
                <w:lang w:val="en-US"/>
              </w:rPr>
              <w:t xml:space="preserve">Funds approved </w:t>
            </w:r>
          </w:p>
        </w:tc>
        <w:tc>
          <w:tcPr>
            <w:tcW w:w="2048" w:type="dxa"/>
            <w:shd w:val="clear" w:color="auto" w:fill="auto"/>
            <w:vAlign w:val="center"/>
            <w:hideMark/>
          </w:tcPr>
          <w:p w14:paraId="1767E679" w14:textId="77777777" w:rsidR="000D376B" w:rsidRPr="007C529B" w:rsidRDefault="000D376B" w:rsidP="0051060F">
            <w:pPr>
              <w:jc w:val="center"/>
              <w:rPr>
                <w:b/>
                <w:bCs/>
                <w:color w:val="000000"/>
                <w:sz w:val="20"/>
                <w:szCs w:val="20"/>
                <w:lang w:val="en-US"/>
              </w:rPr>
            </w:pPr>
            <w:r w:rsidRPr="007C529B">
              <w:rPr>
                <w:b/>
                <w:bCs/>
                <w:color w:val="000000"/>
                <w:sz w:val="20"/>
                <w:szCs w:val="20"/>
                <w:lang w:val="en-US"/>
              </w:rPr>
              <w:t xml:space="preserve">Funds disbursed </w:t>
            </w:r>
          </w:p>
        </w:tc>
        <w:tc>
          <w:tcPr>
            <w:tcW w:w="2047" w:type="dxa"/>
            <w:vAlign w:val="center"/>
          </w:tcPr>
          <w:p w14:paraId="080165AF" w14:textId="77777777" w:rsidR="000D376B" w:rsidRPr="009836EB" w:rsidRDefault="000D376B" w:rsidP="0051060F">
            <w:pPr>
              <w:jc w:val="center"/>
              <w:rPr>
                <w:b/>
                <w:sz w:val="20"/>
                <w:szCs w:val="20"/>
                <w:lang w:val="en-CA"/>
              </w:rPr>
            </w:pPr>
            <w:r w:rsidRPr="007C529B">
              <w:rPr>
                <w:b/>
                <w:bCs/>
                <w:color w:val="000000"/>
                <w:sz w:val="20"/>
                <w:szCs w:val="20"/>
                <w:lang w:val="en-US"/>
              </w:rPr>
              <w:t xml:space="preserve">Balance </w:t>
            </w:r>
          </w:p>
        </w:tc>
        <w:tc>
          <w:tcPr>
            <w:tcW w:w="2048" w:type="dxa"/>
            <w:shd w:val="clear" w:color="auto" w:fill="auto"/>
            <w:vAlign w:val="center"/>
          </w:tcPr>
          <w:p w14:paraId="38A6B29E" w14:textId="77777777" w:rsidR="000D376B" w:rsidRPr="007C529B" w:rsidRDefault="000D376B" w:rsidP="0051060F">
            <w:pPr>
              <w:jc w:val="center"/>
              <w:rPr>
                <w:b/>
                <w:bCs/>
                <w:color w:val="000000"/>
                <w:sz w:val="20"/>
                <w:szCs w:val="20"/>
                <w:lang w:val="en-US"/>
              </w:rPr>
            </w:pPr>
            <w:r w:rsidRPr="009836EB">
              <w:rPr>
                <w:b/>
                <w:sz w:val="20"/>
                <w:szCs w:val="20"/>
                <w:lang w:val="en-CA"/>
              </w:rPr>
              <w:t>Disbursement rate (%)</w:t>
            </w:r>
          </w:p>
        </w:tc>
      </w:tr>
      <w:tr w:rsidR="000D376B" w:rsidRPr="007C529B" w14:paraId="66633451" w14:textId="77777777" w:rsidTr="0051060F">
        <w:tc>
          <w:tcPr>
            <w:tcW w:w="1165" w:type="dxa"/>
            <w:shd w:val="clear" w:color="auto" w:fill="auto"/>
            <w:vAlign w:val="center"/>
            <w:hideMark/>
          </w:tcPr>
          <w:p w14:paraId="3E89C91B" w14:textId="77777777" w:rsidR="000D376B" w:rsidRPr="007C529B" w:rsidRDefault="000D376B" w:rsidP="0051060F">
            <w:pPr>
              <w:jc w:val="left"/>
              <w:rPr>
                <w:color w:val="000000"/>
                <w:sz w:val="20"/>
                <w:szCs w:val="20"/>
                <w:lang w:val="en-US"/>
              </w:rPr>
            </w:pPr>
            <w:r w:rsidRPr="007C529B">
              <w:rPr>
                <w:color w:val="000000"/>
                <w:sz w:val="20"/>
                <w:szCs w:val="20"/>
                <w:lang w:val="en-CA"/>
              </w:rPr>
              <w:t>UNDP</w:t>
            </w:r>
          </w:p>
        </w:tc>
        <w:tc>
          <w:tcPr>
            <w:tcW w:w="2047" w:type="dxa"/>
            <w:shd w:val="clear" w:color="auto" w:fill="auto"/>
            <w:tcMar>
              <w:left w:w="115" w:type="dxa"/>
              <w:right w:w="216" w:type="dxa"/>
            </w:tcMar>
            <w:vAlign w:val="center"/>
            <w:hideMark/>
          </w:tcPr>
          <w:p w14:paraId="46F4E973" w14:textId="77777777" w:rsidR="000D376B" w:rsidRPr="007C529B" w:rsidRDefault="000D376B" w:rsidP="0051060F">
            <w:pPr>
              <w:jc w:val="right"/>
              <w:rPr>
                <w:color w:val="000000"/>
                <w:sz w:val="20"/>
                <w:szCs w:val="20"/>
                <w:lang w:val="en-US"/>
              </w:rPr>
            </w:pPr>
            <w:r w:rsidRPr="007C529B">
              <w:rPr>
                <w:color w:val="000000"/>
                <w:sz w:val="20"/>
                <w:szCs w:val="20"/>
                <w:lang w:val="en-US"/>
              </w:rPr>
              <w:t>2,145,047</w:t>
            </w:r>
          </w:p>
        </w:tc>
        <w:tc>
          <w:tcPr>
            <w:tcW w:w="2048" w:type="dxa"/>
            <w:shd w:val="clear" w:color="auto" w:fill="auto"/>
            <w:tcMar>
              <w:left w:w="115" w:type="dxa"/>
              <w:right w:w="216" w:type="dxa"/>
            </w:tcMar>
            <w:vAlign w:val="center"/>
            <w:hideMark/>
          </w:tcPr>
          <w:p w14:paraId="3CACB60C" w14:textId="77777777" w:rsidR="000D376B" w:rsidRPr="007C529B" w:rsidRDefault="000D376B" w:rsidP="0051060F">
            <w:pPr>
              <w:jc w:val="right"/>
              <w:rPr>
                <w:color w:val="000000"/>
                <w:sz w:val="20"/>
                <w:szCs w:val="20"/>
                <w:lang w:val="en-US"/>
              </w:rPr>
            </w:pPr>
            <w:r w:rsidRPr="007C529B">
              <w:rPr>
                <w:color w:val="000000"/>
                <w:sz w:val="20"/>
                <w:szCs w:val="20"/>
                <w:lang w:val="en-US"/>
              </w:rPr>
              <w:t>1,634,991</w:t>
            </w:r>
          </w:p>
        </w:tc>
        <w:tc>
          <w:tcPr>
            <w:tcW w:w="2047" w:type="dxa"/>
            <w:tcMar>
              <w:left w:w="115" w:type="dxa"/>
              <w:right w:w="216" w:type="dxa"/>
            </w:tcMar>
            <w:vAlign w:val="center"/>
          </w:tcPr>
          <w:p w14:paraId="48D0B8F5" w14:textId="77777777" w:rsidR="000D376B" w:rsidRPr="007C529B" w:rsidRDefault="000D376B" w:rsidP="0051060F">
            <w:pPr>
              <w:jc w:val="right"/>
              <w:rPr>
                <w:color w:val="000000"/>
                <w:sz w:val="20"/>
                <w:szCs w:val="20"/>
                <w:lang w:val="en-US"/>
              </w:rPr>
            </w:pPr>
            <w:r w:rsidRPr="007C529B">
              <w:rPr>
                <w:color w:val="000000"/>
                <w:sz w:val="20"/>
                <w:szCs w:val="20"/>
                <w:lang w:val="en-US"/>
              </w:rPr>
              <w:t>510,056</w:t>
            </w:r>
          </w:p>
        </w:tc>
        <w:tc>
          <w:tcPr>
            <w:tcW w:w="2048" w:type="dxa"/>
            <w:shd w:val="clear" w:color="auto" w:fill="auto"/>
            <w:vAlign w:val="center"/>
            <w:hideMark/>
          </w:tcPr>
          <w:p w14:paraId="0A547D9A" w14:textId="77777777" w:rsidR="000D376B" w:rsidRPr="007C529B" w:rsidRDefault="000D376B" w:rsidP="0051060F">
            <w:pPr>
              <w:ind w:right="796"/>
              <w:jc w:val="right"/>
              <w:rPr>
                <w:color w:val="000000"/>
                <w:sz w:val="20"/>
                <w:szCs w:val="20"/>
                <w:lang w:val="en-US"/>
              </w:rPr>
            </w:pPr>
            <w:r w:rsidRPr="007C529B">
              <w:rPr>
                <w:color w:val="000000"/>
                <w:sz w:val="20"/>
                <w:szCs w:val="20"/>
                <w:lang w:val="en-US"/>
              </w:rPr>
              <w:t>76</w:t>
            </w:r>
          </w:p>
        </w:tc>
      </w:tr>
      <w:tr w:rsidR="000D376B" w:rsidRPr="007C529B" w14:paraId="7B306AB1" w14:textId="77777777" w:rsidTr="0051060F">
        <w:tc>
          <w:tcPr>
            <w:tcW w:w="1165" w:type="dxa"/>
            <w:shd w:val="clear" w:color="auto" w:fill="auto"/>
            <w:vAlign w:val="center"/>
            <w:hideMark/>
          </w:tcPr>
          <w:p w14:paraId="06DAEA2F" w14:textId="77777777" w:rsidR="000D376B" w:rsidRPr="007C529B" w:rsidRDefault="000D376B" w:rsidP="0051060F">
            <w:pPr>
              <w:jc w:val="left"/>
              <w:rPr>
                <w:color w:val="000000"/>
                <w:sz w:val="20"/>
                <w:szCs w:val="20"/>
                <w:lang w:val="en-US"/>
              </w:rPr>
            </w:pPr>
            <w:r w:rsidRPr="007C529B">
              <w:rPr>
                <w:color w:val="000000"/>
                <w:sz w:val="20"/>
                <w:szCs w:val="20"/>
                <w:lang w:val="en-US"/>
              </w:rPr>
              <w:t>UNEP</w:t>
            </w:r>
          </w:p>
        </w:tc>
        <w:tc>
          <w:tcPr>
            <w:tcW w:w="2047" w:type="dxa"/>
            <w:shd w:val="clear" w:color="auto" w:fill="auto"/>
            <w:tcMar>
              <w:left w:w="115" w:type="dxa"/>
              <w:right w:w="216" w:type="dxa"/>
            </w:tcMar>
            <w:vAlign w:val="center"/>
            <w:hideMark/>
          </w:tcPr>
          <w:p w14:paraId="1756CFFD" w14:textId="77777777" w:rsidR="000D376B" w:rsidRPr="007C529B" w:rsidRDefault="000D376B" w:rsidP="0051060F">
            <w:pPr>
              <w:jc w:val="right"/>
              <w:rPr>
                <w:color w:val="000000"/>
                <w:sz w:val="20"/>
                <w:szCs w:val="20"/>
                <w:lang w:val="en-US"/>
              </w:rPr>
            </w:pPr>
            <w:r w:rsidRPr="007C529B">
              <w:rPr>
                <w:color w:val="000000"/>
                <w:sz w:val="20"/>
                <w:szCs w:val="20"/>
                <w:lang w:val="en-CA"/>
              </w:rPr>
              <w:t>218,270</w:t>
            </w:r>
          </w:p>
        </w:tc>
        <w:tc>
          <w:tcPr>
            <w:tcW w:w="2048" w:type="dxa"/>
            <w:shd w:val="clear" w:color="auto" w:fill="auto"/>
            <w:tcMar>
              <w:left w:w="115" w:type="dxa"/>
              <w:right w:w="216" w:type="dxa"/>
            </w:tcMar>
            <w:vAlign w:val="center"/>
            <w:hideMark/>
          </w:tcPr>
          <w:p w14:paraId="7875D840" w14:textId="77777777" w:rsidR="000D376B" w:rsidRPr="007C529B" w:rsidRDefault="000D376B" w:rsidP="0051060F">
            <w:pPr>
              <w:jc w:val="right"/>
              <w:rPr>
                <w:color w:val="000000"/>
                <w:sz w:val="20"/>
                <w:szCs w:val="20"/>
                <w:lang w:val="en-US"/>
              </w:rPr>
            </w:pPr>
            <w:r w:rsidRPr="007C529B">
              <w:rPr>
                <w:color w:val="000000"/>
                <w:sz w:val="20"/>
                <w:szCs w:val="20"/>
                <w:lang w:val="en-US"/>
              </w:rPr>
              <w:t>12,635</w:t>
            </w:r>
          </w:p>
        </w:tc>
        <w:tc>
          <w:tcPr>
            <w:tcW w:w="2047" w:type="dxa"/>
            <w:tcMar>
              <w:left w:w="115" w:type="dxa"/>
              <w:right w:w="216" w:type="dxa"/>
            </w:tcMar>
            <w:vAlign w:val="center"/>
          </w:tcPr>
          <w:p w14:paraId="5BF60A0E" w14:textId="77777777" w:rsidR="000D376B" w:rsidRPr="007C529B" w:rsidRDefault="000D376B" w:rsidP="0051060F">
            <w:pPr>
              <w:jc w:val="right"/>
              <w:rPr>
                <w:color w:val="000000"/>
                <w:sz w:val="20"/>
                <w:szCs w:val="20"/>
                <w:lang w:val="en-US"/>
              </w:rPr>
            </w:pPr>
            <w:r w:rsidRPr="007C529B">
              <w:rPr>
                <w:color w:val="000000"/>
                <w:sz w:val="20"/>
                <w:szCs w:val="20"/>
                <w:lang w:val="en-US"/>
              </w:rPr>
              <w:t>205,635</w:t>
            </w:r>
          </w:p>
        </w:tc>
        <w:tc>
          <w:tcPr>
            <w:tcW w:w="2048" w:type="dxa"/>
            <w:shd w:val="clear" w:color="auto" w:fill="auto"/>
            <w:vAlign w:val="center"/>
            <w:hideMark/>
          </w:tcPr>
          <w:p w14:paraId="08ECB034" w14:textId="77777777" w:rsidR="000D376B" w:rsidRPr="007C529B" w:rsidRDefault="000D376B" w:rsidP="0051060F">
            <w:pPr>
              <w:ind w:right="796"/>
              <w:jc w:val="right"/>
              <w:rPr>
                <w:color w:val="000000"/>
                <w:sz w:val="20"/>
                <w:szCs w:val="20"/>
                <w:lang w:val="en-US"/>
              </w:rPr>
            </w:pPr>
            <w:r w:rsidRPr="007C529B">
              <w:rPr>
                <w:color w:val="000000"/>
                <w:sz w:val="20"/>
                <w:szCs w:val="20"/>
                <w:lang w:val="en-US"/>
              </w:rPr>
              <w:t>6</w:t>
            </w:r>
          </w:p>
        </w:tc>
      </w:tr>
      <w:tr w:rsidR="000D376B" w:rsidRPr="007C529B" w14:paraId="43B83F3A" w14:textId="77777777" w:rsidTr="0051060F">
        <w:tc>
          <w:tcPr>
            <w:tcW w:w="1165" w:type="dxa"/>
            <w:shd w:val="clear" w:color="auto" w:fill="auto"/>
            <w:vAlign w:val="center"/>
            <w:hideMark/>
          </w:tcPr>
          <w:p w14:paraId="0B7A0429" w14:textId="77777777" w:rsidR="000D376B" w:rsidRPr="007C529B" w:rsidRDefault="000D376B" w:rsidP="0051060F">
            <w:pPr>
              <w:jc w:val="left"/>
              <w:rPr>
                <w:color w:val="000000"/>
                <w:sz w:val="20"/>
                <w:szCs w:val="20"/>
                <w:lang w:val="en-US"/>
              </w:rPr>
            </w:pPr>
            <w:r w:rsidRPr="007C529B">
              <w:rPr>
                <w:color w:val="000000"/>
                <w:sz w:val="20"/>
                <w:szCs w:val="20"/>
                <w:lang w:val="en-CA"/>
              </w:rPr>
              <w:t>UNIDO</w:t>
            </w:r>
          </w:p>
        </w:tc>
        <w:tc>
          <w:tcPr>
            <w:tcW w:w="2047" w:type="dxa"/>
            <w:shd w:val="clear" w:color="auto" w:fill="auto"/>
            <w:tcMar>
              <w:left w:w="115" w:type="dxa"/>
              <w:right w:w="216" w:type="dxa"/>
            </w:tcMar>
            <w:vAlign w:val="center"/>
            <w:hideMark/>
          </w:tcPr>
          <w:p w14:paraId="62FE561C" w14:textId="77777777" w:rsidR="000D376B" w:rsidRPr="007C529B" w:rsidRDefault="000D376B" w:rsidP="0051060F">
            <w:pPr>
              <w:jc w:val="right"/>
              <w:rPr>
                <w:color w:val="000000"/>
                <w:sz w:val="20"/>
                <w:szCs w:val="20"/>
                <w:lang w:val="en-US"/>
              </w:rPr>
            </w:pPr>
            <w:r w:rsidRPr="007C529B">
              <w:rPr>
                <w:color w:val="000000"/>
                <w:sz w:val="20"/>
                <w:szCs w:val="20"/>
                <w:lang w:val="en-US"/>
              </w:rPr>
              <w:t>1,030,700</w:t>
            </w:r>
          </w:p>
        </w:tc>
        <w:tc>
          <w:tcPr>
            <w:tcW w:w="2048" w:type="dxa"/>
            <w:shd w:val="clear" w:color="auto" w:fill="auto"/>
            <w:tcMar>
              <w:left w:w="115" w:type="dxa"/>
              <w:right w:w="216" w:type="dxa"/>
            </w:tcMar>
            <w:vAlign w:val="center"/>
            <w:hideMark/>
          </w:tcPr>
          <w:p w14:paraId="523A595F" w14:textId="77777777" w:rsidR="000D376B" w:rsidRPr="007C529B" w:rsidRDefault="000D376B" w:rsidP="0051060F">
            <w:pPr>
              <w:jc w:val="right"/>
              <w:rPr>
                <w:color w:val="000000"/>
                <w:sz w:val="20"/>
                <w:szCs w:val="20"/>
                <w:lang w:val="en-US"/>
              </w:rPr>
            </w:pPr>
            <w:r w:rsidRPr="007C529B">
              <w:rPr>
                <w:color w:val="000000"/>
                <w:sz w:val="20"/>
                <w:szCs w:val="20"/>
                <w:lang w:val="en-US"/>
              </w:rPr>
              <w:t>431,995</w:t>
            </w:r>
          </w:p>
        </w:tc>
        <w:tc>
          <w:tcPr>
            <w:tcW w:w="2047" w:type="dxa"/>
            <w:tcMar>
              <w:left w:w="115" w:type="dxa"/>
              <w:right w:w="216" w:type="dxa"/>
            </w:tcMar>
            <w:vAlign w:val="center"/>
          </w:tcPr>
          <w:p w14:paraId="23836C40" w14:textId="77777777" w:rsidR="000D376B" w:rsidRPr="007C529B" w:rsidRDefault="000D376B" w:rsidP="0051060F">
            <w:pPr>
              <w:jc w:val="right"/>
              <w:rPr>
                <w:color w:val="000000"/>
                <w:sz w:val="20"/>
                <w:szCs w:val="20"/>
                <w:lang w:val="en-US"/>
              </w:rPr>
            </w:pPr>
            <w:r w:rsidRPr="007C529B">
              <w:rPr>
                <w:color w:val="000000"/>
                <w:sz w:val="20"/>
                <w:szCs w:val="20"/>
                <w:lang w:val="en-US"/>
              </w:rPr>
              <w:t>598,705</w:t>
            </w:r>
          </w:p>
        </w:tc>
        <w:tc>
          <w:tcPr>
            <w:tcW w:w="2048" w:type="dxa"/>
            <w:shd w:val="clear" w:color="auto" w:fill="auto"/>
            <w:vAlign w:val="center"/>
            <w:hideMark/>
          </w:tcPr>
          <w:p w14:paraId="03DCABD2" w14:textId="77777777" w:rsidR="000D376B" w:rsidRPr="007C529B" w:rsidRDefault="000D376B" w:rsidP="0051060F">
            <w:pPr>
              <w:ind w:right="796"/>
              <w:jc w:val="right"/>
              <w:rPr>
                <w:color w:val="000000"/>
                <w:sz w:val="20"/>
                <w:szCs w:val="20"/>
                <w:lang w:val="en-US"/>
              </w:rPr>
            </w:pPr>
            <w:r w:rsidRPr="007C529B">
              <w:rPr>
                <w:color w:val="000000"/>
                <w:sz w:val="20"/>
                <w:szCs w:val="20"/>
                <w:lang w:val="en-US"/>
              </w:rPr>
              <w:t>42</w:t>
            </w:r>
          </w:p>
        </w:tc>
      </w:tr>
      <w:tr w:rsidR="000D376B" w:rsidRPr="007C529B" w14:paraId="02ECDD79" w14:textId="77777777" w:rsidTr="0051060F">
        <w:tc>
          <w:tcPr>
            <w:tcW w:w="1165" w:type="dxa"/>
            <w:shd w:val="clear" w:color="auto" w:fill="auto"/>
            <w:vAlign w:val="center"/>
            <w:hideMark/>
          </w:tcPr>
          <w:p w14:paraId="0E5E66CB" w14:textId="77777777" w:rsidR="000D376B" w:rsidRPr="007C529B" w:rsidRDefault="000D376B" w:rsidP="0051060F">
            <w:pPr>
              <w:jc w:val="left"/>
              <w:rPr>
                <w:b/>
                <w:bCs/>
                <w:color w:val="000000"/>
                <w:sz w:val="20"/>
                <w:szCs w:val="20"/>
                <w:lang w:val="en-US"/>
              </w:rPr>
            </w:pPr>
            <w:r w:rsidRPr="007C529B">
              <w:rPr>
                <w:b/>
                <w:bCs/>
                <w:color w:val="000000"/>
                <w:sz w:val="20"/>
                <w:szCs w:val="20"/>
                <w:lang w:val="en-US"/>
              </w:rPr>
              <w:t>Total</w:t>
            </w:r>
          </w:p>
        </w:tc>
        <w:tc>
          <w:tcPr>
            <w:tcW w:w="2047" w:type="dxa"/>
            <w:shd w:val="clear" w:color="auto" w:fill="auto"/>
            <w:tcMar>
              <w:left w:w="115" w:type="dxa"/>
              <w:right w:w="216" w:type="dxa"/>
            </w:tcMar>
            <w:vAlign w:val="center"/>
            <w:hideMark/>
          </w:tcPr>
          <w:p w14:paraId="569A419A" w14:textId="77777777" w:rsidR="000D376B" w:rsidRPr="007C529B" w:rsidRDefault="000D376B" w:rsidP="0051060F">
            <w:pPr>
              <w:jc w:val="right"/>
              <w:rPr>
                <w:b/>
                <w:bCs/>
                <w:color w:val="000000"/>
                <w:sz w:val="20"/>
                <w:szCs w:val="20"/>
                <w:lang w:val="en-US"/>
              </w:rPr>
            </w:pPr>
            <w:r w:rsidRPr="007C529B">
              <w:rPr>
                <w:b/>
                <w:bCs/>
                <w:color w:val="000000"/>
                <w:sz w:val="20"/>
                <w:szCs w:val="20"/>
                <w:lang w:val="en-US"/>
              </w:rPr>
              <w:t>3,394,017</w:t>
            </w:r>
          </w:p>
        </w:tc>
        <w:tc>
          <w:tcPr>
            <w:tcW w:w="2048" w:type="dxa"/>
            <w:shd w:val="clear" w:color="auto" w:fill="auto"/>
            <w:tcMar>
              <w:left w:w="115" w:type="dxa"/>
              <w:right w:w="216" w:type="dxa"/>
            </w:tcMar>
            <w:vAlign w:val="center"/>
            <w:hideMark/>
          </w:tcPr>
          <w:p w14:paraId="76D39233" w14:textId="77777777" w:rsidR="000D376B" w:rsidRPr="007C529B" w:rsidRDefault="000D376B" w:rsidP="0051060F">
            <w:pPr>
              <w:jc w:val="right"/>
              <w:rPr>
                <w:b/>
                <w:bCs/>
                <w:color w:val="000000"/>
                <w:sz w:val="20"/>
                <w:szCs w:val="20"/>
                <w:lang w:val="en-US"/>
              </w:rPr>
            </w:pPr>
            <w:r w:rsidRPr="007C529B">
              <w:rPr>
                <w:b/>
                <w:bCs/>
                <w:color w:val="000000"/>
                <w:sz w:val="20"/>
                <w:szCs w:val="20"/>
                <w:lang w:val="en-US"/>
              </w:rPr>
              <w:t>2,079,621</w:t>
            </w:r>
          </w:p>
        </w:tc>
        <w:tc>
          <w:tcPr>
            <w:tcW w:w="2047" w:type="dxa"/>
            <w:tcMar>
              <w:left w:w="115" w:type="dxa"/>
              <w:right w:w="216" w:type="dxa"/>
            </w:tcMar>
            <w:vAlign w:val="center"/>
          </w:tcPr>
          <w:p w14:paraId="2D9CA5E4" w14:textId="77777777" w:rsidR="000D376B" w:rsidRPr="007C529B" w:rsidRDefault="000D376B" w:rsidP="0051060F">
            <w:pPr>
              <w:jc w:val="right"/>
              <w:rPr>
                <w:b/>
                <w:color w:val="000000"/>
                <w:sz w:val="20"/>
                <w:szCs w:val="20"/>
                <w:lang w:val="en-US"/>
              </w:rPr>
            </w:pPr>
            <w:r w:rsidRPr="007C529B">
              <w:rPr>
                <w:b/>
                <w:bCs/>
                <w:color w:val="000000"/>
                <w:sz w:val="20"/>
                <w:szCs w:val="20"/>
              </w:rPr>
              <w:t>1,314,396</w:t>
            </w:r>
          </w:p>
        </w:tc>
        <w:tc>
          <w:tcPr>
            <w:tcW w:w="2048" w:type="dxa"/>
            <w:shd w:val="clear" w:color="auto" w:fill="auto"/>
            <w:vAlign w:val="center"/>
            <w:hideMark/>
          </w:tcPr>
          <w:p w14:paraId="6D94DCF0" w14:textId="77777777" w:rsidR="000D376B" w:rsidRPr="007C529B" w:rsidRDefault="000D376B" w:rsidP="0051060F">
            <w:pPr>
              <w:ind w:right="796"/>
              <w:jc w:val="right"/>
              <w:rPr>
                <w:b/>
                <w:color w:val="000000"/>
                <w:sz w:val="20"/>
                <w:szCs w:val="20"/>
                <w:lang w:val="en-US"/>
              </w:rPr>
            </w:pPr>
            <w:r w:rsidRPr="007C529B">
              <w:rPr>
                <w:b/>
                <w:color w:val="000000"/>
                <w:sz w:val="20"/>
                <w:szCs w:val="20"/>
                <w:lang w:val="en-US"/>
              </w:rPr>
              <w:t>61</w:t>
            </w:r>
          </w:p>
        </w:tc>
      </w:tr>
    </w:tbl>
    <w:p w14:paraId="53F92F37" w14:textId="77777777" w:rsidR="000D376B" w:rsidRDefault="000D376B" w:rsidP="000D376B">
      <w:pPr>
        <w:keepNext/>
        <w:spacing w:before="240"/>
        <w:rPr>
          <w:i/>
          <w:lang w:val="en-CA"/>
        </w:rPr>
      </w:pPr>
      <w:r>
        <w:rPr>
          <w:b/>
        </w:rPr>
        <w:lastRenderedPageBreak/>
        <w:t>Secretariat’s comments</w:t>
      </w:r>
      <w:r w:rsidRPr="00423010">
        <w:rPr>
          <w:i/>
          <w:lang w:val="en-CA"/>
        </w:rPr>
        <w:t xml:space="preserve"> </w:t>
      </w:r>
    </w:p>
    <w:p w14:paraId="19953D08" w14:textId="77777777" w:rsidR="000D376B" w:rsidRDefault="000D376B" w:rsidP="000D376B">
      <w:pPr>
        <w:keepNext/>
        <w:rPr>
          <w:i/>
          <w:lang w:val="en-CA"/>
        </w:rPr>
      </w:pPr>
    </w:p>
    <w:p w14:paraId="0D53238B" w14:textId="77777777" w:rsidR="000D376B" w:rsidRDefault="000D376B" w:rsidP="000D376B">
      <w:pPr>
        <w:keepNext/>
        <w:rPr>
          <w:i/>
          <w:lang w:val="en-CA"/>
        </w:rPr>
      </w:pPr>
      <w:r>
        <w:rPr>
          <w:i/>
          <w:lang w:val="en-CA"/>
        </w:rPr>
        <w:t>PU foam manufacturing sector</w:t>
      </w:r>
    </w:p>
    <w:p w14:paraId="4987317C" w14:textId="77777777" w:rsidR="000D376B" w:rsidRPr="00F049D6" w:rsidRDefault="000D376B" w:rsidP="000D376B">
      <w:pPr>
        <w:keepNext/>
        <w:rPr>
          <w:i/>
          <w:lang w:val="en-CA"/>
        </w:rPr>
      </w:pPr>
    </w:p>
    <w:p w14:paraId="62823F68" w14:textId="77777777" w:rsidR="000D376B" w:rsidRPr="00576655" w:rsidRDefault="000D376B" w:rsidP="000D376B">
      <w:pPr>
        <w:pStyle w:val="Heading1"/>
      </w:pPr>
      <w:r w:rsidRPr="00576655">
        <w:t xml:space="preserve">Upon request for clarification on the cancellation of the individual project for </w:t>
      </w:r>
      <w:proofErr w:type="spellStart"/>
      <w:r w:rsidRPr="00576655">
        <w:t>Superfrigo</w:t>
      </w:r>
      <w:proofErr w:type="spellEnd"/>
      <w:r w:rsidRPr="00576655">
        <w:t>, UNDP explained that the enterprise has converted to an HFC-based PU system (i.e., HFC-365mfc blend (93 per cent) with HFC-227ea (7 per cent)), and confirmed that the funds associated with this enterprise (US $103,201) will be returned by the 89</w:t>
      </w:r>
      <w:r w:rsidRPr="00576655">
        <w:rPr>
          <w:vertAlign w:val="superscript"/>
        </w:rPr>
        <w:t>th</w:t>
      </w:r>
      <w:r w:rsidRPr="00576655">
        <w:t xml:space="preserve"> meeting. </w:t>
      </w:r>
    </w:p>
    <w:p w14:paraId="39C75F0F" w14:textId="77777777" w:rsidR="000D376B" w:rsidRPr="00F049D6" w:rsidRDefault="000D376B" w:rsidP="000D376B">
      <w:pPr>
        <w:pStyle w:val="Heading1"/>
      </w:pPr>
      <w:r w:rsidRPr="00F049D6">
        <w:t xml:space="preserve">UNDP also confirmed that the group project for </w:t>
      </w:r>
      <w:proofErr w:type="spellStart"/>
      <w:r w:rsidRPr="00F049D6">
        <w:t>Ixom</w:t>
      </w:r>
      <w:proofErr w:type="spellEnd"/>
      <w:r w:rsidRPr="00F049D6">
        <w:t xml:space="preserve"> will be completed </w:t>
      </w:r>
      <w:r>
        <w:t>no later than</w:t>
      </w:r>
      <w:r w:rsidRPr="00F049D6">
        <w:t xml:space="preserve"> </w:t>
      </w:r>
      <w:r>
        <w:t>31 </w:t>
      </w:r>
      <w:r w:rsidRPr="00F049D6">
        <w:t>December</w:t>
      </w:r>
      <w:r>
        <w:t> </w:t>
      </w:r>
      <w:r w:rsidRPr="00F049D6">
        <w:t>2021.</w:t>
      </w:r>
    </w:p>
    <w:p w14:paraId="309699F7" w14:textId="77777777" w:rsidR="000D376B" w:rsidRDefault="000D376B" w:rsidP="000D376B">
      <w:pPr>
        <w:keepNext/>
        <w:keepLines/>
        <w:rPr>
          <w:i/>
          <w:lang w:val="en-CA"/>
        </w:rPr>
      </w:pPr>
      <w:r>
        <w:rPr>
          <w:i/>
          <w:lang w:val="en-CA"/>
        </w:rPr>
        <w:t>Refrigeration servicing sector</w:t>
      </w:r>
    </w:p>
    <w:p w14:paraId="1C9D7891" w14:textId="77777777" w:rsidR="000D376B" w:rsidRDefault="000D376B" w:rsidP="000D376B">
      <w:pPr>
        <w:keepNext/>
        <w:keepLines/>
        <w:rPr>
          <w:lang w:val="en-CA"/>
        </w:rPr>
      </w:pPr>
    </w:p>
    <w:p w14:paraId="6027125D" w14:textId="77777777" w:rsidR="000D376B" w:rsidRPr="00F049D6" w:rsidRDefault="000D376B" w:rsidP="000D376B">
      <w:pPr>
        <w:pStyle w:val="Heading1"/>
        <w:keepNext/>
        <w:keepLines/>
      </w:pPr>
      <w:r w:rsidRPr="00F049D6">
        <w:t>In clarifying the expected</w:t>
      </w:r>
      <w:r>
        <w:t xml:space="preserve"> date of the</w:t>
      </w:r>
      <w:r w:rsidRPr="00F049D6">
        <w:t xml:space="preserve"> establishment of the recovery and recycling centres which may not be until early 2022, UNDP explained that it is doing its utmost to ensure that the equipment will be in place </w:t>
      </w:r>
      <w:r>
        <w:t>earlier</w:t>
      </w:r>
      <w:r w:rsidRPr="00F049D6">
        <w:t xml:space="preserve"> so that these centres will be operational before the end of the year; the later date </w:t>
      </w:r>
      <w:r>
        <w:t xml:space="preserve">was </w:t>
      </w:r>
      <w:r w:rsidRPr="00F049D6">
        <w:t xml:space="preserve">indicated in case delays are experienced in the procurement and distribution process. </w:t>
      </w:r>
    </w:p>
    <w:p w14:paraId="55F862C2" w14:textId="77777777" w:rsidR="000D376B" w:rsidRDefault="000D376B" w:rsidP="000D376B">
      <w:pPr>
        <w:spacing w:after="240"/>
        <w:jc w:val="left"/>
        <w:rPr>
          <w:b/>
        </w:rPr>
      </w:pPr>
      <w:r>
        <w:rPr>
          <w:b/>
        </w:rPr>
        <w:t>Recommendation</w:t>
      </w:r>
    </w:p>
    <w:p w14:paraId="34F198AD" w14:textId="77777777" w:rsidR="000D376B" w:rsidRDefault="000D376B" w:rsidP="000D376B">
      <w:pPr>
        <w:pStyle w:val="Heading1"/>
        <w:jc w:val="left"/>
      </w:pPr>
      <w:r>
        <w:t>The Executive Committee may wish:</w:t>
      </w:r>
    </w:p>
    <w:p w14:paraId="337AE36A" w14:textId="77777777" w:rsidR="000D376B" w:rsidRPr="00DF5D20" w:rsidRDefault="000D376B" w:rsidP="000D376B">
      <w:pPr>
        <w:pStyle w:val="Heading2"/>
        <w:rPr>
          <w:i/>
        </w:rPr>
      </w:pPr>
      <w:r>
        <w:t>To note the annual progress report on the implementation of the third and final tranche of stage II of the HCFC phase</w:t>
      </w:r>
      <w:r>
        <w:noBreakHyphen/>
        <w:t>out management plan (HPMP)</w:t>
      </w:r>
      <w:r w:rsidRPr="00263B25">
        <w:t xml:space="preserve"> </w:t>
      </w:r>
      <w:r>
        <w:t xml:space="preserve">for Chile </w:t>
      </w:r>
      <w:r w:rsidRPr="00DF5D20">
        <w:t xml:space="preserve">and the </w:t>
      </w:r>
      <w:r w:rsidRPr="00DF5D20">
        <w:rPr>
          <w:lang w:val="en-CA"/>
        </w:rPr>
        <w:t>verification report on HCFC consumption for 2019 to 2020</w:t>
      </w:r>
      <w:r>
        <w:rPr>
          <w:lang w:val="en-CA"/>
        </w:rPr>
        <w:t xml:space="preserve"> </w:t>
      </w:r>
      <w:r>
        <w:t>submitted by UNDP, contained in document UNEP/OzL.Pro/ExCom/87/9;</w:t>
      </w:r>
    </w:p>
    <w:p w14:paraId="0C7326B0" w14:textId="77777777" w:rsidR="000D376B" w:rsidRPr="00DF5D20" w:rsidRDefault="000D376B" w:rsidP="000D376B">
      <w:pPr>
        <w:pStyle w:val="Heading2"/>
        <w:rPr>
          <w:lang w:val="en-CA"/>
        </w:rPr>
      </w:pPr>
      <w:r w:rsidRPr="00DF5D20">
        <w:rPr>
          <w:lang w:val="en-US"/>
        </w:rPr>
        <w:t xml:space="preserve">To note that the enterprise </w:t>
      </w:r>
      <w:proofErr w:type="spellStart"/>
      <w:r w:rsidRPr="00DF5D20">
        <w:rPr>
          <w:lang w:val="en-US"/>
        </w:rPr>
        <w:t>Superfrigo</w:t>
      </w:r>
      <w:proofErr w:type="spellEnd"/>
      <w:r w:rsidRPr="00DF5D20">
        <w:rPr>
          <w:lang w:val="en-US"/>
        </w:rPr>
        <w:t xml:space="preserve"> ha</w:t>
      </w:r>
      <w:r>
        <w:rPr>
          <w:lang w:val="en-US"/>
        </w:rPr>
        <w:t>s</w:t>
      </w:r>
      <w:r w:rsidRPr="00DF5D20">
        <w:rPr>
          <w:lang w:val="en-US"/>
        </w:rPr>
        <w:t xml:space="preserve"> opted </w:t>
      </w:r>
      <w:r>
        <w:rPr>
          <w:lang w:val="en-US"/>
        </w:rPr>
        <w:t xml:space="preserve">not </w:t>
      </w:r>
      <w:r w:rsidRPr="00DF5D20">
        <w:rPr>
          <w:lang w:val="en-US"/>
        </w:rPr>
        <w:t xml:space="preserve">to participate in stage II of the HPMP and that the approved funds of </w:t>
      </w:r>
      <w:r>
        <w:rPr>
          <w:lang w:val="en-US"/>
        </w:rPr>
        <w:t>US $</w:t>
      </w:r>
      <w:r w:rsidRPr="00DF5D20">
        <w:rPr>
          <w:lang w:val="en-US"/>
        </w:rPr>
        <w:t>103,210 associated with this enterprise</w:t>
      </w:r>
      <w:r>
        <w:rPr>
          <w:lang w:val="en-US"/>
        </w:rPr>
        <w:t>,</w:t>
      </w:r>
      <w:r w:rsidRPr="00DF5D20">
        <w:rPr>
          <w:lang w:val="en-US"/>
        </w:rPr>
        <w:t xml:space="preserve"> plus </w:t>
      </w:r>
      <w:r>
        <w:rPr>
          <w:lang w:val="en-US"/>
        </w:rPr>
        <w:t xml:space="preserve">agency </w:t>
      </w:r>
      <w:r w:rsidRPr="00DF5D20">
        <w:rPr>
          <w:lang w:val="en-US"/>
        </w:rPr>
        <w:t>support costs</w:t>
      </w:r>
      <w:r>
        <w:rPr>
          <w:lang w:val="en-US"/>
        </w:rPr>
        <w:t xml:space="preserve"> of US $7,225</w:t>
      </w:r>
      <w:r w:rsidRPr="00DF5D20">
        <w:rPr>
          <w:lang w:val="en-US"/>
        </w:rPr>
        <w:t xml:space="preserve"> </w:t>
      </w:r>
      <w:r w:rsidRPr="005962FA">
        <w:rPr>
          <w:lang w:val="en-US"/>
        </w:rPr>
        <w:t xml:space="preserve">will be returned to the Fund </w:t>
      </w:r>
      <w:r w:rsidRPr="0097739C">
        <w:rPr>
          <w:lang w:val="en-US"/>
        </w:rPr>
        <w:t>by UNDP no later than</w:t>
      </w:r>
      <w:r w:rsidRPr="00EB57B8">
        <w:rPr>
          <w:lang w:val="en-US"/>
        </w:rPr>
        <w:t xml:space="preserve"> the 89</w:t>
      </w:r>
      <w:r w:rsidRPr="0097739C">
        <w:rPr>
          <w:vertAlign w:val="superscript"/>
          <w:lang w:val="en-US"/>
        </w:rPr>
        <w:t>th</w:t>
      </w:r>
      <w:r>
        <w:rPr>
          <w:lang w:val="en-US"/>
        </w:rPr>
        <w:t> </w:t>
      </w:r>
      <w:r w:rsidRPr="0097739C">
        <w:rPr>
          <w:lang w:val="en-US"/>
        </w:rPr>
        <w:t>meeting</w:t>
      </w:r>
      <w:r w:rsidRPr="00DF5D20">
        <w:rPr>
          <w:lang w:val="en-US"/>
        </w:rPr>
        <w:t>; and</w:t>
      </w:r>
    </w:p>
    <w:p w14:paraId="389FE4DC" w14:textId="77777777" w:rsidR="000D376B" w:rsidRPr="009D23E3" w:rsidRDefault="000D376B" w:rsidP="000D376B">
      <w:pPr>
        <w:pStyle w:val="Heading2"/>
        <w:rPr>
          <w:lang w:val="en-CA"/>
        </w:rPr>
      </w:pPr>
      <w:r>
        <w:rPr>
          <w:lang w:val="en-CA"/>
        </w:rPr>
        <w:t>To r</w:t>
      </w:r>
      <w:r w:rsidRPr="009D23E3">
        <w:rPr>
          <w:lang w:val="en-CA"/>
        </w:rPr>
        <w:t xml:space="preserve">equest the Government of Chile, through UNDP as lead implementing agency, to submit progress reports on a yearly basis on the implementation of the work programme associated with the final tranche until the completion of the project, verification reports until approval of stage III, and the project completion report to the first meeting in 2023. </w:t>
      </w:r>
    </w:p>
    <w:p w14:paraId="691BAB3A" w14:textId="77777777" w:rsidR="009C7B62" w:rsidRPr="00E15EDD" w:rsidRDefault="009C7B62" w:rsidP="009C7B62">
      <w:pPr>
        <w:pStyle w:val="Heading1"/>
        <w:numPr>
          <w:ilvl w:val="0"/>
          <w:numId w:val="0"/>
        </w:numPr>
        <w:rPr>
          <w:u w:val="single"/>
          <w:lang w:val="en-CA"/>
        </w:rPr>
      </w:pPr>
      <w:r w:rsidRPr="00E15EDD">
        <w:rPr>
          <w:u w:val="single"/>
          <w:lang w:val="en-CA"/>
        </w:rPr>
        <w:t>Côte d’Ivoire: HCFC phase-out management plan (stage I – report on the adoption of the inter-ministerial decree (“</w:t>
      </w:r>
      <w:proofErr w:type="spellStart"/>
      <w:r w:rsidRPr="00E15EDD">
        <w:rPr>
          <w:u w:val="single"/>
          <w:lang w:val="en-CA"/>
        </w:rPr>
        <w:t>arrêté</w:t>
      </w:r>
      <w:proofErr w:type="spellEnd"/>
      <w:r w:rsidRPr="00E15EDD">
        <w:rPr>
          <w:u w:val="single"/>
          <w:lang w:val="en-CA"/>
        </w:rPr>
        <w:t xml:space="preserve"> </w:t>
      </w:r>
      <w:proofErr w:type="spellStart"/>
      <w:r w:rsidRPr="00E15EDD">
        <w:rPr>
          <w:u w:val="single"/>
          <w:lang w:val="en-CA"/>
        </w:rPr>
        <w:t>interministériel</w:t>
      </w:r>
      <w:proofErr w:type="spellEnd"/>
      <w:r w:rsidRPr="00E15EDD">
        <w:rPr>
          <w:u w:val="single"/>
          <w:lang w:val="en-CA"/>
        </w:rPr>
        <w:t>”) for regulating import, export, transit, re-export and trade of ODS, and other measures on strengthening monitoring and reporting systems relating to HCFC import and export)</w:t>
      </w:r>
      <w:r w:rsidRPr="00E15EDD">
        <w:rPr>
          <w:lang w:val="en-CA"/>
        </w:rPr>
        <w:t xml:space="preserve"> (UNEP)</w:t>
      </w:r>
    </w:p>
    <w:p w14:paraId="6584D212" w14:textId="77777777" w:rsidR="009C7B62" w:rsidRPr="00E15EDD" w:rsidRDefault="009C7B62" w:rsidP="009C7B62">
      <w:pPr>
        <w:pStyle w:val="Heading1"/>
        <w:numPr>
          <w:ilvl w:val="0"/>
          <w:numId w:val="0"/>
        </w:numPr>
        <w:rPr>
          <w:b/>
          <w:lang w:val="en-CA"/>
        </w:rPr>
      </w:pPr>
      <w:r w:rsidRPr="00E15EDD">
        <w:rPr>
          <w:b/>
          <w:lang w:val="en-CA"/>
        </w:rPr>
        <w:t>Background</w:t>
      </w:r>
    </w:p>
    <w:p w14:paraId="337BDC00" w14:textId="77777777" w:rsidR="009C7B62" w:rsidRPr="00E15EDD" w:rsidRDefault="009C7B62" w:rsidP="009C7B62">
      <w:pPr>
        <w:pStyle w:val="Heading1"/>
        <w:rPr>
          <w:lang w:val="en-CA"/>
        </w:rPr>
      </w:pPr>
      <w:r w:rsidRPr="00E15EDD">
        <w:rPr>
          <w:lang w:val="en-CA"/>
        </w:rPr>
        <w:t>At its 84</w:t>
      </w:r>
      <w:r w:rsidRPr="00E15EDD">
        <w:rPr>
          <w:vertAlign w:val="superscript"/>
          <w:lang w:val="en-CA"/>
        </w:rPr>
        <w:t>th</w:t>
      </w:r>
      <w:r w:rsidRPr="00E15EDD">
        <w:rPr>
          <w:lang w:val="en-CA"/>
        </w:rPr>
        <w:t> meeting, in approving the third tranche of stage I of the HPMP for Côte d’Ivoire, the Executive Committee requested the Government and UNEP to implement the measures recommended in the verification report submitted to the 84</w:t>
      </w:r>
      <w:r w:rsidRPr="00E15EDD">
        <w:rPr>
          <w:vertAlign w:val="superscript"/>
          <w:lang w:val="en-CA"/>
        </w:rPr>
        <w:t>th</w:t>
      </w:r>
      <w:r w:rsidRPr="00E15EDD">
        <w:rPr>
          <w:lang w:val="en-CA"/>
        </w:rPr>
        <w:t> meeting and to report, through UNEP, at the 86</w:t>
      </w:r>
      <w:r w:rsidRPr="00E15EDD">
        <w:rPr>
          <w:vertAlign w:val="superscript"/>
          <w:lang w:val="en-CA"/>
        </w:rPr>
        <w:t>th</w:t>
      </w:r>
      <w:r w:rsidRPr="00E15EDD">
        <w:rPr>
          <w:lang w:val="en-CA"/>
        </w:rPr>
        <w:t> meeting, on the adoption of the inter-ministerial decree (“</w:t>
      </w:r>
      <w:proofErr w:type="spellStart"/>
      <w:r w:rsidRPr="00E15EDD">
        <w:rPr>
          <w:lang w:val="en-CA"/>
        </w:rPr>
        <w:t>arrêté</w:t>
      </w:r>
      <w:proofErr w:type="spellEnd"/>
      <w:r w:rsidRPr="00E15EDD">
        <w:rPr>
          <w:lang w:val="en-CA"/>
        </w:rPr>
        <w:t xml:space="preserve"> </w:t>
      </w:r>
      <w:proofErr w:type="spellStart"/>
      <w:r w:rsidRPr="00E15EDD">
        <w:rPr>
          <w:lang w:val="en-CA"/>
        </w:rPr>
        <w:t>interministériel</w:t>
      </w:r>
      <w:proofErr w:type="spellEnd"/>
      <w:r w:rsidRPr="00E15EDD">
        <w:rPr>
          <w:lang w:val="en-CA"/>
        </w:rPr>
        <w:t>”) for regulating import, export, transit, re-export and trade of ODS, and other measures on strengthening monitoring and reporting systems relating to HCFC import and export (decision 84/71(e)).</w:t>
      </w:r>
    </w:p>
    <w:p w14:paraId="31B3AF36" w14:textId="77777777" w:rsidR="009C7B62" w:rsidRPr="00E15EDD" w:rsidRDefault="009C7B62" w:rsidP="009C7B62">
      <w:pPr>
        <w:pStyle w:val="Heading1"/>
        <w:rPr>
          <w:lang w:val="en-CA"/>
        </w:rPr>
      </w:pPr>
      <w:r w:rsidRPr="00E15EDD">
        <w:rPr>
          <w:lang w:val="en-CA"/>
        </w:rPr>
        <w:lastRenderedPageBreak/>
        <w:t>In line with decision 84/71(e), at the 86</w:t>
      </w:r>
      <w:r w:rsidRPr="00E15EDD">
        <w:rPr>
          <w:vertAlign w:val="superscript"/>
          <w:lang w:val="en-CA"/>
        </w:rPr>
        <w:t>th</w:t>
      </w:r>
      <w:r w:rsidRPr="00E15EDD">
        <w:rPr>
          <w:lang w:val="en-CA"/>
        </w:rPr>
        <w:t xml:space="preserve"> meeting, UNEP reported that the “</w:t>
      </w:r>
      <w:proofErr w:type="spellStart"/>
      <w:r w:rsidRPr="00E15EDD">
        <w:rPr>
          <w:lang w:val="en-CA"/>
        </w:rPr>
        <w:t>arrêté</w:t>
      </w:r>
      <w:proofErr w:type="spellEnd"/>
      <w:r w:rsidRPr="00E15EDD">
        <w:rPr>
          <w:lang w:val="en-CA"/>
        </w:rPr>
        <w:t xml:space="preserve"> </w:t>
      </w:r>
      <w:proofErr w:type="spellStart"/>
      <w:r w:rsidRPr="00E15EDD">
        <w:rPr>
          <w:lang w:val="en-CA"/>
        </w:rPr>
        <w:t>interministériel</w:t>
      </w:r>
      <w:proofErr w:type="spellEnd"/>
      <w:r w:rsidRPr="00E15EDD">
        <w:rPr>
          <w:lang w:val="en-CA"/>
        </w:rPr>
        <w:t>” was approved by the National Ozone Committee in January 2020, and signed by the Minister of Environment and Sustainable Development and the Minister of Commerce and Industry in April 2020; however, it was awaiting the signature of the Minister of Economy and Finance. Only when the “</w:t>
      </w:r>
      <w:proofErr w:type="spellStart"/>
      <w:r w:rsidRPr="00E15EDD">
        <w:rPr>
          <w:lang w:val="en-CA"/>
        </w:rPr>
        <w:t>arrêté</w:t>
      </w:r>
      <w:proofErr w:type="spellEnd"/>
      <w:r w:rsidRPr="00E15EDD">
        <w:rPr>
          <w:lang w:val="en-CA"/>
        </w:rPr>
        <w:t xml:space="preserve"> </w:t>
      </w:r>
      <w:proofErr w:type="spellStart"/>
      <w:r w:rsidRPr="00E15EDD">
        <w:rPr>
          <w:lang w:val="en-CA"/>
        </w:rPr>
        <w:t>interministériel</w:t>
      </w:r>
      <w:proofErr w:type="spellEnd"/>
      <w:r w:rsidRPr="00E15EDD">
        <w:rPr>
          <w:lang w:val="en-CA"/>
        </w:rPr>
        <w:t>” was signed by all relevant Ministers, the Prime Minister would be able to promulgate it. Unfortunately, the Prime Minister of Côte d’Ivoire passed away in July 2020 and a new Cabinet, including a new Minister of Finance, has just been in place; in view of this, the process of signing the inter</w:t>
      </w:r>
      <w:r w:rsidRPr="00E15EDD">
        <w:rPr>
          <w:lang w:val="en-CA"/>
        </w:rPr>
        <w:noBreakHyphen/>
        <w:t xml:space="preserve">ministerial decree had been delayed. </w:t>
      </w:r>
    </w:p>
    <w:p w14:paraId="555581D5" w14:textId="77777777" w:rsidR="009C7B62" w:rsidRPr="00E15EDD" w:rsidRDefault="009C7B62" w:rsidP="009C7B62">
      <w:pPr>
        <w:pStyle w:val="Heading1"/>
        <w:rPr>
          <w:lang w:val="en-CA"/>
        </w:rPr>
      </w:pPr>
      <w:r w:rsidRPr="00E15EDD">
        <w:rPr>
          <w:lang w:val="en-CA"/>
        </w:rPr>
        <w:t>With regard to the implementation of the recommendations in the verification report, UNEP provided information on the actions that have been implemented by the Government for monitoring sales of refrigerants, the designation of Ozone Focal Point by the Ministry of Commerce and Industry, procedures for authorizing imports of ODS, actions taken for monitoring the quality of refrigerants in the market, and responsibilities of retailers to keep records of all refrigerants that they buy and use. Further, UNEP provided additional information relating to training and meetings held for controlling and monitoring data on HCFCs and HFCs.</w:t>
      </w:r>
    </w:p>
    <w:p w14:paraId="4C62B2B4" w14:textId="77777777" w:rsidR="009C7B62" w:rsidRPr="00E15EDD" w:rsidRDefault="009C7B62" w:rsidP="009C7B62">
      <w:pPr>
        <w:pStyle w:val="Heading1"/>
        <w:rPr>
          <w:lang w:val="en-CA"/>
        </w:rPr>
      </w:pPr>
      <w:r w:rsidRPr="00E15EDD">
        <w:rPr>
          <w:lang w:val="en-CA"/>
        </w:rPr>
        <w:t>Subsequently, the Executive Committee took note of the report and requested the Government of Côte d’Ivoire to provide an update, through UNEP, at the 87</w:t>
      </w:r>
      <w:r w:rsidRPr="00E15EDD">
        <w:rPr>
          <w:vertAlign w:val="superscript"/>
          <w:lang w:val="en-CA"/>
        </w:rPr>
        <w:t>th</w:t>
      </w:r>
      <w:r w:rsidRPr="00E15EDD">
        <w:rPr>
          <w:lang w:val="en-CA"/>
        </w:rPr>
        <w:t> meeting, on the adoption of the “</w:t>
      </w:r>
      <w:proofErr w:type="spellStart"/>
      <w:r w:rsidRPr="00E15EDD">
        <w:rPr>
          <w:lang w:val="en-CA"/>
        </w:rPr>
        <w:t>arrêté</w:t>
      </w:r>
      <w:proofErr w:type="spellEnd"/>
      <w:r w:rsidRPr="00E15EDD">
        <w:rPr>
          <w:lang w:val="en-CA"/>
        </w:rPr>
        <w:t xml:space="preserve"> </w:t>
      </w:r>
      <w:proofErr w:type="spellStart"/>
      <w:r w:rsidRPr="00E15EDD">
        <w:rPr>
          <w:lang w:val="en-CA"/>
        </w:rPr>
        <w:t>interministériel</w:t>
      </w:r>
      <w:proofErr w:type="spellEnd"/>
      <w:r w:rsidRPr="00E15EDD">
        <w:rPr>
          <w:lang w:val="en-CA"/>
        </w:rPr>
        <w:t>” for regulating import, export, transit, re-export and trade of ODS (</w:t>
      </w:r>
      <w:r w:rsidR="00310DCC">
        <w:rPr>
          <w:lang w:val="en-CA"/>
        </w:rPr>
        <w:t>decision 86/23(b)</w:t>
      </w:r>
      <w:r w:rsidRPr="00E15EDD">
        <w:rPr>
          <w:lang w:val="en-CA"/>
        </w:rPr>
        <w:t>).</w:t>
      </w:r>
    </w:p>
    <w:p w14:paraId="016E7391" w14:textId="77777777" w:rsidR="009C7B62" w:rsidRPr="00E15EDD" w:rsidRDefault="009C7B62" w:rsidP="009C7B62">
      <w:pPr>
        <w:rPr>
          <w:b/>
          <w:bCs/>
          <w:lang w:val="en-CA"/>
        </w:rPr>
      </w:pPr>
      <w:r w:rsidRPr="00E15EDD">
        <w:rPr>
          <w:b/>
          <w:bCs/>
          <w:lang w:val="en-CA"/>
        </w:rPr>
        <w:t>87</w:t>
      </w:r>
      <w:r w:rsidRPr="00E15EDD">
        <w:rPr>
          <w:b/>
          <w:bCs/>
          <w:vertAlign w:val="superscript"/>
          <w:lang w:val="en-CA"/>
        </w:rPr>
        <w:t>th</w:t>
      </w:r>
      <w:r w:rsidRPr="00E15EDD">
        <w:rPr>
          <w:b/>
          <w:bCs/>
          <w:lang w:val="en-CA"/>
        </w:rPr>
        <w:t xml:space="preserve"> meeting</w:t>
      </w:r>
    </w:p>
    <w:p w14:paraId="055442CB" w14:textId="77777777" w:rsidR="009C7B62" w:rsidRPr="00E15EDD" w:rsidRDefault="009C7B62" w:rsidP="009C7B62">
      <w:pPr>
        <w:rPr>
          <w:lang w:val="en-CA"/>
        </w:rPr>
      </w:pPr>
    </w:p>
    <w:p w14:paraId="0C93134F" w14:textId="77777777" w:rsidR="009C7B62" w:rsidRPr="00E15EDD" w:rsidRDefault="009C7B62" w:rsidP="009C7B62">
      <w:pPr>
        <w:pStyle w:val="Heading1"/>
        <w:rPr>
          <w:lang w:val="en-CA"/>
        </w:rPr>
      </w:pPr>
      <w:r w:rsidRPr="00E15EDD">
        <w:rPr>
          <w:lang w:val="en-CA"/>
        </w:rPr>
        <w:t>In its report to the 87</w:t>
      </w:r>
      <w:r w:rsidRPr="00E15EDD">
        <w:rPr>
          <w:vertAlign w:val="superscript"/>
          <w:lang w:val="en-CA"/>
        </w:rPr>
        <w:t>th</w:t>
      </w:r>
      <w:r w:rsidRPr="00E15EDD">
        <w:rPr>
          <w:lang w:val="en-CA"/>
        </w:rPr>
        <w:t xml:space="preserve"> meeting, UNEP explained that due to the Government reshuffle, the process of signing the “</w:t>
      </w:r>
      <w:proofErr w:type="spellStart"/>
      <w:r w:rsidRPr="00E15EDD">
        <w:rPr>
          <w:lang w:val="en-CA"/>
        </w:rPr>
        <w:t>arrêté</w:t>
      </w:r>
      <w:proofErr w:type="spellEnd"/>
      <w:r w:rsidRPr="00E15EDD">
        <w:rPr>
          <w:lang w:val="en-CA"/>
        </w:rPr>
        <w:t xml:space="preserve"> </w:t>
      </w:r>
      <w:proofErr w:type="spellStart"/>
      <w:r w:rsidRPr="00E15EDD">
        <w:rPr>
          <w:lang w:val="en-CA"/>
        </w:rPr>
        <w:t>interministériel</w:t>
      </w:r>
      <w:proofErr w:type="spellEnd"/>
      <w:r w:rsidRPr="00E15EDD">
        <w:rPr>
          <w:lang w:val="en-CA"/>
        </w:rPr>
        <w:t>” by the four Ministers has to be undertaken again. As of 15 May 2021, only the Minister in charge of the Environment has signed the “</w:t>
      </w:r>
      <w:proofErr w:type="spellStart"/>
      <w:r w:rsidRPr="00E15EDD">
        <w:rPr>
          <w:lang w:val="en-CA"/>
        </w:rPr>
        <w:t>arrêté</w:t>
      </w:r>
      <w:proofErr w:type="spellEnd"/>
      <w:r w:rsidRPr="00E15EDD">
        <w:rPr>
          <w:lang w:val="en-CA"/>
        </w:rPr>
        <w:t xml:space="preserve">”, the other three Ministers (i.e., Minister of Budget and State Portfolio, Minister of Commerce and Industry, and Minister of Economy and Finance) are expected to sign it by 30 October 2021. </w:t>
      </w:r>
    </w:p>
    <w:p w14:paraId="01586719" w14:textId="77777777" w:rsidR="009C7B62" w:rsidRPr="00E15EDD" w:rsidRDefault="009C7B62" w:rsidP="009C7B62">
      <w:pPr>
        <w:pStyle w:val="Heading1"/>
        <w:rPr>
          <w:lang w:val="en-CA"/>
        </w:rPr>
      </w:pPr>
      <w:r w:rsidRPr="00E15EDD">
        <w:rPr>
          <w:lang w:val="en-CA"/>
        </w:rPr>
        <w:t>UNEP would continue following up with the Government and keep the Executive Committee updated on this matter.</w:t>
      </w:r>
    </w:p>
    <w:p w14:paraId="3777D06D" w14:textId="77777777" w:rsidR="009C7B62" w:rsidRPr="00E15EDD" w:rsidRDefault="009C7B62" w:rsidP="009C7B62">
      <w:pPr>
        <w:keepNext/>
        <w:rPr>
          <w:b/>
          <w:lang w:val="en-CA"/>
        </w:rPr>
      </w:pPr>
      <w:r w:rsidRPr="00E15EDD">
        <w:rPr>
          <w:b/>
          <w:lang w:val="en-CA"/>
        </w:rPr>
        <w:t>Secretariat’s comments</w:t>
      </w:r>
    </w:p>
    <w:p w14:paraId="0A83C74A" w14:textId="77777777" w:rsidR="009C7B62" w:rsidRPr="00E15EDD" w:rsidRDefault="009C7B62" w:rsidP="009C7B62">
      <w:pPr>
        <w:keepNext/>
        <w:rPr>
          <w:lang w:val="en-CA"/>
        </w:rPr>
      </w:pPr>
    </w:p>
    <w:p w14:paraId="7C81234B" w14:textId="77777777" w:rsidR="009C7B62" w:rsidRPr="00E15EDD" w:rsidRDefault="009C7B62" w:rsidP="009C7B62">
      <w:pPr>
        <w:pStyle w:val="Heading1"/>
        <w:rPr>
          <w:sz w:val="24"/>
          <w:szCs w:val="24"/>
          <w:lang w:val="en-CA"/>
        </w:rPr>
      </w:pPr>
      <w:r w:rsidRPr="00E15EDD">
        <w:t>Based on the information provided by UNEP, the Secretariat notes that although the “</w:t>
      </w:r>
      <w:proofErr w:type="spellStart"/>
      <w:r w:rsidRPr="00E15EDD">
        <w:rPr>
          <w:lang w:val="en-CA"/>
        </w:rPr>
        <w:t>arrêté</w:t>
      </w:r>
      <w:proofErr w:type="spellEnd"/>
      <w:r w:rsidRPr="00E15EDD">
        <w:rPr>
          <w:lang w:val="en-CA"/>
        </w:rPr>
        <w:t>”</w:t>
      </w:r>
      <w:r w:rsidRPr="00E15EDD">
        <w:t xml:space="preserve"> is yet to be signed, the NOU under the guidance of the National Ozone Committee continues taking steps for strengthening implementation and monitoring of the ODS import/export reporting systems; the related activities are also being implemented and monitored by the National Ozone Committee and the NOU. </w:t>
      </w:r>
    </w:p>
    <w:p w14:paraId="0133E40B" w14:textId="77777777" w:rsidR="009C7B62" w:rsidRPr="00E15EDD" w:rsidRDefault="009C7B62" w:rsidP="009C7B62">
      <w:pPr>
        <w:rPr>
          <w:b/>
          <w:lang w:val="en-CA"/>
        </w:rPr>
      </w:pPr>
      <w:r w:rsidRPr="00E15EDD">
        <w:rPr>
          <w:b/>
          <w:lang w:val="en-CA"/>
        </w:rPr>
        <w:t>Recommendation</w:t>
      </w:r>
    </w:p>
    <w:p w14:paraId="3EC02DC6" w14:textId="77777777" w:rsidR="009C7B62" w:rsidRPr="00E15EDD" w:rsidRDefault="009C7B62" w:rsidP="009C7B62">
      <w:pPr>
        <w:pStyle w:val="Heading1"/>
        <w:numPr>
          <w:ilvl w:val="0"/>
          <w:numId w:val="0"/>
        </w:numPr>
        <w:spacing w:after="0"/>
        <w:rPr>
          <w:lang w:val="en-CA"/>
        </w:rPr>
      </w:pPr>
    </w:p>
    <w:p w14:paraId="6DA8CC1C" w14:textId="77777777" w:rsidR="009C7B62" w:rsidRPr="00E15EDD" w:rsidRDefault="009C7B62" w:rsidP="009C7B62">
      <w:pPr>
        <w:pStyle w:val="Heading1"/>
        <w:rPr>
          <w:lang w:val="en-CA"/>
        </w:rPr>
      </w:pPr>
      <w:r w:rsidRPr="00E15EDD">
        <w:rPr>
          <w:lang w:val="en-CA"/>
        </w:rPr>
        <w:t>The Executive Committee may wish:</w:t>
      </w:r>
    </w:p>
    <w:p w14:paraId="7FAB48E7" w14:textId="77777777" w:rsidR="009C7B62" w:rsidRPr="001A579F" w:rsidRDefault="009C7B62" w:rsidP="009C7B62">
      <w:pPr>
        <w:pStyle w:val="Heading2"/>
        <w:rPr>
          <w:lang w:val="en-CA"/>
        </w:rPr>
      </w:pPr>
      <w:r w:rsidRPr="00E15EDD">
        <w:rPr>
          <w:lang w:val="en-CA"/>
        </w:rPr>
        <w:t>To note the report on the adoption of the inter-ministerial decree (“</w:t>
      </w:r>
      <w:proofErr w:type="spellStart"/>
      <w:r w:rsidRPr="00E15EDD">
        <w:rPr>
          <w:lang w:val="en-CA"/>
        </w:rPr>
        <w:t>arrêté</w:t>
      </w:r>
      <w:proofErr w:type="spellEnd"/>
      <w:r w:rsidRPr="00E15EDD">
        <w:rPr>
          <w:lang w:val="en-CA"/>
        </w:rPr>
        <w:t xml:space="preserve"> </w:t>
      </w:r>
      <w:proofErr w:type="spellStart"/>
      <w:r w:rsidRPr="00E15EDD">
        <w:rPr>
          <w:lang w:val="en-CA"/>
        </w:rPr>
        <w:t>interministériel</w:t>
      </w:r>
      <w:proofErr w:type="spellEnd"/>
      <w:r w:rsidRPr="00E15EDD">
        <w:rPr>
          <w:lang w:val="en-CA"/>
        </w:rPr>
        <w:t>”) for regulating import</w:t>
      </w:r>
      <w:r w:rsidRPr="00392345">
        <w:rPr>
          <w:lang w:val="en-CA"/>
        </w:rPr>
        <w:t xml:space="preserve">, export, transit, re-export and trade of ODS, and other measures on strengthening monitoring and reporting systems relating to HCFC import and export under stage I of the HCFC phase-out management </w:t>
      </w:r>
      <w:r w:rsidRPr="00FF033E">
        <w:rPr>
          <w:lang w:val="en-CA"/>
        </w:rPr>
        <w:t>plan for Côte d’Ivoire, submitted by UNEP and contained in document UNEP/Ozl.Pro/ExCom/87</w:t>
      </w:r>
      <w:r w:rsidR="00FF033E" w:rsidRPr="00FF033E">
        <w:rPr>
          <w:lang w:val="en-CA"/>
        </w:rPr>
        <w:t>/9</w:t>
      </w:r>
      <w:r w:rsidRPr="00FF033E">
        <w:rPr>
          <w:lang w:val="en-CA"/>
        </w:rPr>
        <w:t>; and</w:t>
      </w:r>
    </w:p>
    <w:p w14:paraId="6918B423" w14:textId="77777777" w:rsidR="009C7B62" w:rsidRPr="00F22C0A" w:rsidRDefault="009C7B62" w:rsidP="009C7B62">
      <w:pPr>
        <w:pStyle w:val="Heading2"/>
        <w:rPr>
          <w:lang w:val="en-CA"/>
        </w:rPr>
      </w:pPr>
      <w:r w:rsidRPr="00F22C0A">
        <w:rPr>
          <w:lang w:val="en-CA"/>
        </w:rPr>
        <w:t>To request the Government of Côte d’Ivoire to provide an up</w:t>
      </w:r>
      <w:r>
        <w:rPr>
          <w:lang w:val="en-CA"/>
        </w:rPr>
        <w:t>date, through UNEP, at the 88</w:t>
      </w:r>
      <w:r w:rsidRPr="00392345">
        <w:rPr>
          <w:vertAlign w:val="superscript"/>
          <w:lang w:val="en-CA"/>
        </w:rPr>
        <w:t>th</w:t>
      </w:r>
      <w:r>
        <w:rPr>
          <w:lang w:val="en-CA"/>
        </w:rPr>
        <w:t> </w:t>
      </w:r>
      <w:r w:rsidRPr="00F22C0A">
        <w:rPr>
          <w:lang w:val="en-CA"/>
        </w:rPr>
        <w:t xml:space="preserve">meeting, on the adoption of the </w:t>
      </w:r>
      <w:r>
        <w:rPr>
          <w:lang w:val="en-CA"/>
        </w:rPr>
        <w:t>“</w:t>
      </w:r>
      <w:proofErr w:type="spellStart"/>
      <w:r w:rsidRPr="003A69CE">
        <w:rPr>
          <w:lang w:val="en-CA"/>
        </w:rPr>
        <w:t>arrêté</w:t>
      </w:r>
      <w:proofErr w:type="spellEnd"/>
      <w:r>
        <w:rPr>
          <w:lang w:val="en-CA"/>
        </w:rPr>
        <w:t xml:space="preserve"> </w:t>
      </w:r>
      <w:proofErr w:type="spellStart"/>
      <w:r w:rsidRPr="003A69CE">
        <w:rPr>
          <w:lang w:val="en-CA"/>
        </w:rPr>
        <w:t>interministériel</w:t>
      </w:r>
      <w:proofErr w:type="spellEnd"/>
      <w:r>
        <w:rPr>
          <w:lang w:val="en-CA"/>
        </w:rPr>
        <w:t>” mentioned in sub</w:t>
      </w:r>
      <w:r>
        <w:rPr>
          <w:lang w:val="en-CA"/>
        </w:rPr>
        <w:noBreakHyphen/>
        <w:t>paragraph (a) above.</w:t>
      </w:r>
    </w:p>
    <w:p w14:paraId="73C3840B" w14:textId="77777777" w:rsidR="00CD305F" w:rsidRDefault="00CD305F" w:rsidP="00CD305F">
      <w:pPr>
        <w:rPr>
          <w:u w:val="single"/>
        </w:rPr>
      </w:pPr>
      <w:r w:rsidRPr="00456EDD">
        <w:rPr>
          <w:u w:val="single"/>
        </w:rPr>
        <w:lastRenderedPageBreak/>
        <w:t xml:space="preserve">Ecuador: </w:t>
      </w:r>
      <w:r>
        <w:rPr>
          <w:u w:val="single"/>
        </w:rPr>
        <w:t xml:space="preserve">HCFC phase-out management plan (stage I </w:t>
      </w:r>
      <w:r>
        <w:rPr>
          <w:u w:val="single"/>
        </w:rPr>
        <w:noBreakHyphen/>
        <w:t xml:space="preserve"> po</w:t>
      </w:r>
      <w:r w:rsidRPr="00B61309">
        <w:rPr>
          <w:u w:val="single"/>
        </w:rPr>
        <w:t>stponement of the ban on imports of HCFC</w:t>
      </w:r>
      <w:r>
        <w:rPr>
          <w:u w:val="single"/>
        </w:rPr>
        <w:noBreakHyphen/>
      </w:r>
      <w:r w:rsidRPr="00B61309">
        <w:rPr>
          <w:u w:val="single"/>
        </w:rPr>
        <w:t>141b c</w:t>
      </w:r>
      <w:r>
        <w:rPr>
          <w:u w:val="single"/>
        </w:rPr>
        <w:t>ontained in pre-blended polyols)</w:t>
      </w:r>
      <w:r w:rsidRPr="00F66EEB">
        <w:t xml:space="preserve"> (UNIDO and UNEP)</w:t>
      </w:r>
    </w:p>
    <w:p w14:paraId="2EAD9854" w14:textId="77777777" w:rsidR="00CD305F" w:rsidRDefault="00CD305F" w:rsidP="00CD305F">
      <w:pPr>
        <w:rPr>
          <w:u w:val="single"/>
        </w:rPr>
      </w:pPr>
    </w:p>
    <w:p w14:paraId="54B98B95" w14:textId="77777777" w:rsidR="00CD305F" w:rsidRPr="00456EDD" w:rsidRDefault="00CD305F" w:rsidP="00CD305F">
      <w:pPr>
        <w:rPr>
          <w:b/>
        </w:rPr>
      </w:pPr>
      <w:r w:rsidRPr="00456EDD">
        <w:rPr>
          <w:b/>
        </w:rPr>
        <w:t>Background</w:t>
      </w:r>
    </w:p>
    <w:p w14:paraId="6D2CAE64" w14:textId="77777777" w:rsidR="00CD305F" w:rsidRDefault="00CD305F" w:rsidP="00CD305F"/>
    <w:p w14:paraId="662B154E" w14:textId="77777777" w:rsidR="00CD305F" w:rsidRDefault="00CD305F" w:rsidP="00CD305F">
      <w:pPr>
        <w:pStyle w:val="Heading1"/>
      </w:pPr>
      <w:r>
        <w:t>Subsequent to the finalization of documentation for the intersessional approval process established for the 86</w:t>
      </w:r>
      <w:r w:rsidRPr="00B440FA">
        <w:rPr>
          <w:vertAlign w:val="superscript"/>
        </w:rPr>
        <w:t>th</w:t>
      </w:r>
      <w:r>
        <w:t xml:space="preserve"> meeting (IAP-86), the Secretariat received in November 2020 a letter from the Government of Ecuador informing the need to further </w:t>
      </w:r>
      <w:r w:rsidRPr="00B61309">
        <w:t>postpone the ban on imports of HCFC-141b contained in pre</w:t>
      </w:r>
      <w:r>
        <w:noBreakHyphen/>
      </w:r>
      <w:r w:rsidRPr="00B61309">
        <w:t>blended polyols</w:t>
      </w:r>
      <w:r>
        <w:t xml:space="preserve"> from 1 January 2021 to 1 January 2022.</w:t>
      </w:r>
    </w:p>
    <w:p w14:paraId="1DDD4F98" w14:textId="77777777" w:rsidR="00CD305F" w:rsidRDefault="00CD305F" w:rsidP="00F66EEB">
      <w:pPr>
        <w:keepNext/>
        <w:keepLines/>
        <w:spacing w:after="240"/>
        <w:rPr>
          <w:b/>
        </w:rPr>
      </w:pPr>
      <w:r>
        <w:rPr>
          <w:b/>
        </w:rPr>
        <w:t>Secretariat’s c</w:t>
      </w:r>
      <w:r w:rsidRPr="00991AC1">
        <w:rPr>
          <w:b/>
        </w:rPr>
        <w:t>omments</w:t>
      </w:r>
    </w:p>
    <w:p w14:paraId="4E43302B" w14:textId="77777777" w:rsidR="00CD305F" w:rsidRPr="00B46E8C" w:rsidRDefault="00CD305F" w:rsidP="00CD305F">
      <w:pPr>
        <w:pStyle w:val="Heading1"/>
      </w:pPr>
      <w:r>
        <w:t>Noting that the request was received too late for consideration at the IAP-86 (i.e., after the finalization of documents for the 86</w:t>
      </w:r>
      <w:r w:rsidRPr="007F793C">
        <w:rPr>
          <w:vertAlign w:val="superscript"/>
        </w:rPr>
        <w:t>th</w:t>
      </w:r>
      <w:r>
        <w:t xml:space="preserve"> meeting and during the IAP-86), the Secretariat informed the </w:t>
      </w:r>
      <w:r w:rsidRPr="00B46E8C">
        <w:t>Government of Ecuador that the issue would be submitted to the 87</w:t>
      </w:r>
      <w:r w:rsidRPr="00B46E8C">
        <w:rPr>
          <w:vertAlign w:val="superscript"/>
        </w:rPr>
        <w:t>th</w:t>
      </w:r>
      <w:r w:rsidRPr="00B46E8C">
        <w:t xml:space="preserve"> meeting. Accordingly, the request from the Government of Ecuador is presented for the Executive Committee’s consideration.</w:t>
      </w:r>
    </w:p>
    <w:p w14:paraId="029BB312" w14:textId="77777777" w:rsidR="00CD305F" w:rsidRPr="00B46E8C" w:rsidRDefault="00CD305F" w:rsidP="00CD305F">
      <w:pPr>
        <w:pStyle w:val="Heading1"/>
      </w:pPr>
      <w:r w:rsidRPr="00B46E8C">
        <w:t>As part of the foam sector project to phase out HCFC-141b contained in imported pre</w:t>
      </w:r>
      <w:r w:rsidRPr="00B46E8C">
        <w:noBreakHyphen/>
        <w:t>blended polyols in Ecuador under stage I of the HPMP, the Government committed not to issue import quotas for HCFC</w:t>
      </w:r>
      <w:r w:rsidRPr="00B46E8C">
        <w:noBreakHyphen/>
        <w:t xml:space="preserve">141b contained in pre-blended polyols as of 1 January 2020, except for a maximum of 0.86 ODP tonnes (7.78 </w:t>
      </w:r>
      <w:proofErr w:type="spellStart"/>
      <w:r w:rsidRPr="00B46E8C">
        <w:t>mt</w:t>
      </w:r>
      <w:proofErr w:type="spellEnd"/>
      <w:r w:rsidRPr="00B46E8C">
        <w:t>) for the spray foam sector for each year of 2020 and 2021, in line with decision 81/4</w:t>
      </w:r>
      <w:r>
        <w:t>7</w:t>
      </w:r>
      <w:r w:rsidRPr="00B46E8C">
        <w:t>(c)(</w:t>
      </w:r>
      <w:proofErr w:type="spellStart"/>
      <w:r w:rsidRPr="00B46E8C">
        <w:t>i</w:t>
      </w:r>
      <w:proofErr w:type="spellEnd"/>
      <w:r w:rsidRPr="00B46E8C">
        <w:t>).</w:t>
      </w:r>
    </w:p>
    <w:p w14:paraId="2A317E06" w14:textId="77777777" w:rsidR="00CD305F" w:rsidRPr="00B46E8C" w:rsidRDefault="00CD305F" w:rsidP="00CD305F">
      <w:pPr>
        <w:pStyle w:val="Heading1"/>
      </w:pPr>
      <w:r w:rsidRPr="00B46E8C">
        <w:t>In submitting the last tranche for stage I of the HPMP at the 85</w:t>
      </w:r>
      <w:r w:rsidRPr="00B46E8C">
        <w:rPr>
          <w:vertAlign w:val="superscript"/>
        </w:rPr>
        <w:t>th</w:t>
      </w:r>
      <w:r w:rsidRPr="00B46E8C">
        <w:t xml:space="preserve"> meeting, UNIDO informed that the Government needed to postpone the ban from 1 January 2020 to 1 January 2021 to allow assisted polyurethane (PU) foam enterprises to complete tests with low-global-warming potential (GWP) alternative blowing agents and undertake the associate conversions of their manufacturing processes. The Secretariat informed the Executive Committee accordingly.</w:t>
      </w:r>
      <w:r w:rsidRPr="00B46E8C">
        <w:rPr>
          <w:rStyle w:val="FootnoteReference"/>
        </w:rPr>
        <w:footnoteReference w:id="15"/>
      </w:r>
    </w:p>
    <w:p w14:paraId="47BC86C5" w14:textId="77777777" w:rsidR="00CD305F" w:rsidRDefault="00CD305F" w:rsidP="00CD305F">
      <w:pPr>
        <w:pStyle w:val="Heading1"/>
      </w:pPr>
      <w:r>
        <w:t>In justifying the further postponement of the ban from 1 January 2021 to 1 January 2022, the Government of Ecuador through UNIDO explained that the project activities</w:t>
      </w:r>
      <w:r w:rsidRPr="00962B28">
        <w:t xml:space="preserve"> </w:t>
      </w:r>
      <w:r>
        <w:t>(i.e. tests with low</w:t>
      </w:r>
      <w:r>
        <w:noBreakHyphen/>
        <w:t xml:space="preserve">GWP blowing agents and conversion of the assisted enterprises) were delayed due to measures taken by the Government to stop the spread of the COVID-19 pandemic. </w:t>
      </w:r>
    </w:p>
    <w:p w14:paraId="268B1533" w14:textId="77777777" w:rsidR="00CD305F" w:rsidRPr="00771701" w:rsidRDefault="00CD305F" w:rsidP="00CD305F">
      <w:pPr>
        <w:pStyle w:val="Heading1"/>
      </w:pPr>
      <w:r>
        <w:t xml:space="preserve">The Secretariat notes that the further extension of the ban to 1 January 2022 will allow the systems houses and foam enterprises to complete the ongoing tests with low-GWP blowing agents and complete the conversion of the enterprises by the planned date of completion of stage I of the HPMP of 31 December 2021. </w:t>
      </w:r>
    </w:p>
    <w:p w14:paraId="40B91301" w14:textId="77777777" w:rsidR="00CD305F" w:rsidRPr="00A145FC" w:rsidRDefault="00CD305F" w:rsidP="00CD305F">
      <w:pPr>
        <w:rPr>
          <w:b/>
        </w:rPr>
      </w:pPr>
      <w:r w:rsidRPr="00A145FC">
        <w:rPr>
          <w:b/>
        </w:rPr>
        <w:t>Recommendation</w:t>
      </w:r>
    </w:p>
    <w:p w14:paraId="171AE029" w14:textId="77777777" w:rsidR="00CD305F" w:rsidRDefault="00CD305F" w:rsidP="00CD305F">
      <w:pPr>
        <w:rPr>
          <w:u w:val="single"/>
        </w:rPr>
      </w:pPr>
    </w:p>
    <w:p w14:paraId="7D1653B7" w14:textId="77777777" w:rsidR="00CD305F" w:rsidRDefault="00CD305F" w:rsidP="00CD305F">
      <w:pPr>
        <w:pStyle w:val="Heading1"/>
      </w:pPr>
      <w:r>
        <w:t>The Executive Committee may wish to note th</w:t>
      </w:r>
      <w:r w:rsidRPr="00B9560F">
        <w:t xml:space="preserve">e </w:t>
      </w:r>
      <w:r>
        <w:t xml:space="preserve">commitment from the </w:t>
      </w:r>
      <w:r w:rsidRPr="00B9560F">
        <w:t xml:space="preserve">Government of Ecuador </w:t>
      </w:r>
      <w:r>
        <w:t xml:space="preserve">not to </w:t>
      </w:r>
      <w:r w:rsidRPr="00B9560F">
        <w:t>issu</w:t>
      </w:r>
      <w:r>
        <w:t>e</w:t>
      </w:r>
      <w:r w:rsidRPr="00B9560F">
        <w:t xml:space="preserve"> any import quotas for HCFC-141b contained in pre-blended polyols as of </w:t>
      </w:r>
      <w:r>
        <w:t>1 January 2</w:t>
      </w:r>
      <w:r w:rsidRPr="00B9560F">
        <w:t>02</w:t>
      </w:r>
      <w:r>
        <w:t xml:space="preserve">2 instead of 1 January 2021 </w:t>
      </w:r>
      <w:r w:rsidRPr="000D73F8">
        <w:t>due to the delays imposed by the COVID-19 pandemic</w:t>
      </w:r>
      <w:r>
        <w:t>.</w:t>
      </w:r>
    </w:p>
    <w:p w14:paraId="5C9696FA" w14:textId="77777777" w:rsidR="00ED126B" w:rsidRPr="00234A52" w:rsidRDefault="00ED126B" w:rsidP="00ED126B">
      <w:pPr>
        <w:keepNext/>
        <w:spacing w:after="240"/>
        <w:rPr>
          <w:lang w:val="en-CA"/>
        </w:rPr>
      </w:pPr>
      <w:r>
        <w:rPr>
          <w:u w:val="single"/>
          <w:lang w:val="en-CA"/>
        </w:rPr>
        <w:lastRenderedPageBreak/>
        <w:t>Eswatini</w:t>
      </w:r>
      <w:r w:rsidRPr="00234A52">
        <w:rPr>
          <w:u w:val="single"/>
          <w:lang w:val="en-CA"/>
        </w:rPr>
        <w:t xml:space="preserve">: HCFC phase-out management plan </w:t>
      </w:r>
      <w:r>
        <w:rPr>
          <w:u w:val="single"/>
          <w:lang w:val="en-CA"/>
        </w:rPr>
        <w:t>(stage I – final report)</w:t>
      </w:r>
      <w:r w:rsidRPr="00F66EEB">
        <w:rPr>
          <w:lang w:val="en-CA"/>
        </w:rPr>
        <w:t xml:space="preserve"> </w:t>
      </w:r>
      <w:r w:rsidRPr="00234A52">
        <w:rPr>
          <w:lang w:val="en-CA"/>
        </w:rPr>
        <w:t>(UN</w:t>
      </w:r>
      <w:r>
        <w:rPr>
          <w:lang w:val="en-CA"/>
        </w:rPr>
        <w:t>EP</w:t>
      </w:r>
      <w:r w:rsidRPr="00234A52">
        <w:rPr>
          <w:lang w:val="en-CA"/>
        </w:rPr>
        <w:t xml:space="preserve"> and UN</w:t>
      </w:r>
      <w:r>
        <w:rPr>
          <w:lang w:val="en-CA"/>
        </w:rPr>
        <w:t>DP</w:t>
      </w:r>
      <w:r w:rsidRPr="00234A52">
        <w:rPr>
          <w:lang w:val="en-CA"/>
        </w:rPr>
        <w:t>)</w:t>
      </w:r>
    </w:p>
    <w:p w14:paraId="182AECA2" w14:textId="77777777" w:rsidR="00ED126B" w:rsidRPr="00234A52" w:rsidRDefault="00ED126B" w:rsidP="00ED126B">
      <w:pPr>
        <w:keepNext/>
        <w:spacing w:after="240"/>
        <w:rPr>
          <w:b/>
          <w:lang w:val="en-CA"/>
        </w:rPr>
      </w:pPr>
      <w:r w:rsidRPr="00234A52">
        <w:rPr>
          <w:b/>
          <w:lang w:val="en-CA"/>
        </w:rPr>
        <w:t>Background</w:t>
      </w:r>
    </w:p>
    <w:p w14:paraId="41C4C756" w14:textId="77777777" w:rsidR="00ED126B" w:rsidRPr="005248CC" w:rsidRDefault="00ED126B" w:rsidP="00ED126B">
      <w:pPr>
        <w:pStyle w:val="Heading1"/>
        <w:autoSpaceDE w:val="0"/>
        <w:autoSpaceDN w:val="0"/>
        <w:adjustRightInd w:val="0"/>
      </w:pPr>
      <w:r w:rsidRPr="009770C2">
        <w:rPr>
          <w:lang w:val="en-CA"/>
        </w:rPr>
        <w:t>Stage I of the HPMP was approved at the 6</w:t>
      </w:r>
      <w:r>
        <w:rPr>
          <w:lang w:val="en-CA"/>
        </w:rPr>
        <w:t>3</w:t>
      </w:r>
      <w:r w:rsidRPr="00EA5F47">
        <w:rPr>
          <w:vertAlign w:val="superscript"/>
          <w:lang w:val="en-CA"/>
        </w:rPr>
        <w:t>rd</w:t>
      </w:r>
      <w:r>
        <w:rPr>
          <w:lang w:val="en-CA"/>
        </w:rPr>
        <w:t xml:space="preserve"> </w:t>
      </w:r>
      <w:r w:rsidRPr="009770C2">
        <w:rPr>
          <w:lang w:val="en-CA"/>
        </w:rPr>
        <w:t>meeting</w:t>
      </w:r>
      <w:r w:rsidRPr="009770C2">
        <w:rPr>
          <w:rStyle w:val="FootnoteReference"/>
          <w:lang w:val="en-CA"/>
        </w:rPr>
        <w:footnoteReference w:id="16"/>
      </w:r>
      <w:r w:rsidRPr="009770C2">
        <w:rPr>
          <w:lang w:val="en-CA"/>
        </w:rPr>
        <w:t xml:space="preserve"> to meet the </w:t>
      </w:r>
      <w:r>
        <w:rPr>
          <w:lang w:val="en-CA"/>
        </w:rPr>
        <w:t>35</w:t>
      </w:r>
      <w:r w:rsidRPr="009770C2">
        <w:rPr>
          <w:lang w:val="en-CA"/>
        </w:rPr>
        <w:t> per cent red</w:t>
      </w:r>
      <w:r>
        <w:rPr>
          <w:lang w:val="en-CA"/>
        </w:rPr>
        <w:t>uction from the baseline by 2020,</w:t>
      </w:r>
      <w:r w:rsidRPr="009770C2">
        <w:rPr>
          <w:lang w:val="en-CA"/>
        </w:rPr>
        <w:t xml:space="preserve"> at a total funding level of US $</w:t>
      </w:r>
      <w:r>
        <w:rPr>
          <w:lang w:val="en-CA"/>
        </w:rPr>
        <w:t>877,948</w:t>
      </w:r>
      <w:r w:rsidRPr="009770C2">
        <w:rPr>
          <w:lang w:val="en-CA"/>
        </w:rPr>
        <w:t>, plus agency support costs of US $</w:t>
      </w:r>
      <w:r>
        <w:rPr>
          <w:lang w:val="en-CA"/>
        </w:rPr>
        <w:t>77,396, to phase out 8.27</w:t>
      </w:r>
      <w:r w:rsidRPr="009770C2">
        <w:rPr>
          <w:lang w:val="en-CA"/>
        </w:rPr>
        <w:t xml:space="preserve"> ODP tonnes of HCFCs.</w:t>
      </w:r>
      <w:r>
        <w:rPr>
          <w:lang w:val="en-CA"/>
        </w:rPr>
        <w:t xml:space="preserve"> At its 83</w:t>
      </w:r>
      <w:r w:rsidRPr="00EA5F47">
        <w:rPr>
          <w:vertAlign w:val="superscript"/>
          <w:lang w:val="en-CA"/>
        </w:rPr>
        <w:t>rd</w:t>
      </w:r>
      <w:r>
        <w:rPr>
          <w:lang w:val="en-CA"/>
        </w:rPr>
        <w:t xml:space="preserve"> meeting, the Executive Committee approved the fourth (final) tranche</w:t>
      </w:r>
      <w:r w:rsidRPr="00EA5F47">
        <w:rPr>
          <w:lang w:val="en-CA"/>
        </w:rPr>
        <w:t xml:space="preserve"> </w:t>
      </w:r>
      <w:r>
        <w:rPr>
          <w:lang w:val="en-CA"/>
        </w:rPr>
        <w:t>of stage I</w:t>
      </w:r>
      <w:r>
        <w:rPr>
          <w:rStyle w:val="FootnoteReference"/>
          <w:lang w:val="en-CA"/>
        </w:rPr>
        <w:footnoteReference w:id="17"/>
      </w:r>
      <w:r>
        <w:rPr>
          <w:lang w:val="en-CA"/>
        </w:rPr>
        <w:t xml:space="preserve"> and</w:t>
      </w:r>
      <w:r w:rsidRPr="00EA5F47">
        <w:rPr>
          <w:lang w:val="en-CA"/>
        </w:rPr>
        <w:t xml:space="preserve"> </w:t>
      </w:r>
      <w:r>
        <w:rPr>
          <w:lang w:val="en-CA"/>
        </w:rPr>
        <w:t>r</w:t>
      </w:r>
      <w:r w:rsidRPr="00EA5F47">
        <w:rPr>
          <w:lang w:val="en-CA"/>
        </w:rPr>
        <w:t>equest</w:t>
      </w:r>
      <w:r>
        <w:rPr>
          <w:lang w:val="en-CA"/>
        </w:rPr>
        <w:t>ed</w:t>
      </w:r>
      <w:r w:rsidRPr="00EA5F47">
        <w:rPr>
          <w:lang w:val="en-CA"/>
        </w:rPr>
        <w:t xml:space="preserve"> the Government of Eswatini, UNEP and UNDP to submit a progress report on the implementation of the work programme associated with the final tranche to the first meeting </w:t>
      </w:r>
      <w:r>
        <w:rPr>
          <w:lang w:val="en-CA"/>
        </w:rPr>
        <w:t xml:space="preserve">of the Executive Committee </w:t>
      </w:r>
      <w:r w:rsidRPr="00EA5F47">
        <w:rPr>
          <w:lang w:val="en-CA"/>
        </w:rPr>
        <w:t>in 2021</w:t>
      </w:r>
      <w:r>
        <w:rPr>
          <w:lang w:val="en-CA"/>
        </w:rPr>
        <w:t>,</w:t>
      </w:r>
      <w:r w:rsidRPr="00EA5F47">
        <w:rPr>
          <w:lang w:val="en-CA"/>
        </w:rPr>
        <w:t xml:space="preserve"> and the project completion report to the second meeting in 2022</w:t>
      </w:r>
      <w:r>
        <w:rPr>
          <w:lang w:val="en-CA"/>
        </w:rPr>
        <w:t xml:space="preserve"> </w:t>
      </w:r>
      <w:r w:rsidRPr="007863EF">
        <w:rPr>
          <w:lang w:val="en-CA"/>
        </w:rPr>
        <w:t>(decision</w:t>
      </w:r>
      <w:r>
        <w:rPr>
          <w:lang w:val="en-CA"/>
        </w:rPr>
        <w:t> </w:t>
      </w:r>
      <w:r w:rsidRPr="007863EF">
        <w:rPr>
          <w:lang w:val="en-CA"/>
        </w:rPr>
        <w:t>83/49). The project is to be completed by the end of 2021.</w:t>
      </w:r>
      <w:r>
        <w:rPr>
          <w:lang w:val="en-CA"/>
        </w:rPr>
        <w:t xml:space="preserve"> Stage II was approved at the 86</w:t>
      </w:r>
      <w:r w:rsidRPr="007863EF">
        <w:rPr>
          <w:vertAlign w:val="superscript"/>
          <w:lang w:val="en-CA"/>
        </w:rPr>
        <w:t>th</w:t>
      </w:r>
      <w:r>
        <w:rPr>
          <w:lang w:val="en-CA"/>
        </w:rPr>
        <w:t> meeting.</w:t>
      </w:r>
    </w:p>
    <w:p w14:paraId="352008D5" w14:textId="77777777" w:rsidR="00ED126B" w:rsidRDefault="00ED126B" w:rsidP="00ED126B">
      <w:pPr>
        <w:pStyle w:val="Heading1"/>
        <w:rPr>
          <w:lang w:val="en-CA"/>
        </w:rPr>
      </w:pPr>
      <w:r>
        <w:rPr>
          <w:lang w:val="en-CA"/>
        </w:rPr>
        <w:t>In line with decision 83/49, o</w:t>
      </w:r>
      <w:r w:rsidRPr="00234A52">
        <w:rPr>
          <w:lang w:val="en-CA"/>
        </w:rPr>
        <w:t xml:space="preserve">n behalf of the Government of </w:t>
      </w:r>
      <w:r>
        <w:rPr>
          <w:lang w:val="en-CA"/>
        </w:rPr>
        <w:t>Eswatini</w:t>
      </w:r>
      <w:r w:rsidRPr="00234A52">
        <w:rPr>
          <w:lang w:val="en-CA"/>
        </w:rPr>
        <w:t xml:space="preserve">, </w:t>
      </w:r>
      <w:r>
        <w:rPr>
          <w:lang w:val="en-CA"/>
        </w:rPr>
        <w:t>UNEP</w:t>
      </w:r>
      <w:r w:rsidRPr="00234A52">
        <w:rPr>
          <w:lang w:val="en-CA"/>
        </w:rPr>
        <w:t xml:space="preserve"> as the lead implementing agency</w:t>
      </w:r>
      <w:r>
        <w:rPr>
          <w:lang w:val="en-CA"/>
        </w:rPr>
        <w:t>,</w:t>
      </w:r>
      <w:r w:rsidRPr="00234A52">
        <w:rPr>
          <w:lang w:val="en-CA"/>
        </w:rPr>
        <w:t xml:space="preserve"> has submitted </w:t>
      </w:r>
      <w:r>
        <w:rPr>
          <w:lang w:val="en-CA"/>
        </w:rPr>
        <w:t xml:space="preserve">a progress report on the </w:t>
      </w:r>
      <w:r w:rsidRPr="00234A52">
        <w:rPr>
          <w:lang w:val="en-CA"/>
        </w:rPr>
        <w:t>implementation of stage I of the HPMP</w:t>
      </w:r>
      <w:r>
        <w:rPr>
          <w:lang w:val="en-CA"/>
        </w:rPr>
        <w:t xml:space="preserve">. </w:t>
      </w:r>
    </w:p>
    <w:p w14:paraId="28FF9E02" w14:textId="77777777" w:rsidR="00ED126B" w:rsidRPr="00234A52" w:rsidRDefault="00ED126B" w:rsidP="00ED126B">
      <w:pPr>
        <w:spacing w:after="240"/>
        <w:rPr>
          <w:i/>
          <w:lang w:val="en-CA"/>
        </w:rPr>
      </w:pPr>
      <w:r w:rsidRPr="00234A52">
        <w:rPr>
          <w:i/>
          <w:lang w:val="en-CA"/>
        </w:rPr>
        <w:t xml:space="preserve">HCFC consumption </w:t>
      </w:r>
    </w:p>
    <w:p w14:paraId="715D8944" w14:textId="77777777" w:rsidR="00ED126B" w:rsidRPr="00FD35F5" w:rsidRDefault="00ED126B" w:rsidP="00ED126B">
      <w:pPr>
        <w:pStyle w:val="Heading1"/>
        <w:rPr>
          <w:lang w:val="en-CA"/>
        </w:rPr>
      </w:pPr>
      <w:r w:rsidRPr="00FD35F5">
        <w:rPr>
          <w:lang w:val="en-CA"/>
        </w:rPr>
        <w:t xml:space="preserve">The Government of </w:t>
      </w:r>
      <w:r>
        <w:rPr>
          <w:lang w:val="en-CA"/>
        </w:rPr>
        <w:t>Eswatini</w:t>
      </w:r>
      <w:r w:rsidRPr="00FD35F5">
        <w:rPr>
          <w:lang w:val="en-CA"/>
        </w:rPr>
        <w:t xml:space="preserve"> </w:t>
      </w:r>
      <w:r>
        <w:rPr>
          <w:lang w:val="en-CA"/>
        </w:rPr>
        <w:t xml:space="preserve">reported under the country programme </w:t>
      </w:r>
      <w:r w:rsidRPr="00FD35F5">
        <w:rPr>
          <w:lang w:val="en-CA"/>
        </w:rPr>
        <w:t xml:space="preserve">a consumption of </w:t>
      </w:r>
      <w:r>
        <w:rPr>
          <w:lang w:val="en-CA"/>
        </w:rPr>
        <w:t>0.41</w:t>
      </w:r>
      <w:r w:rsidRPr="00FD35F5">
        <w:rPr>
          <w:lang w:val="en-CA"/>
        </w:rPr>
        <w:t> ODP</w:t>
      </w:r>
      <w:r>
        <w:rPr>
          <w:lang w:val="en-CA"/>
        </w:rPr>
        <w:t> </w:t>
      </w:r>
      <w:r w:rsidRPr="00FD35F5">
        <w:rPr>
          <w:lang w:val="en-CA"/>
        </w:rPr>
        <w:t xml:space="preserve">tonnes of HCFCs in 2020, which is </w:t>
      </w:r>
      <w:r>
        <w:rPr>
          <w:lang w:val="en-CA"/>
        </w:rPr>
        <w:t>63 </w:t>
      </w:r>
      <w:r w:rsidRPr="00FD35F5">
        <w:rPr>
          <w:lang w:val="en-CA"/>
        </w:rPr>
        <w:t>per</w:t>
      </w:r>
      <w:r>
        <w:rPr>
          <w:lang w:val="en-CA"/>
        </w:rPr>
        <w:t> </w:t>
      </w:r>
      <w:r w:rsidRPr="00FD35F5">
        <w:rPr>
          <w:lang w:val="en-CA"/>
        </w:rPr>
        <w:t xml:space="preserve">cent below the </w:t>
      </w:r>
      <w:r>
        <w:rPr>
          <w:lang w:val="en-CA"/>
        </w:rPr>
        <w:t xml:space="preserve">Montreal Protocol control </w:t>
      </w:r>
      <w:r w:rsidRPr="00FD35F5">
        <w:rPr>
          <w:lang w:val="en-CA"/>
        </w:rPr>
        <w:t xml:space="preserve">target of </w:t>
      </w:r>
      <w:r>
        <w:rPr>
          <w:lang w:val="en-CA"/>
        </w:rPr>
        <w:t>1.12</w:t>
      </w:r>
      <w:r w:rsidRPr="00FD35F5">
        <w:rPr>
          <w:lang w:val="en-CA"/>
        </w:rPr>
        <w:t> ODP</w:t>
      </w:r>
      <w:r>
        <w:rPr>
          <w:lang w:val="en-CA"/>
        </w:rPr>
        <w:t> </w:t>
      </w:r>
      <w:r w:rsidRPr="00FD35F5">
        <w:rPr>
          <w:lang w:val="en-CA"/>
        </w:rPr>
        <w:t>tonnes</w:t>
      </w:r>
      <w:r>
        <w:rPr>
          <w:lang w:val="en-CA"/>
        </w:rPr>
        <w:t xml:space="preserve"> for that year</w:t>
      </w:r>
      <w:r w:rsidRPr="00FD35F5">
        <w:rPr>
          <w:lang w:val="en-CA"/>
        </w:rPr>
        <w:t xml:space="preserve">, and </w:t>
      </w:r>
      <w:r>
        <w:rPr>
          <w:lang w:val="en-CA"/>
        </w:rPr>
        <w:t>76</w:t>
      </w:r>
      <w:r w:rsidRPr="00FD35F5">
        <w:rPr>
          <w:lang w:val="en-CA"/>
        </w:rPr>
        <w:t xml:space="preserve"> per cent </w:t>
      </w:r>
      <w:r>
        <w:rPr>
          <w:lang w:val="en-CA"/>
        </w:rPr>
        <w:t>below</w:t>
      </w:r>
      <w:r w:rsidRPr="00FD35F5">
        <w:rPr>
          <w:lang w:val="en-CA"/>
        </w:rPr>
        <w:t xml:space="preserve"> the established baseline of </w:t>
      </w:r>
      <w:r>
        <w:rPr>
          <w:lang w:val="en-CA"/>
        </w:rPr>
        <w:t>1.73</w:t>
      </w:r>
      <w:r w:rsidRPr="00FD35F5">
        <w:rPr>
          <w:lang w:val="en-CA"/>
        </w:rPr>
        <w:t> ODP</w:t>
      </w:r>
      <w:r>
        <w:rPr>
          <w:lang w:val="en-CA"/>
        </w:rPr>
        <w:t> </w:t>
      </w:r>
      <w:r w:rsidRPr="00FD35F5">
        <w:rPr>
          <w:lang w:val="en-CA"/>
        </w:rPr>
        <w:t xml:space="preserve">tonnes. </w:t>
      </w:r>
      <w:r>
        <w:rPr>
          <w:lang w:val="en-CA"/>
        </w:rPr>
        <w:t>The Article 7 data for 2019 has not been reported yet.</w:t>
      </w:r>
    </w:p>
    <w:p w14:paraId="2C67EE0A" w14:textId="77777777" w:rsidR="00ED126B" w:rsidRPr="00234A52" w:rsidRDefault="00ED126B" w:rsidP="00ED126B">
      <w:pPr>
        <w:numPr>
          <w:ilvl w:val="0"/>
          <w:numId w:val="1"/>
        </w:numPr>
        <w:spacing w:after="240"/>
        <w:outlineLvl w:val="0"/>
        <w:rPr>
          <w:lang w:val="en-CA"/>
        </w:rPr>
      </w:pPr>
      <w:r w:rsidRPr="00234A52">
        <w:rPr>
          <w:lang w:val="en-CA"/>
        </w:rPr>
        <w:t>The Government submitted sector</w:t>
      </w:r>
      <w:r>
        <w:rPr>
          <w:lang w:val="en-CA"/>
        </w:rPr>
        <w:t xml:space="preserve"> consumption data under the </w:t>
      </w:r>
      <w:r w:rsidRPr="004F329C">
        <w:rPr>
          <w:lang w:val="en-CA"/>
        </w:rPr>
        <w:t>20</w:t>
      </w:r>
      <w:r>
        <w:rPr>
          <w:lang w:val="en-CA"/>
        </w:rPr>
        <w:t>19</w:t>
      </w:r>
      <w:r w:rsidRPr="00234A52">
        <w:rPr>
          <w:lang w:val="en-CA"/>
        </w:rPr>
        <w:t xml:space="preserve"> country programme implementation report consistent with the data reported under Article 7 of the Montreal Protocol. </w:t>
      </w:r>
    </w:p>
    <w:p w14:paraId="2A23C4AF" w14:textId="77777777" w:rsidR="00ED126B" w:rsidRPr="00234A52" w:rsidRDefault="00ED126B" w:rsidP="00ED126B">
      <w:pPr>
        <w:spacing w:after="240"/>
        <w:rPr>
          <w:b/>
          <w:lang w:val="en-CA"/>
        </w:rPr>
      </w:pPr>
      <w:r w:rsidRPr="00234A52">
        <w:rPr>
          <w:b/>
          <w:lang w:val="en-CA"/>
        </w:rPr>
        <w:t xml:space="preserve">Progress report on the implementation of </w:t>
      </w:r>
      <w:r>
        <w:rPr>
          <w:b/>
          <w:lang w:val="en-CA"/>
        </w:rPr>
        <w:t xml:space="preserve">stage I </w:t>
      </w:r>
    </w:p>
    <w:p w14:paraId="393D3941" w14:textId="77777777" w:rsidR="00ED126B" w:rsidRPr="007A764B" w:rsidRDefault="00ED126B" w:rsidP="00ED126B">
      <w:pPr>
        <w:pStyle w:val="Heading1"/>
        <w:rPr>
          <w:lang w:val="en-CA"/>
        </w:rPr>
      </w:pPr>
      <w:r w:rsidRPr="00742EAA">
        <w:rPr>
          <w:lang w:val="en-CA"/>
        </w:rPr>
        <w:t xml:space="preserve">The country has been implementing the licensing and quota system to control the import of HCFCs. </w:t>
      </w:r>
      <w:r w:rsidRPr="005D190D">
        <w:t xml:space="preserve">The NOU </w:t>
      </w:r>
      <w:r>
        <w:t xml:space="preserve">organized </w:t>
      </w:r>
      <w:r w:rsidRPr="005D190D">
        <w:t>meeting</w:t>
      </w:r>
      <w:r>
        <w:t>s</w:t>
      </w:r>
      <w:r w:rsidRPr="005D190D">
        <w:t xml:space="preserve"> </w:t>
      </w:r>
      <w:r>
        <w:t xml:space="preserve">for </w:t>
      </w:r>
      <w:r w:rsidRPr="005D190D">
        <w:t xml:space="preserve">the steering committee and importers to assess HCFC consumption </w:t>
      </w:r>
      <w:r>
        <w:t xml:space="preserve">and to determine the quota. The quota for 2021 was allocated to </w:t>
      </w:r>
      <w:r w:rsidRPr="007A764B">
        <w:rPr>
          <w:color w:val="000000"/>
        </w:rPr>
        <w:t>14 importers</w:t>
      </w:r>
      <w:r>
        <w:rPr>
          <w:color w:val="000000"/>
        </w:rPr>
        <w:t xml:space="preserve"> at the level of 0.51 ODP tonnes, which is below the Montreal Protocol control target</w:t>
      </w:r>
      <w:r w:rsidRPr="007A764B">
        <w:rPr>
          <w:color w:val="000000"/>
        </w:rPr>
        <w:t>.</w:t>
      </w:r>
    </w:p>
    <w:p w14:paraId="7CCA379E" w14:textId="77777777" w:rsidR="00ED126B" w:rsidRPr="007A764B" w:rsidRDefault="00ED126B" w:rsidP="00ED126B">
      <w:pPr>
        <w:pStyle w:val="Heading1"/>
      </w:pPr>
      <w:r>
        <w:t>After approval of the fourth tranche, a</w:t>
      </w:r>
      <w:r w:rsidRPr="00057B51">
        <w:t xml:space="preserve"> SSFA between the Government and UNEP</w:t>
      </w:r>
      <w:r>
        <w:t xml:space="preserve"> was signed in October 2019. Three training workshops were conducted for 80 custom officers (14 female participants) on HCFC import control and the prevention of illegal trade. Two training workshops were conducted for 49 servicing technicians (three female technicians) on good refrigeration practices including the safe handling of hydrocarbons. Three vocational training institutions (SCOT, </w:t>
      </w:r>
      <w:proofErr w:type="spellStart"/>
      <w:r>
        <w:t>Gwamile</w:t>
      </w:r>
      <w:proofErr w:type="spellEnd"/>
      <w:r>
        <w:t xml:space="preserve"> </w:t>
      </w:r>
      <w:proofErr w:type="spellStart"/>
      <w:r>
        <w:t>Voctim</w:t>
      </w:r>
      <w:proofErr w:type="spellEnd"/>
      <w:r>
        <w:t xml:space="preserve"> and MITC) have been identified to serve as referral centres for training of technicians, to manage tools and equipment for the technicians in the regions, and to collect data from end</w:t>
      </w:r>
      <w:r>
        <w:noBreakHyphen/>
        <w:t>users.</w:t>
      </w:r>
    </w:p>
    <w:p w14:paraId="74C4B3C3" w14:textId="77777777" w:rsidR="00ED126B" w:rsidRPr="00AB6BDC" w:rsidRDefault="00ED126B" w:rsidP="00ED126B">
      <w:pPr>
        <w:spacing w:after="240"/>
        <w:outlineLvl w:val="0"/>
        <w:rPr>
          <w:lang w:val="en-CA"/>
        </w:rPr>
      </w:pPr>
      <w:r w:rsidRPr="00AB6BDC">
        <w:rPr>
          <w:u w:val="single"/>
          <w:lang w:val="en-CA"/>
        </w:rPr>
        <w:t>Level of fund disbursement</w:t>
      </w:r>
    </w:p>
    <w:p w14:paraId="39313A59" w14:textId="77777777" w:rsidR="00ED126B" w:rsidRDefault="00ED126B" w:rsidP="00ED126B">
      <w:pPr>
        <w:pStyle w:val="Heading1"/>
        <w:rPr>
          <w:lang w:val="en-CA"/>
        </w:rPr>
      </w:pPr>
      <w:r w:rsidRPr="00234A52">
        <w:rPr>
          <w:lang w:val="en-CA"/>
        </w:rPr>
        <w:t>As of</w:t>
      </w:r>
      <w:r>
        <w:rPr>
          <w:lang w:val="en-CA"/>
        </w:rPr>
        <w:t xml:space="preserve"> April 2021</w:t>
      </w:r>
      <w:r w:rsidRPr="00234A52">
        <w:rPr>
          <w:lang w:val="en-CA"/>
        </w:rPr>
        <w:t xml:space="preserve">, </w:t>
      </w:r>
      <w:r>
        <w:rPr>
          <w:lang w:val="en-CA"/>
        </w:rPr>
        <w:t xml:space="preserve">all funding for the first three tranches has been disbursed; </w:t>
      </w:r>
      <w:r w:rsidRPr="00234A52">
        <w:rPr>
          <w:lang w:val="en-CA"/>
        </w:rPr>
        <w:t>of the US $</w:t>
      </w:r>
      <w:r>
        <w:rPr>
          <w:lang w:val="en-CA"/>
        </w:rPr>
        <w:t>30,000</w:t>
      </w:r>
      <w:r w:rsidRPr="00234A52">
        <w:rPr>
          <w:lang w:val="en-CA"/>
        </w:rPr>
        <w:t xml:space="preserve"> approved </w:t>
      </w:r>
      <w:r>
        <w:rPr>
          <w:lang w:val="en-CA"/>
        </w:rPr>
        <w:t>for the fourth tranche</w:t>
      </w:r>
      <w:r w:rsidRPr="00234A52">
        <w:rPr>
          <w:lang w:val="en-CA"/>
        </w:rPr>
        <w:t>, US $</w:t>
      </w:r>
      <w:r>
        <w:rPr>
          <w:lang w:val="en-CA"/>
        </w:rPr>
        <w:t>15,000</w:t>
      </w:r>
      <w:r w:rsidRPr="00234A52">
        <w:rPr>
          <w:lang w:val="en-CA"/>
        </w:rPr>
        <w:t xml:space="preserve"> ha</w:t>
      </w:r>
      <w:r>
        <w:rPr>
          <w:lang w:val="en-CA"/>
        </w:rPr>
        <w:t>s</w:t>
      </w:r>
      <w:r w:rsidRPr="00234A52">
        <w:rPr>
          <w:lang w:val="en-CA"/>
        </w:rPr>
        <w:t xml:space="preserve"> been disbursed</w:t>
      </w:r>
      <w:r>
        <w:rPr>
          <w:lang w:val="en-CA"/>
        </w:rPr>
        <w:t xml:space="preserve"> (50 per cent)</w:t>
      </w:r>
      <w:r w:rsidRPr="00234A52">
        <w:rPr>
          <w:lang w:val="en-CA"/>
        </w:rPr>
        <w:t>.</w:t>
      </w:r>
      <w:r>
        <w:rPr>
          <w:lang w:val="en-CA"/>
        </w:rPr>
        <w:t xml:space="preserve"> The remaining US $15,000 will be disbursed in 2021.</w:t>
      </w:r>
    </w:p>
    <w:p w14:paraId="30984193" w14:textId="77777777" w:rsidR="00ED126B" w:rsidRPr="00B1423F" w:rsidRDefault="00ED126B" w:rsidP="00ED126B">
      <w:pPr>
        <w:rPr>
          <w:u w:val="single"/>
          <w:lang w:val="en-CA"/>
        </w:rPr>
      </w:pPr>
      <w:r w:rsidRPr="00B1423F">
        <w:rPr>
          <w:u w:val="single"/>
          <w:lang w:val="en-CA"/>
        </w:rPr>
        <w:t>Completion of stage I</w:t>
      </w:r>
    </w:p>
    <w:p w14:paraId="5C1864B0" w14:textId="77777777" w:rsidR="00ED126B" w:rsidRDefault="00ED126B" w:rsidP="00ED126B">
      <w:pPr>
        <w:rPr>
          <w:lang w:val="en-CA"/>
        </w:rPr>
      </w:pPr>
    </w:p>
    <w:p w14:paraId="2EDBAE4C" w14:textId="77777777" w:rsidR="00ED126B" w:rsidRPr="00B1423F" w:rsidRDefault="00ED126B" w:rsidP="00ED126B">
      <w:pPr>
        <w:pStyle w:val="Heading1"/>
        <w:rPr>
          <w:lang w:val="en-CA"/>
        </w:rPr>
      </w:pPr>
      <w:r>
        <w:rPr>
          <w:lang w:val="en-CA"/>
        </w:rPr>
        <w:t xml:space="preserve">UNEP confirmed that stage I of the HPMP will be completed by the end of 2021. </w:t>
      </w:r>
    </w:p>
    <w:p w14:paraId="3CBA64D7" w14:textId="77777777" w:rsidR="00ED126B" w:rsidRPr="00234A52" w:rsidRDefault="00ED126B" w:rsidP="00ED126B">
      <w:pPr>
        <w:keepNext/>
        <w:spacing w:after="240"/>
        <w:rPr>
          <w:b/>
          <w:lang w:val="en-CA"/>
        </w:rPr>
      </w:pPr>
      <w:r w:rsidRPr="00234A52">
        <w:rPr>
          <w:b/>
          <w:lang w:val="en-CA"/>
        </w:rPr>
        <w:lastRenderedPageBreak/>
        <w:t>Secretariat’s comments</w:t>
      </w:r>
    </w:p>
    <w:p w14:paraId="55BB4DAB" w14:textId="77777777" w:rsidR="00ED126B" w:rsidRDefault="00ED126B" w:rsidP="00ED126B">
      <w:pPr>
        <w:pStyle w:val="Heading1"/>
        <w:rPr>
          <w:lang w:val="en-US" w:eastAsia="zh-CN"/>
        </w:rPr>
      </w:pPr>
      <w:r>
        <w:rPr>
          <w:lang w:val="en-CA"/>
        </w:rPr>
        <w:t xml:space="preserve">With regard to the remaining activities and any balance to be returned, UNEP reported that upon </w:t>
      </w:r>
      <w:r>
        <w:rPr>
          <w:lang w:val="en-US"/>
        </w:rPr>
        <w:t xml:space="preserve">requests for additional training activities, the Government is planning to conduct additional training for 20 customs officers and 25 technicians. Monitoring activities and drafting the final report for the implementation of stage I to draw recommendations and lessons learned to assist in the implementation of stage II, will also be implemented. </w:t>
      </w:r>
    </w:p>
    <w:p w14:paraId="0D9F707E" w14:textId="77777777" w:rsidR="00ED126B" w:rsidRPr="00234A52" w:rsidRDefault="00ED126B" w:rsidP="00ED126B">
      <w:pPr>
        <w:spacing w:after="240"/>
        <w:outlineLvl w:val="0"/>
        <w:rPr>
          <w:b/>
          <w:lang w:val="en-CA"/>
        </w:rPr>
      </w:pPr>
      <w:r w:rsidRPr="00234A52">
        <w:rPr>
          <w:b/>
          <w:lang w:val="en-CA"/>
        </w:rPr>
        <w:t>Recommendation</w:t>
      </w:r>
    </w:p>
    <w:p w14:paraId="38AB3D4F" w14:textId="77777777" w:rsidR="00ED126B" w:rsidRPr="00182020" w:rsidRDefault="00ED126B" w:rsidP="00ED126B">
      <w:pPr>
        <w:pStyle w:val="Heading1"/>
        <w:rPr>
          <w:lang w:val="en-CA"/>
        </w:rPr>
      </w:pPr>
      <w:r w:rsidRPr="00182020">
        <w:rPr>
          <w:lang w:val="en-CA"/>
        </w:rPr>
        <w:t>T</w:t>
      </w:r>
      <w:r>
        <w:rPr>
          <w:lang w:val="en-CA"/>
        </w:rPr>
        <w:t>he Executive Committee may wish</w:t>
      </w:r>
      <w:r w:rsidRPr="00182020">
        <w:rPr>
          <w:lang w:val="en-CA"/>
        </w:rPr>
        <w:t xml:space="preserve"> to note the progress report on the implementation of the work programme associated with the fourth and final tranche of stage I of the HCFC phase-out management plan (HPMP) for Eswatini, submitted by UNEP and contained in document UNEP/OzL.Pro/ExCom/87/9.</w:t>
      </w:r>
    </w:p>
    <w:p w14:paraId="1C5BC7A2" w14:textId="77777777" w:rsidR="00057D57" w:rsidRPr="00FC07F5" w:rsidRDefault="00057D57" w:rsidP="000A23A6">
      <w:pPr>
        <w:keepNext/>
        <w:keepLines/>
        <w:spacing w:after="240"/>
        <w:rPr>
          <w:lang w:val="en-CA"/>
        </w:rPr>
      </w:pPr>
      <w:r>
        <w:rPr>
          <w:u w:val="single"/>
          <w:lang w:val="en-CA"/>
        </w:rPr>
        <w:t xml:space="preserve">Ethiopia: </w:t>
      </w:r>
      <w:r w:rsidRPr="00FC07F5">
        <w:rPr>
          <w:u w:val="single"/>
          <w:lang w:val="en-CA"/>
        </w:rPr>
        <w:t>HCFC phase-out management plan (stage I, progress report)</w:t>
      </w:r>
      <w:r w:rsidR="000A23A6">
        <w:rPr>
          <w:lang w:val="en-CA"/>
        </w:rPr>
        <w:t xml:space="preserve"> (UNEP and UNIDO)</w:t>
      </w:r>
    </w:p>
    <w:p w14:paraId="080653B8" w14:textId="77777777" w:rsidR="00057D57" w:rsidRPr="00FC07F5" w:rsidRDefault="00057D57" w:rsidP="000A23A6">
      <w:pPr>
        <w:keepNext/>
        <w:keepLines/>
        <w:spacing w:after="240"/>
        <w:rPr>
          <w:b/>
          <w:lang w:val="en-CA"/>
        </w:rPr>
      </w:pPr>
      <w:r w:rsidRPr="00FC07F5">
        <w:rPr>
          <w:b/>
          <w:lang w:val="en-CA"/>
        </w:rPr>
        <w:t>Background</w:t>
      </w:r>
    </w:p>
    <w:p w14:paraId="75C6605B" w14:textId="77777777" w:rsidR="00057D57" w:rsidRPr="00FC07F5" w:rsidRDefault="00057D57" w:rsidP="00057D57">
      <w:pPr>
        <w:pStyle w:val="Heading1"/>
        <w:rPr>
          <w:lang w:val="en-CA"/>
        </w:rPr>
      </w:pPr>
      <w:r w:rsidRPr="00FC07F5">
        <w:rPr>
          <w:lang w:val="en-CA"/>
        </w:rPr>
        <w:t>On behalf of the Government of Ethiopia, UNEP as the lead implementing agency, has submitted the progress report on the implementation of the work programme associated with the third and final tranche of the stage I of the HPMP, in line with decision 85/22(a). This tranche was approved, on an exceptional basis given potential further delay in implementing phase-out activities due to the COVID-19 pandemic, and noting that no further extension of project implementation would be requested, the extension of the date of completion of stage I of the HPMP for Ethiopia was extended from 31</w:t>
      </w:r>
      <w:r>
        <w:rPr>
          <w:lang w:val="en-CA"/>
        </w:rPr>
        <w:t> </w:t>
      </w:r>
      <w:r w:rsidRPr="00FC07F5">
        <w:rPr>
          <w:lang w:val="en-CA"/>
        </w:rPr>
        <w:t xml:space="preserve">December 2021 to 31 December 2022. </w:t>
      </w:r>
    </w:p>
    <w:p w14:paraId="566B6AD5" w14:textId="77777777" w:rsidR="00057D57" w:rsidRPr="00ED126B" w:rsidRDefault="00057D57" w:rsidP="00ED126B">
      <w:pPr>
        <w:keepNext/>
        <w:keepLines/>
        <w:spacing w:after="240"/>
        <w:rPr>
          <w:i/>
          <w:lang w:val="en-CA"/>
        </w:rPr>
      </w:pPr>
      <w:r w:rsidRPr="00FC07F5">
        <w:rPr>
          <w:i/>
          <w:lang w:val="en-CA"/>
        </w:rPr>
        <w:t xml:space="preserve">HCFC consumption </w:t>
      </w:r>
    </w:p>
    <w:p w14:paraId="71EE5D3E" w14:textId="77777777" w:rsidR="00057D57" w:rsidRPr="00FC07F5" w:rsidRDefault="00057D57" w:rsidP="00057D57">
      <w:pPr>
        <w:pStyle w:val="Heading1"/>
        <w:rPr>
          <w:lang w:val="en-CA"/>
        </w:rPr>
      </w:pPr>
      <w:r w:rsidRPr="00FC07F5">
        <w:rPr>
          <w:lang w:val="en-CA"/>
        </w:rPr>
        <w:t>The Government of Ethiopia reported under CP implementation report a consumption of 3.41 ODP tonnes of HCFC in 2020, which is 38 per cent below the HCFC baseline for compliance. Ethiopia only consumes HCFC-22, which is used exclusively in the servicing sector. Consumption continues to decline with the implementation of the activities in the refrigeration servicing sector in the HPMP and of the license and quota system.</w:t>
      </w:r>
    </w:p>
    <w:p w14:paraId="607C1AFE" w14:textId="77777777" w:rsidR="00057D57" w:rsidRPr="00FC07F5" w:rsidRDefault="00057D57" w:rsidP="00057D57">
      <w:pPr>
        <w:pStyle w:val="Heading1"/>
        <w:rPr>
          <w:lang w:val="en-CA"/>
        </w:rPr>
      </w:pPr>
      <w:r w:rsidRPr="00FC07F5">
        <w:rPr>
          <w:lang w:val="en-CA"/>
        </w:rPr>
        <w:t>The Government of Ethiopia reported HCFC sector consumption data under the 2019 CP implementation report which is consistent with the data reported under Article 7 of the Montreal Protocol.</w:t>
      </w:r>
    </w:p>
    <w:p w14:paraId="14246BB3" w14:textId="77777777" w:rsidR="00057D57" w:rsidRPr="00FC07F5" w:rsidRDefault="00057D57" w:rsidP="00057D57">
      <w:pPr>
        <w:rPr>
          <w:b/>
          <w:lang w:val="en-CA"/>
        </w:rPr>
      </w:pPr>
      <w:r w:rsidRPr="00FC07F5">
        <w:rPr>
          <w:b/>
          <w:lang w:val="en-CA"/>
        </w:rPr>
        <w:t>Progress report on the implementation of the third tranche of the HPMP</w:t>
      </w:r>
    </w:p>
    <w:p w14:paraId="54447B4E" w14:textId="77777777" w:rsidR="00057D57" w:rsidRPr="00FC07F5" w:rsidRDefault="00057D57" w:rsidP="00057D57">
      <w:pPr>
        <w:rPr>
          <w:i/>
          <w:lang w:val="en-CA"/>
        </w:rPr>
      </w:pPr>
    </w:p>
    <w:p w14:paraId="623B51E6" w14:textId="77777777" w:rsidR="00057D57" w:rsidRPr="00FC07F5" w:rsidRDefault="00057D57" w:rsidP="00057D57">
      <w:pPr>
        <w:rPr>
          <w:i/>
          <w:lang w:val="en-CA"/>
        </w:rPr>
      </w:pPr>
      <w:r w:rsidRPr="00FC07F5">
        <w:rPr>
          <w:i/>
          <w:lang w:val="en-CA"/>
        </w:rPr>
        <w:t>Legal framework</w:t>
      </w:r>
    </w:p>
    <w:p w14:paraId="18C1DA58" w14:textId="77777777" w:rsidR="00057D57" w:rsidRPr="00FC07F5" w:rsidRDefault="00057D57" w:rsidP="00057D57">
      <w:pPr>
        <w:rPr>
          <w:i/>
          <w:lang w:val="en-CA"/>
        </w:rPr>
      </w:pPr>
    </w:p>
    <w:p w14:paraId="5FE22A20" w14:textId="77777777" w:rsidR="00057D57" w:rsidRPr="00FC07F5" w:rsidRDefault="00057D57" w:rsidP="00057D57">
      <w:pPr>
        <w:pStyle w:val="Heading1"/>
        <w:rPr>
          <w:lang w:val="en-CA"/>
        </w:rPr>
      </w:pPr>
      <w:r w:rsidRPr="00FC07F5">
        <w:rPr>
          <w:lang w:val="en-CA"/>
        </w:rPr>
        <w:t>Ethiopia’s ODS regulations, gazetted in 2011, cover the imp</w:t>
      </w:r>
      <w:r w:rsidR="00524F5B">
        <w:rPr>
          <w:lang w:val="en-CA"/>
        </w:rPr>
        <w:t>orts and exports of ODS and ODS</w:t>
      </w:r>
      <w:r w:rsidR="00524F5B">
        <w:rPr>
          <w:lang w:val="en-CA"/>
        </w:rPr>
        <w:noBreakHyphen/>
      </w:r>
      <w:r w:rsidRPr="00FC07F5">
        <w:rPr>
          <w:lang w:val="en-CA"/>
        </w:rPr>
        <w:t>based equipment, and provide for a licensing system for all ODS, including HCFCs. The Environmental Protection Agency is the focal point for the Montreal Protocol; it coordinates all activities to meet compliance; works closely with the Ethiopian Customs and Revenue Authority in the enforcement of the ODS regulations; and is responsible for the logistical and enforcement mechanisms for the ODS regulations and raising awareness of the importers and the general public on ozone issues. The HCFC quota and licensing system is operational and is being enforced. The NOU keeps records of all importers that were granted the permit to import HCFCs; t</w:t>
      </w:r>
      <w:bookmarkStart w:id="0" w:name="_Hlk3285647"/>
      <w:r w:rsidRPr="00FC07F5">
        <w:rPr>
          <w:lang w:val="en-CA"/>
        </w:rPr>
        <w:t>he permit is valid until 31 December in the year the permit was issued.</w:t>
      </w:r>
      <w:bookmarkEnd w:id="0"/>
      <w:r w:rsidRPr="00FC07F5">
        <w:rPr>
          <w:lang w:val="en-CA"/>
        </w:rPr>
        <w:t xml:space="preserve"> Only registered importers may be granted a quota permit. Any controlled substances imported without a quota permit are confiscated by the Customs Department.</w:t>
      </w:r>
    </w:p>
    <w:p w14:paraId="0276E465" w14:textId="77777777" w:rsidR="00057D57" w:rsidRPr="00FC07F5" w:rsidRDefault="00057D57" w:rsidP="00057D57">
      <w:pPr>
        <w:pStyle w:val="Heading1"/>
        <w:rPr>
          <w:lang w:val="en-CA"/>
        </w:rPr>
      </w:pPr>
      <w:r w:rsidRPr="00FC07F5">
        <w:rPr>
          <w:lang w:val="en-CA"/>
        </w:rPr>
        <w:lastRenderedPageBreak/>
        <w:t xml:space="preserve">The Government of Ethiopia has already issued HCFC import quotas for 2021 at 3.30 ODP tonnes, which is lower than the Montreal Protocol control target of 3.58 ODP tonnes for that year. </w:t>
      </w:r>
    </w:p>
    <w:p w14:paraId="2624B735" w14:textId="77777777" w:rsidR="00057D57" w:rsidRPr="00FC07F5" w:rsidRDefault="00057D57" w:rsidP="003B5FC0">
      <w:pPr>
        <w:keepNext/>
        <w:rPr>
          <w:i/>
          <w:lang w:val="en-CA"/>
        </w:rPr>
      </w:pPr>
      <w:r w:rsidRPr="00FC07F5">
        <w:rPr>
          <w:i/>
          <w:lang w:val="en-CA"/>
        </w:rPr>
        <w:t>Refrigeration servicing sector</w:t>
      </w:r>
    </w:p>
    <w:p w14:paraId="69952ECA" w14:textId="77777777" w:rsidR="00057D57" w:rsidRPr="00FC07F5" w:rsidRDefault="00057D57" w:rsidP="003B5FC0">
      <w:pPr>
        <w:keepNext/>
        <w:rPr>
          <w:lang w:val="en-CA"/>
        </w:rPr>
      </w:pPr>
    </w:p>
    <w:p w14:paraId="1B30F79E" w14:textId="77777777" w:rsidR="00057D57" w:rsidRPr="00FC07F5" w:rsidRDefault="00057D57" w:rsidP="00057D57">
      <w:pPr>
        <w:pStyle w:val="Heading1"/>
        <w:rPr>
          <w:lang w:val="en-CA"/>
        </w:rPr>
      </w:pPr>
      <w:r w:rsidRPr="00FC07F5">
        <w:rPr>
          <w:lang w:val="en-CA"/>
        </w:rPr>
        <w:t>Since the approval of the third and final tranche in June 2020, the following activities were undertaken:</w:t>
      </w:r>
    </w:p>
    <w:p w14:paraId="40982205" w14:textId="77777777" w:rsidR="00057D57" w:rsidRPr="00FC07F5" w:rsidRDefault="00057D57" w:rsidP="00057D57">
      <w:pPr>
        <w:pStyle w:val="Heading2"/>
        <w:rPr>
          <w:lang w:val="en-CA"/>
        </w:rPr>
      </w:pPr>
      <w:r w:rsidRPr="00FC07F5">
        <w:rPr>
          <w:lang w:val="en-CA"/>
        </w:rPr>
        <w:t>Three training workshops for 64 custom officers, of which 31 were women, on controlling and monitoring ODS. An additional training workshop for approximately 20</w:t>
      </w:r>
      <w:r>
        <w:rPr>
          <w:lang w:val="en-CA"/>
        </w:rPr>
        <w:t> </w:t>
      </w:r>
      <w:r w:rsidRPr="00FC07F5">
        <w:rPr>
          <w:lang w:val="en-CA"/>
        </w:rPr>
        <w:t>customs officers was delayed due to the COVID-19 pandemic and will be held by July</w:t>
      </w:r>
      <w:r>
        <w:rPr>
          <w:lang w:val="en-CA"/>
        </w:rPr>
        <w:t> </w:t>
      </w:r>
      <w:r w:rsidRPr="00FC07F5">
        <w:rPr>
          <w:lang w:val="en-CA"/>
        </w:rPr>
        <w:t xml:space="preserve">2021; </w:t>
      </w:r>
    </w:p>
    <w:p w14:paraId="275DE772" w14:textId="77777777" w:rsidR="00057D57" w:rsidRPr="00FC07F5" w:rsidRDefault="00057D57" w:rsidP="00057D57">
      <w:pPr>
        <w:pStyle w:val="Heading2"/>
        <w:rPr>
          <w:lang w:val="en-CA"/>
        </w:rPr>
      </w:pPr>
      <w:r w:rsidRPr="00FC07F5">
        <w:rPr>
          <w:lang w:val="en-CA"/>
        </w:rPr>
        <w:t>Four training workshops for 90 </w:t>
      </w:r>
      <w:r w:rsidR="000A23A6">
        <w:rPr>
          <w:lang w:val="en-CA"/>
        </w:rPr>
        <w:t>RAC</w:t>
      </w:r>
      <w:r w:rsidRPr="00FC07F5">
        <w:rPr>
          <w:lang w:val="en-CA"/>
        </w:rPr>
        <w:t xml:space="preserve"> technicians, of which 38 were women, on good servicing practices, emerging technologies and safe servicing and maintenance of RAC equipment based on low-GWP refrigerants. An additional training workshop for 20 RAC technicians was delayed due to the COVID-19 pandemic and will be held by September 2021; </w:t>
      </w:r>
    </w:p>
    <w:p w14:paraId="5884BAC8" w14:textId="77777777" w:rsidR="00057D57" w:rsidRPr="00FC07F5" w:rsidRDefault="00057D57" w:rsidP="00057D57">
      <w:pPr>
        <w:pStyle w:val="Heading2"/>
        <w:rPr>
          <w:lang w:val="en-CA"/>
        </w:rPr>
      </w:pPr>
      <w:r w:rsidRPr="00FC07F5">
        <w:rPr>
          <w:lang w:val="en-CA"/>
        </w:rPr>
        <w:t>Training equipment (e.g., recovery units with cylinders, manifold gauge sets, gas detectors, and hydrocarbon teaching units) for the vocational training centres, refrigerant identifiers for customs and the training centres, and tools for servicing technicians (e.g., adjustable wrench, flaring set, swaging tools, brazing torch, tube bender, valves, fittings) was procured; delivery of the equipment, which was delayed due to the COVID-19 pandemic, is expected by July</w:t>
      </w:r>
      <w:r>
        <w:rPr>
          <w:lang w:val="en-CA"/>
        </w:rPr>
        <w:t> </w:t>
      </w:r>
      <w:r w:rsidRPr="00FC07F5">
        <w:rPr>
          <w:lang w:val="en-CA"/>
        </w:rPr>
        <w:t>2021; and</w:t>
      </w:r>
    </w:p>
    <w:p w14:paraId="76FE7799" w14:textId="77777777" w:rsidR="00057D57" w:rsidRPr="00FC07F5" w:rsidRDefault="00057D57" w:rsidP="00057D57">
      <w:pPr>
        <w:pStyle w:val="Heading2"/>
        <w:rPr>
          <w:lang w:val="en-CA"/>
        </w:rPr>
      </w:pPr>
      <w:r w:rsidRPr="00FC07F5">
        <w:rPr>
          <w:lang w:val="en-CA"/>
        </w:rPr>
        <w:t>Two meetings for the RAC association to strengthen the association and assist in drafting the association rules.</w:t>
      </w:r>
    </w:p>
    <w:p w14:paraId="1B3F2CD5" w14:textId="77777777" w:rsidR="00057D57" w:rsidRPr="00FC07F5" w:rsidRDefault="00057D57" w:rsidP="00057D57">
      <w:pPr>
        <w:pStyle w:val="Heading1"/>
        <w:rPr>
          <w:lang w:val="en-CA"/>
        </w:rPr>
      </w:pPr>
      <w:r w:rsidRPr="00FC07F5">
        <w:rPr>
          <w:lang w:val="en-CA"/>
        </w:rPr>
        <w:t>In line with the recommendations of the verification report submitted to the 77</w:t>
      </w:r>
      <w:r w:rsidRPr="00FC07F5">
        <w:rPr>
          <w:vertAlign w:val="superscript"/>
          <w:lang w:val="en-CA"/>
        </w:rPr>
        <w:t>th </w:t>
      </w:r>
      <w:r w:rsidRPr="00FC07F5">
        <w:rPr>
          <w:lang w:val="en-CA"/>
        </w:rPr>
        <w:t>meeting, the website for importers to apply online for a quota was developed and is at a trial stage; the website will be finalized by January</w:t>
      </w:r>
      <w:r>
        <w:rPr>
          <w:lang w:val="en-CA"/>
        </w:rPr>
        <w:t> </w:t>
      </w:r>
      <w:r w:rsidRPr="00FC07F5">
        <w:rPr>
          <w:lang w:val="en-CA"/>
        </w:rPr>
        <w:t xml:space="preserve">2022. The NOU, in collaboration with inspectors from the Environment Forest and Climate Change Commission undertook two visits to markets, warehouses and shops to inspect for illegal imports of ODS. </w:t>
      </w:r>
    </w:p>
    <w:p w14:paraId="61A7B1C8" w14:textId="77777777" w:rsidR="00057D57" w:rsidRPr="00FC07F5" w:rsidRDefault="00057D57" w:rsidP="006C5006">
      <w:pPr>
        <w:keepNext/>
        <w:keepLines/>
        <w:spacing w:after="240"/>
        <w:rPr>
          <w:i/>
          <w:lang w:val="en-CA"/>
        </w:rPr>
      </w:pPr>
      <w:r w:rsidRPr="00FC07F5">
        <w:rPr>
          <w:i/>
          <w:lang w:val="en-CA"/>
        </w:rPr>
        <w:t>Level of fund disbursement</w:t>
      </w:r>
    </w:p>
    <w:p w14:paraId="795C2DA7" w14:textId="77777777" w:rsidR="00057D57" w:rsidRPr="00FC07F5" w:rsidRDefault="00057D57" w:rsidP="00057D57">
      <w:pPr>
        <w:pStyle w:val="Heading1"/>
        <w:rPr>
          <w:lang w:val="en-CA"/>
        </w:rPr>
      </w:pPr>
      <w:r w:rsidRPr="00FC07F5">
        <w:rPr>
          <w:lang w:val="en-CA"/>
        </w:rPr>
        <w:t xml:space="preserve">As of April 2021, of the US $315,000 approved under stage I, US $237,420 had been disbursed (US $165,000 for UNEP and US $72,420 for UNIDO). The balance of US $77,580 will be disbursed between 2021 and 2023. </w:t>
      </w:r>
    </w:p>
    <w:p w14:paraId="6050645D" w14:textId="77777777" w:rsidR="00057D57" w:rsidRPr="00FC07F5" w:rsidRDefault="00057D57" w:rsidP="00057D57">
      <w:pPr>
        <w:rPr>
          <w:b/>
          <w:lang w:val="en-CA"/>
        </w:rPr>
      </w:pPr>
      <w:r w:rsidRPr="00FC07F5">
        <w:rPr>
          <w:b/>
          <w:lang w:val="en-CA"/>
        </w:rPr>
        <w:t>Secretariat’s comments</w:t>
      </w:r>
    </w:p>
    <w:p w14:paraId="07273801" w14:textId="77777777" w:rsidR="00057D57" w:rsidRPr="00FC07F5" w:rsidRDefault="00057D57" w:rsidP="00057D57">
      <w:pPr>
        <w:rPr>
          <w:b/>
          <w:lang w:val="en-CA"/>
        </w:rPr>
      </w:pPr>
    </w:p>
    <w:p w14:paraId="069C2747" w14:textId="77777777" w:rsidR="00057D57" w:rsidRPr="00FC07F5" w:rsidRDefault="00057D57" w:rsidP="00057D57">
      <w:pPr>
        <w:pStyle w:val="Heading1"/>
        <w:rPr>
          <w:lang w:val="en-CA"/>
        </w:rPr>
      </w:pPr>
      <w:r w:rsidRPr="00FC07F5">
        <w:rPr>
          <w:lang w:val="en-CA"/>
        </w:rPr>
        <w:t>Notwithstanding the challenges due to the COVID-19 pandemic, implementation of the HPMP has continued, with some delays. The extension of stage I of the HPMP to 31 December 2022 agreed by the Executive Committee at its 85</w:t>
      </w:r>
      <w:r w:rsidRPr="00FC07F5">
        <w:rPr>
          <w:vertAlign w:val="superscript"/>
          <w:lang w:val="en-CA"/>
        </w:rPr>
        <w:t>th </w:t>
      </w:r>
      <w:r w:rsidRPr="00FC07F5">
        <w:rPr>
          <w:lang w:val="en-CA"/>
        </w:rPr>
        <w:t>meeting (decision 85/22(a)) will allow for the completion of the implementation of the work programme associated with the final tranche of the HPMP. Once the equipment procured by UNIDO has been delivered, UNIDO would achieve the level of disbursement required under decision</w:t>
      </w:r>
      <w:r>
        <w:rPr>
          <w:lang w:val="en-CA"/>
        </w:rPr>
        <w:t> </w:t>
      </w:r>
      <w:r w:rsidRPr="00FC07F5">
        <w:rPr>
          <w:lang w:val="en-CA"/>
        </w:rPr>
        <w:t>85/22(a)</w:t>
      </w:r>
      <w:r w:rsidRPr="00FC07F5">
        <w:rPr>
          <w:rStyle w:val="FootnoteReference"/>
          <w:lang w:val="en-CA"/>
        </w:rPr>
        <w:footnoteReference w:id="18"/>
      </w:r>
      <w:r w:rsidRPr="00FC07F5">
        <w:rPr>
          <w:lang w:val="en-CA"/>
        </w:rPr>
        <w:t xml:space="preserve"> to enable the submission of stage II of the HPMP, which was submitted to the 87</w:t>
      </w:r>
      <w:r w:rsidRPr="00FC07F5">
        <w:rPr>
          <w:vertAlign w:val="superscript"/>
          <w:lang w:val="en-CA"/>
        </w:rPr>
        <w:t>th </w:t>
      </w:r>
      <w:r w:rsidRPr="00FC07F5">
        <w:rPr>
          <w:lang w:val="en-CA"/>
        </w:rPr>
        <w:t>meeting and subsequently deferred and is expected to be submitted to the 88</w:t>
      </w:r>
      <w:r w:rsidRPr="00FC07F5">
        <w:rPr>
          <w:vertAlign w:val="superscript"/>
          <w:lang w:val="en-CA"/>
        </w:rPr>
        <w:t>th </w:t>
      </w:r>
      <w:r w:rsidRPr="00FC07F5">
        <w:rPr>
          <w:lang w:val="en-CA"/>
        </w:rPr>
        <w:t xml:space="preserve">meeting. </w:t>
      </w:r>
    </w:p>
    <w:p w14:paraId="2F9B8903" w14:textId="77777777" w:rsidR="00057D57" w:rsidRPr="00FC07F5" w:rsidRDefault="00057D57" w:rsidP="003B5FC0">
      <w:pPr>
        <w:keepNext/>
        <w:rPr>
          <w:b/>
          <w:lang w:val="en-CA"/>
        </w:rPr>
      </w:pPr>
      <w:r w:rsidRPr="00FC07F5">
        <w:rPr>
          <w:b/>
          <w:lang w:val="en-CA"/>
        </w:rPr>
        <w:lastRenderedPageBreak/>
        <w:t>Recommendation</w:t>
      </w:r>
    </w:p>
    <w:p w14:paraId="7CE41718" w14:textId="77777777" w:rsidR="00057D57" w:rsidRPr="00FC07F5" w:rsidRDefault="00057D57" w:rsidP="003B5FC0">
      <w:pPr>
        <w:keepNext/>
        <w:rPr>
          <w:lang w:val="en-CA"/>
        </w:rPr>
      </w:pPr>
    </w:p>
    <w:p w14:paraId="55570035" w14:textId="77777777" w:rsidR="00057D57" w:rsidRPr="00FC07F5" w:rsidRDefault="00057D57" w:rsidP="00057D57">
      <w:pPr>
        <w:pStyle w:val="Heading1"/>
        <w:rPr>
          <w:lang w:val="en-CA"/>
        </w:rPr>
      </w:pPr>
      <w:r w:rsidRPr="00FC07F5">
        <w:rPr>
          <w:lang w:val="en-CA"/>
        </w:rPr>
        <w:t>The Executive Committee may wish to note the progress report on the implementation of the work programme associated with the third and final tranche of the stage I of the HCFC phase-out management plan for Ethiopia submitted by UNEP, contained in document UNEP/OzL.Pro/ExCom/87/9.</w:t>
      </w:r>
    </w:p>
    <w:p w14:paraId="05AFE147" w14:textId="77777777" w:rsidR="00024F17" w:rsidRPr="00ED126B" w:rsidRDefault="00024F17" w:rsidP="00024F17">
      <w:pPr>
        <w:pStyle w:val="Heading1"/>
        <w:numPr>
          <w:ilvl w:val="0"/>
          <w:numId w:val="0"/>
        </w:numPr>
        <w:rPr>
          <w:u w:val="single"/>
        </w:rPr>
      </w:pPr>
      <w:r w:rsidRPr="00ED126B">
        <w:rPr>
          <w:u w:val="single"/>
        </w:rPr>
        <w:t>Jamaica: HCFC phase-out management plan (stage II – Update on the status of implementation of the measures for strengthening the licensing and quota system and monitoring and reporting of HCFC consumption recommended in the verification report)</w:t>
      </w:r>
      <w:r w:rsidRPr="00ED126B">
        <w:t xml:space="preserve"> (UNDP)</w:t>
      </w:r>
    </w:p>
    <w:p w14:paraId="4762031C" w14:textId="77777777" w:rsidR="00024F17" w:rsidRPr="00ED126B" w:rsidRDefault="00024F17" w:rsidP="00024F17">
      <w:pPr>
        <w:pStyle w:val="Heading1"/>
        <w:numPr>
          <w:ilvl w:val="0"/>
          <w:numId w:val="0"/>
        </w:numPr>
        <w:rPr>
          <w:b/>
        </w:rPr>
      </w:pPr>
      <w:r w:rsidRPr="00ED126B">
        <w:rPr>
          <w:b/>
        </w:rPr>
        <w:t>Background</w:t>
      </w:r>
    </w:p>
    <w:p w14:paraId="161E2A5B" w14:textId="77777777" w:rsidR="00024F17" w:rsidRPr="00ED126B" w:rsidRDefault="00024F17" w:rsidP="00024F17">
      <w:pPr>
        <w:pStyle w:val="Heading1"/>
      </w:pPr>
      <w:r w:rsidRPr="00ED126B">
        <w:t>Stage II of the HPMP for Jamaica was approved in principle at the intersessional approval process established for the 86</w:t>
      </w:r>
      <w:r w:rsidRPr="00ED126B">
        <w:rPr>
          <w:vertAlign w:val="superscript"/>
        </w:rPr>
        <w:t>th</w:t>
      </w:r>
      <w:r w:rsidRPr="00ED126B">
        <w:t> meeting; in approving the first tranche, the Executive Committee requested the Government of Jamaica and UNDP to provide, to the 87</w:t>
      </w:r>
      <w:r w:rsidRPr="00ED126B">
        <w:rPr>
          <w:vertAlign w:val="superscript"/>
        </w:rPr>
        <w:t>th</w:t>
      </w:r>
      <w:r w:rsidRPr="00ED126B">
        <w:t> meeting, an update on the status of implementation of the measures for strengthening the licensing and quota system, and the monitoring and reporting of HCFC consumption, recommended in the verification report submitted to the 85</w:t>
      </w:r>
      <w:r w:rsidRPr="00ED126B">
        <w:rPr>
          <w:vertAlign w:val="superscript"/>
        </w:rPr>
        <w:t>th</w:t>
      </w:r>
      <w:r w:rsidRPr="00ED126B">
        <w:t> meeting</w:t>
      </w:r>
      <w:r w:rsidRPr="00ED126B">
        <w:rPr>
          <w:rStyle w:val="FootnoteReference"/>
        </w:rPr>
        <w:footnoteReference w:id="19"/>
      </w:r>
      <w:r w:rsidRPr="00ED126B">
        <w:t xml:space="preserve"> (</w:t>
      </w:r>
      <w:r w:rsidR="004A2B8B" w:rsidRPr="00ED126B">
        <w:t xml:space="preserve">decision </w:t>
      </w:r>
      <w:r w:rsidR="004A2B8B" w:rsidRPr="00ED126B">
        <w:rPr>
          <w:sz w:val="20"/>
          <w:szCs w:val="20"/>
        </w:rPr>
        <w:t>86/72(e)).</w:t>
      </w:r>
    </w:p>
    <w:p w14:paraId="1E4BAF17" w14:textId="77777777" w:rsidR="00024F17" w:rsidRPr="00ED126B" w:rsidRDefault="00024F17" w:rsidP="00024F17">
      <w:pPr>
        <w:pStyle w:val="Heading1"/>
      </w:pPr>
      <w:r w:rsidRPr="00ED126B">
        <w:t>In response to the Executive Committee request, UNDP submitted to the 87</w:t>
      </w:r>
      <w:r w:rsidRPr="00ED126B">
        <w:rPr>
          <w:vertAlign w:val="superscript"/>
        </w:rPr>
        <w:t>th</w:t>
      </w:r>
      <w:r w:rsidRPr="00ED126B">
        <w:t xml:space="preserve"> meeting a report providing the following information:</w:t>
      </w:r>
    </w:p>
    <w:p w14:paraId="5888CA83" w14:textId="77777777" w:rsidR="00024F17" w:rsidRPr="00ED126B" w:rsidRDefault="00024F17" w:rsidP="00024F17">
      <w:pPr>
        <w:pStyle w:val="Heading2"/>
      </w:pPr>
      <w:r w:rsidRPr="00ED126B">
        <w:t>On 31 March 2020, the National Environment and Planning Agency (NEPA) officially requested the Jamaica Customs Academy (JCA), to discontinue using tariff codes to register HCFC imports and not to allow imports of HCFCs through tariff codes that are not meant for HCFCs. On 29 May 2020, the JCA officially communicated the recommended codes for HCFC-blends to the Custom Brokers and Freight Forwarders Association of Jamaica (CBFFAJ). These two actions will avoid the use of wrong codes when reporting HCFC consumption;</w:t>
      </w:r>
    </w:p>
    <w:p w14:paraId="12CDF688" w14:textId="77777777" w:rsidR="00024F17" w:rsidRPr="00ED126B" w:rsidRDefault="00024F17" w:rsidP="00024F17">
      <w:pPr>
        <w:pStyle w:val="Heading2"/>
        <w:rPr>
          <w:lang w:val="en-CA"/>
        </w:rPr>
      </w:pPr>
      <w:r w:rsidRPr="00ED126B">
        <w:rPr>
          <w:lang w:val="en-CA"/>
        </w:rPr>
        <w:t>In July 2020, the data reporting template for collecting HCFC and HFC data from importers was modified and sent to the Jamaica Air</w:t>
      </w:r>
      <w:r w:rsidRPr="00ED126B">
        <w:rPr>
          <w:lang w:val="en-CA"/>
        </w:rPr>
        <w:noBreakHyphen/>
        <w:t>Conditioning, Refrigeration and Ventilation Association (JARVA) and importers. The NOU would continue providing consultations and training support to ensure accurate data reporting; the use of this revised reporting template will facilitate process of HCFC data collection and reporting and will improve data quality;</w:t>
      </w:r>
    </w:p>
    <w:p w14:paraId="02778B50" w14:textId="77777777" w:rsidR="00024F17" w:rsidRPr="00ED126B" w:rsidRDefault="00024F17" w:rsidP="00024F17">
      <w:pPr>
        <w:pStyle w:val="Heading2"/>
        <w:rPr>
          <w:lang w:val="en-CA"/>
        </w:rPr>
      </w:pPr>
      <w:r w:rsidRPr="00ED126B">
        <w:rPr>
          <w:lang w:val="en-CA"/>
        </w:rPr>
        <w:t>JCA is communicating on an ongoing basis with importers and brokers to ensure that an invoice for each refrigerant, particularly for HCFCs and HCFC-blends (specifying the composition), is accurately filled. Additionally, training programmes will be held with importers, brokers and other stakeholders to avoid data discrepancy issues in future reporting;</w:t>
      </w:r>
    </w:p>
    <w:p w14:paraId="3F282F9D" w14:textId="77777777" w:rsidR="00024F17" w:rsidRPr="00ED126B" w:rsidRDefault="00024F17" w:rsidP="00024F17">
      <w:pPr>
        <w:pStyle w:val="Heading2"/>
        <w:rPr>
          <w:lang w:val="en-CA"/>
        </w:rPr>
      </w:pPr>
      <w:r w:rsidRPr="00ED126B">
        <w:rPr>
          <w:lang w:val="en-CA"/>
        </w:rPr>
        <w:t>The risk of illegal imports is being managed by the participation of Jamaica in the informal prior informed consent (</w:t>
      </w:r>
      <w:proofErr w:type="spellStart"/>
      <w:r w:rsidRPr="00ED126B">
        <w:rPr>
          <w:lang w:val="en-CA"/>
        </w:rPr>
        <w:t>iPIC</w:t>
      </w:r>
      <w:proofErr w:type="spellEnd"/>
      <w:r w:rsidRPr="00ED126B">
        <w:rPr>
          <w:lang w:val="en-CA"/>
        </w:rPr>
        <w:t>) process; and</w:t>
      </w:r>
    </w:p>
    <w:p w14:paraId="03B772AF" w14:textId="77777777" w:rsidR="00024F17" w:rsidRPr="00ED126B" w:rsidRDefault="00024F17" w:rsidP="00024F17">
      <w:pPr>
        <w:pStyle w:val="Heading2"/>
        <w:rPr>
          <w:lang w:val="en-CA"/>
        </w:rPr>
      </w:pPr>
      <w:r w:rsidRPr="00ED126B">
        <w:rPr>
          <w:lang w:val="en-CA"/>
        </w:rPr>
        <w:t>Between March and April 2021, discussions were held between the NOU, JCA and the Ministry of Health and Wellness to ensure that HCFC import quota allocation is in line with the actual needs of the country and in accordance with the HPMP, and that actual amounts of HCFC imports are properly recorded and monitored.</w:t>
      </w:r>
    </w:p>
    <w:p w14:paraId="2FB7431F" w14:textId="77777777" w:rsidR="00024F17" w:rsidRPr="00ED126B" w:rsidRDefault="00024F17" w:rsidP="00024F17">
      <w:pPr>
        <w:pStyle w:val="Heading1"/>
      </w:pPr>
      <w:r w:rsidRPr="00ED126B">
        <w:lastRenderedPageBreak/>
        <w:t xml:space="preserve">In addition to the above actions implemented, between October 2020 and February 2021, UNDP held discussions with the NOU, representatives of the Ministry of Housing, Urban Renewal, Environment and Climate Change, the Ministry of Industry, Investment and Commerce and Trade Board, and technical experts on the recommendations for the revision of national HCFC targets in the Trade Order. The revised Trade Order is expected to be finalised by July 2021. </w:t>
      </w:r>
    </w:p>
    <w:p w14:paraId="2496C1CC" w14:textId="77777777" w:rsidR="00024F17" w:rsidRPr="00ED126B" w:rsidRDefault="00024F17" w:rsidP="00024F17">
      <w:pPr>
        <w:rPr>
          <w:b/>
        </w:rPr>
      </w:pPr>
      <w:r w:rsidRPr="00ED126B">
        <w:rPr>
          <w:b/>
        </w:rPr>
        <w:t>Secretariat’s comments</w:t>
      </w:r>
    </w:p>
    <w:p w14:paraId="4695782A" w14:textId="77777777" w:rsidR="00024F17" w:rsidRPr="00ED126B" w:rsidRDefault="00024F17" w:rsidP="00024F17"/>
    <w:p w14:paraId="6F2FC0EA" w14:textId="77777777" w:rsidR="00024F17" w:rsidRPr="00ED126B" w:rsidRDefault="00024F17" w:rsidP="00024F17">
      <w:pPr>
        <w:pStyle w:val="Heading1"/>
      </w:pPr>
      <w:r w:rsidRPr="00ED126B">
        <w:t>The Secretariat noted that the Government of Jamaica with the assistance from UNDP has implemented several activities to expeditiously implement the recommendations contained in the verification report. UNDP explained that although consultations with national stakeholders were affected due to COVID</w:t>
      </w:r>
      <w:r w:rsidRPr="00ED126B">
        <w:noBreakHyphen/>
        <w:t>19</w:t>
      </w:r>
      <w:r w:rsidRPr="00ED126B">
        <w:noBreakHyphen/>
        <w:t xml:space="preserve">related restrictions, several actions were undertaken to implement the recommendations through virtual meetings and electronic sharing of documents. </w:t>
      </w:r>
    </w:p>
    <w:p w14:paraId="1608D329" w14:textId="77777777" w:rsidR="00024F17" w:rsidRPr="00ED126B" w:rsidRDefault="00024F17" w:rsidP="00024F17">
      <w:pPr>
        <w:pStyle w:val="Heading1"/>
      </w:pPr>
      <w:r w:rsidRPr="00ED126B">
        <w:t>It was agreed that the Government of Jamaica and UNDP would provide an update on additional steps taken in relation to the recommendations in the verification report to the 88</w:t>
      </w:r>
      <w:r w:rsidRPr="00ED126B">
        <w:rPr>
          <w:vertAlign w:val="superscript"/>
        </w:rPr>
        <w:t>th</w:t>
      </w:r>
      <w:r w:rsidRPr="00ED126B">
        <w:t xml:space="preserve"> meeting. </w:t>
      </w:r>
    </w:p>
    <w:p w14:paraId="6B999300" w14:textId="77777777" w:rsidR="00024F17" w:rsidRPr="00ED126B" w:rsidRDefault="00024F17" w:rsidP="00024F17">
      <w:pPr>
        <w:rPr>
          <w:b/>
        </w:rPr>
      </w:pPr>
      <w:r w:rsidRPr="00ED126B">
        <w:rPr>
          <w:b/>
        </w:rPr>
        <w:t>Recommendation</w:t>
      </w:r>
    </w:p>
    <w:p w14:paraId="7DA94F4C" w14:textId="77777777" w:rsidR="00024F17" w:rsidRPr="00ED126B" w:rsidRDefault="00024F17" w:rsidP="00024F17">
      <w:pPr>
        <w:pStyle w:val="Heading1"/>
        <w:numPr>
          <w:ilvl w:val="0"/>
          <w:numId w:val="0"/>
        </w:numPr>
        <w:spacing w:after="0"/>
      </w:pPr>
    </w:p>
    <w:p w14:paraId="635410D1" w14:textId="77777777" w:rsidR="00024F17" w:rsidRPr="00ED126B" w:rsidRDefault="00024F17" w:rsidP="00024F17">
      <w:pPr>
        <w:pStyle w:val="Heading1"/>
      </w:pPr>
      <w:r w:rsidRPr="00ED126B">
        <w:t>The Executive Committee may wish:</w:t>
      </w:r>
    </w:p>
    <w:p w14:paraId="2B1605A8" w14:textId="77777777" w:rsidR="00024F17" w:rsidRPr="00ED126B" w:rsidRDefault="00024F17" w:rsidP="00024F17">
      <w:pPr>
        <w:pStyle w:val="Heading2"/>
      </w:pPr>
      <w:r w:rsidRPr="00ED126B">
        <w:t>To note the update on the status of implementation of the measures for strengthening the licensing and quota system and monitoring and reporting of HCFC consumption recommended in the verification report under stage II of the HCFC phase</w:t>
      </w:r>
      <w:r w:rsidRPr="00ED126B">
        <w:noBreakHyphen/>
        <w:t>out management plan for Jamaica, submitted by UNDP and contained in document UNEP/Ozl.Pro/ExCom/87/</w:t>
      </w:r>
      <w:r w:rsidR="00FF033E" w:rsidRPr="00ED126B">
        <w:t>9</w:t>
      </w:r>
      <w:r w:rsidRPr="00ED126B">
        <w:t>; and</w:t>
      </w:r>
    </w:p>
    <w:p w14:paraId="06E3CECF" w14:textId="77777777" w:rsidR="00024F17" w:rsidRPr="00ED126B" w:rsidRDefault="00024F17" w:rsidP="00024F17">
      <w:pPr>
        <w:pStyle w:val="Heading2"/>
      </w:pPr>
      <w:r w:rsidRPr="00ED126B">
        <w:t>To request the Government of Jamaica and UNDP to provide, to the 88</w:t>
      </w:r>
      <w:r w:rsidRPr="00ED126B">
        <w:rPr>
          <w:vertAlign w:val="superscript"/>
        </w:rPr>
        <w:t>th</w:t>
      </w:r>
      <w:r w:rsidRPr="00ED126B">
        <w:t> meeting, an update on the additional steps taken in relation to the recommendations in the verification report submitted to the 85</w:t>
      </w:r>
      <w:r w:rsidRPr="00ED126B">
        <w:rPr>
          <w:vertAlign w:val="superscript"/>
        </w:rPr>
        <w:t>th</w:t>
      </w:r>
      <w:r w:rsidRPr="00ED126B">
        <w:t xml:space="preserve"> meeting.</w:t>
      </w:r>
    </w:p>
    <w:p w14:paraId="6C818754" w14:textId="77777777" w:rsidR="00F63AF8" w:rsidRPr="00F63AF8" w:rsidRDefault="00F63AF8" w:rsidP="00F63AF8">
      <w:pPr>
        <w:pStyle w:val="StyleHeader4Para4Left0Firstline0"/>
        <w:keepNext/>
        <w:keepLines/>
        <w:widowControl/>
        <w:numPr>
          <w:ilvl w:val="0"/>
          <w:numId w:val="0"/>
        </w:numPr>
        <w:rPr>
          <w:sz w:val="22"/>
          <w:u w:val="single"/>
        </w:rPr>
      </w:pPr>
      <w:r w:rsidRPr="00754216">
        <w:rPr>
          <w:sz w:val="22"/>
          <w:u w:val="single"/>
        </w:rPr>
        <w:t>Jordan: HCFC phas</w:t>
      </w:r>
      <w:r>
        <w:rPr>
          <w:sz w:val="22"/>
          <w:u w:val="single"/>
        </w:rPr>
        <w:t>e-out management plan (stage II</w:t>
      </w:r>
      <w:r w:rsidRPr="00754216">
        <w:rPr>
          <w:sz w:val="22"/>
          <w:u w:val="single"/>
        </w:rPr>
        <w:t xml:space="preserve"> – </w:t>
      </w:r>
      <w:r>
        <w:rPr>
          <w:sz w:val="22"/>
          <w:u w:val="single"/>
        </w:rPr>
        <w:t>c</w:t>
      </w:r>
      <w:r w:rsidRPr="00754216">
        <w:rPr>
          <w:sz w:val="22"/>
          <w:u w:val="single"/>
        </w:rPr>
        <w:t>hange in technolo</w:t>
      </w:r>
      <w:r>
        <w:rPr>
          <w:sz w:val="22"/>
          <w:u w:val="single"/>
        </w:rPr>
        <w:t>gy at five enterprises)</w:t>
      </w:r>
      <w:r w:rsidRPr="0037323F">
        <w:rPr>
          <w:sz w:val="22"/>
        </w:rPr>
        <w:t xml:space="preserve"> (World</w:t>
      </w:r>
      <w:r>
        <w:rPr>
          <w:sz w:val="22"/>
        </w:rPr>
        <w:t> </w:t>
      </w:r>
      <w:r w:rsidRPr="0037323F">
        <w:rPr>
          <w:sz w:val="22"/>
        </w:rPr>
        <w:t xml:space="preserve">Bank and UNIDO) </w:t>
      </w:r>
    </w:p>
    <w:p w14:paraId="4031A132" w14:textId="77777777" w:rsidR="00F63AF8" w:rsidRPr="00754216" w:rsidRDefault="00F63AF8" w:rsidP="00F63AF8">
      <w:pPr>
        <w:pStyle w:val="StyleHeader4Para4Left0Firstline0"/>
        <w:keepNext/>
        <w:keepLines/>
        <w:widowControl/>
        <w:numPr>
          <w:ilvl w:val="0"/>
          <w:numId w:val="0"/>
        </w:numPr>
        <w:rPr>
          <w:b/>
          <w:sz w:val="22"/>
        </w:rPr>
      </w:pPr>
      <w:r w:rsidRPr="00754216">
        <w:rPr>
          <w:b/>
          <w:sz w:val="22"/>
        </w:rPr>
        <w:t xml:space="preserve">Background </w:t>
      </w:r>
    </w:p>
    <w:p w14:paraId="4B01C26C" w14:textId="77777777" w:rsidR="00F63AF8" w:rsidRPr="005F5E9B" w:rsidRDefault="00F63AF8" w:rsidP="00F63AF8">
      <w:pPr>
        <w:pStyle w:val="Heading1"/>
      </w:pPr>
      <w:r w:rsidRPr="00754216">
        <w:t xml:space="preserve">At </w:t>
      </w:r>
      <w:r>
        <w:t>its</w:t>
      </w:r>
      <w:r w:rsidRPr="00754216">
        <w:t xml:space="preserve"> 77</w:t>
      </w:r>
      <w:r w:rsidRPr="003E0C1B">
        <w:rPr>
          <w:vertAlign w:val="superscript"/>
        </w:rPr>
        <w:t>th</w:t>
      </w:r>
      <w:r>
        <w:t xml:space="preserve"> </w:t>
      </w:r>
      <w:r w:rsidRPr="00754216">
        <w:t xml:space="preserve">meeting, the Executive Committee </w:t>
      </w:r>
      <w:r w:rsidRPr="003E0C1B">
        <w:t>approve</w:t>
      </w:r>
      <w:r>
        <w:t>d</w:t>
      </w:r>
      <w:r w:rsidRPr="003E0C1B">
        <w:t>, in princi</w:t>
      </w:r>
      <w:r>
        <w:t xml:space="preserve">ple, stage II of the </w:t>
      </w:r>
      <w:r w:rsidR="00E50F23">
        <w:t>HPMP</w:t>
      </w:r>
      <w:r w:rsidRPr="003E0C1B">
        <w:t xml:space="preserve"> for Jordan</w:t>
      </w:r>
      <w:r w:rsidRPr="00234A52">
        <w:rPr>
          <w:vertAlign w:val="superscript"/>
          <w:lang w:val="en-CA"/>
        </w:rPr>
        <w:footnoteReference w:id="20"/>
      </w:r>
      <w:r w:rsidRPr="003E0C1B">
        <w:t xml:space="preserve"> for the period 2017 to 2022, t</w:t>
      </w:r>
      <w:r>
        <w:t>o reduce HCFC consumption by 50 </w:t>
      </w:r>
      <w:r w:rsidRPr="003E0C1B">
        <w:t>per</w:t>
      </w:r>
      <w:r>
        <w:t> </w:t>
      </w:r>
      <w:r w:rsidRPr="003E0C1B">
        <w:t xml:space="preserve">cent of the baseline, in the amount of </w:t>
      </w:r>
      <w:r>
        <w:t>US $</w:t>
      </w:r>
      <w:r w:rsidRPr="003E0C1B">
        <w:t xml:space="preserve">3,289,919, consisting of </w:t>
      </w:r>
      <w:r>
        <w:t>US $</w:t>
      </w:r>
      <w:r w:rsidRPr="003E0C1B">
        <w:t xml:space="preserve">2,075,236, plus agency support costs of </w:t>
      </w:r>
      <w:r>
        <w:t>US $</w:t>
      </w:r>
      <w:r w:rsidRPr="003E0C1B">
        <w:t xml:space="preserve">145,267 for the World Bank, and </w:t>
      </w:r>
      <w:r>
        <w:t>US $</w:t>
      </w:r>
      <w:r w:rsidRPr="003E0C1B">
        <w:t xml:space="preserve">999,455, plus agency supports costs of </w:t>
      </w:r>
      <w:r>
        <w:t>US $</w:t>
      </w:r>
      <w:r w:rsidRPr="003E0C1B">
        <w:t>69,961 for UNIDO</w:t>
      </w:r>
      <w:r w:rsidRPr="00754216">
        <w:t xml:space="preserve">. In approving stage II, the Executive Committee </w:t>
      </w:r>
      <w:r w:rsidRPr="00B75D6B">
        <w:rPr>
          <w:i/>
        </w:rPr>
        <w:t>inter alia</w:t>
      </w:r>
      <w:r w:rsidRPr="00754216">
        <w:t xml:space="preserve"> noted that the Government of Jordan would have flexibility in using the funds approved for the </w:t>
      </w:r>
      <w:r w:rsidRPr="00B75D6B">
        <w:t xml:space="preserve">polyurethane </w:t>
      </w:r>
      <w:r>
        <w:t xml:space="preserve">(PU) </w:t>
      </w:r>
      <w:r w:rsidRPr="00754216">
        <w:t>foam sector to achieve a smooth and efficient HCFC-141b phase-out in line with its Agreement with th</w:t>
      </w:r>
      <w:r>
        <w:t>e Executive Committee (decision </w:t>
      </w:r>
      <w:r w:rsidRPr="00754216">
        <w:t>77/45</w:t>
      </w:r>
      <w:r>
        <w:t xml:space="preserve">(a) and </w:t>
      </w:r>
      <w:r w:rsidRPr="00754216">
        <w:t xml:space="preserve">(b)(iii)). </w:t>
      </w:r>
    </w:p>
    <w:p w14:paraId="1D8C791C" w14:textId="77777777" w:rsidR="00F63AF8" w:rsidRPr="005F5E9B" w:rsidRDefault="00F63AF8" w:rsidP="00F63AF8">
      <w:pPr>
        <w:pStyle w:val="Heading1"/>
      </w:pPr>
      <w:r w:rsidRPr="00754216">
        <w:t xml:space="preserve">The PU foam sector plan of stage II of the HPMP includes the conversion of three large enterprises, Jordan Pioneer for Metal Industry (Jordan Pioneer), Al </w:t>
      </w:r>
      <w:proofErr w:type="spellStart"/>
      <w:r w:rsidRPr="00754216">
        <w:t>Safa</w:t>
      </w:r>
      <w:proofErr w:type="spellEnd"/>
      <w:r w:rsidRPr="00754216">
        <w:t xml:space="preserve"> for Sheet </w:t>
      </w:r>
      <w:r>
        <w:t>Metal Industry and Panel Co (Al </w:t>
      </w:r>
      <w:proofErr w:type="spellStart"/>
      <w:r w:rsidRPr="00754216">
        <w:t>Safa</w:t>
      </w:r>
      <w:proofErr w:type="spellEnd"/>
      <w:r w:rsidRPr="00754216">
        <w:t>) and Jordan Manufacturing and Services Solutions (JMSS), 43 SMEs and six enterprises in spray foam applications. The total phase-out approved in the foam sector plan was 33.07</w:t>
      </w:r>
      <w:r>
        <w:t> </w:t>
      </w:r>
      <w:r w:rsidRPr="00754216">
        <w:t>ODP tonnes.</w:t>
      </w:r>
    </w:p>
    <w:p w14:paraId="310EF2C7" w14:textId="77777777" w:rsidR="00F63AF8" w:rsidRPr="005F5E9B" w:rsidRDefault="00F63AF8" w:rsidP="00F63AF8">
      <w:pPr>
        <w:pStyle w:val="Heading1"/>
      </w:pPr>
      <w:r w:rsidRPr="00754216">
        <w:t xml:space="preserve">Of </w:t>
      </w:r>
      <w:r w:rsidRPr="00B86B27">
        <w:t>these 52 enterprises in</w:t>
      </w:r>
      <w:r w:rsidRPr="00754216">
        <w:t xml:space="preserve"> PU foam applications, Jordan Pioneer agreed to convert to cyclopentane </w:t>
      </w:r>
      <w:r w:rsidRPr="001A0D17">
        <w:t>as the blowing agent when stage II was submitted. During the implementation of stage II, the following</w:t>
      </w:r>
      <w:r>
        <w:t xml:space="preserve"> </w:t>
      </w:r>
      <w:r>
        <w:lastRenderedPageBreak/>
        <w:t xml:space="preserve">enterprises </w:t>
      </w:r>
      <w:r w:rsidRPr="00754216">
        <w:t>decided to adopt cyclopentane-based formulations in place of HFO-based formulations in light of difficulties in availability of HFO-based technologies</w:t>
      </w:r>
      <w:r>
        <w:t>:</w:t>
      </w:r>
      <w:r w:rsidRPr="00754216">
        <w:t xml:space="preserve"> Al </w:t>
      </w:r>
      <w:proofErr w:type="spellStart"/>
      <w:r w:rsidRPr="00754216">
        <w:t>Safa</w:t>
      </w:r>
      <w:proofErr w:type="spellEnd"/>
      <w:r w:rsidRPr="00754216">
        <w:t>, Shams Al-ram Tri, Yousef Workshop for Metal Industries, Al-</w:t>
      </w:r>
      <w:proofErr w:type="spellStart"/>
      <w:r w:rsidRPr="00754216">
        <w:t>Qanadeel</w:t>
      </w:r>
      <w:proofErr w:type="spellEnd"/>
      <w:r w:rsidRPr="00754216">
        <w:t>, Prefabricated Buildings (</w:t>
      </w:r>
      <w:proofErr w:type="spellStart"/>
      <w:r w:rsidRPr="00754216">
        <w:t>Maani</w:t>
      </w:r>
      <w:proofErr w:type="spellEnd"/>
      <w:r w:rsidRPr="00754216">
        <w:t>)</w:t>
      </w:r>
      <w:r>
        <w:t xml:space="preserve">, and </w:t>
      </w:r>
      <w:r w:rsidRPr="00754216">
        <w:t xml:space="preserve">Abu </w:t>
      </w:r>
      <w:proofErr w:type="spellStart"/>
      <w:r w:rsidRPr="00754216">
        <w:t>Haltam</w:t>
      </w:r>
      <w:proofErr w:type="spellEnd"/>
      <w:r>
        <w:t xml:space="preserve">. </w:t>
      </w:r>
      <w:r w:rsidRPr="00754216">
        <w:t xml:space="preserve">The Executive Committee approved the technology change in these enterprises </w:t>
      </w:r>
      <w:r>
        <w:t>at</w:t>
      </w:r>
      <w:r w:rsidRPr="00754216">
        <w:t xml:space="preserve"> the 83</w:t>
      </w:r>
      <w:r w:rsidRPr="00754216">
        <w:rPr>
          <w:vertAlign w:val="superscript"/>
        </w:rPr>
        <w:t>rd</w:t>
      </w:r>
      <w:r>
        <w:t> </w:t>
      </w:r>
      <w:r w:rsidRPr="00754216">
        <w:t>meeting</w:t>
      </w:r>
      <w:r>
        <w:rPr>
          <w:rStyle w:val="FootnoteReference"/>
        </w:rPr>
        <w:footnoteReference w:id="21"/>
      </w:r>
      <w:r w:rsidRPr="00754216">
        <w:t xml:space="preserve"> and 86</w:t>
      </w:r>
      <w:r w:rsidRPr="00754216">
        <w:rPr>
          <w:vertAlign w:val="superscript"/>
        </w:rPr>
        <w:t>th</w:t>
      </w:r>
      <w:r w:rsidRPr="00754216">
        <w:t xml:space="preserve"> meeting</w:t>
      </w:r>
      <w:r>
        <w:t>.</w:t>
      </w:r>
      <w:r>
        <w:rPr>
          <w:rStyle w:val="FootnoteReference"/>
        </w:rPr>
        <w:footnoteReference w:id="22"/>
      </w:r>
    </w:p>
    <w:p w14:paraId="25847A56" w14:textId="77777777" w:rsidR="00F63AF8" w:rsidRPr="00B86B27" w:rsidRDefault="00F63AF8" w:rsidP="00F63AF8">
      <w:pPr>
        <w:pStyle w:val="Heading1"/>
      </w:pPr>
      <w:r>
        <w:t xml:space="preserve">Subsequently, </w:t>
      </w:r>
      <w:r w:rsidRPr="00754216">
        <w:t xml:space="preserve">five </w:t>
      </w:r>
      <w:r>
        <w:t xml:space="preserve">additional </w:t>
      </w:r>
      <w:r w:rsidRPr="00754216">
        <w:t>foam enterprises</w:t>
      </w:r>
      <w:r>
        <w:t>, with a very low consumption of HCFC-141b,</w:t>
      </w:r>
      <w:r w:rsidRPr="00754216">
        <w:t xml:space="preserve"> producing panels and other products, namely </w:t>
      </w:r>
      <w:proofErr w:type="spellStart"/>
      <w:r w:rsidRPr="00754216">
        <w:t>Asr</w:t>
      </w:r>
      <w:proofErr w:type="spellEnd"/>
      <w:r>
        <w:t> </w:t>
      </w:r>
      <w:r w:rsidRPr="00754216">
        <w:t>Al</w:t>
      </w:r>
      <w:r>
        <w:t> </w:t>
      </w:r>
      <w:proofErr w:type="spellStart"/>
      <w:r w:rsidRPr="00754216">
        <w:t>Nahda</w:t>
      </w:r>
      <w:proofErr w:type="spellEnd"/>
      <w:r w:rsidRPr="00754216">
        <w:t xml:space="preserve"> Co., </w:t>
      </w:r>
      <w:proofErr w:type="spellStart"/>
      <w:r w:rsidRPr="00754216">
        <w:t>Alfa</w:t>
      </w:r>
      <w:r>
        <w:t>qeer</w:t>
      </w:r>
      <w:proofErr w:type="spellEnd"/>
      <w:r>
        <w:t xml:space="preserve"> Industrial Co. Ltd., </w:t>
      </w:r>
      <w:proofErr w:type="spellStart"/>
      <w:r>
        <w:t>Majed</w:t>
      </w:r>
      <w:proofErr w:type="spellEnd"/>
      <w:r>
        <w:t> </w:t>
      </w:r>
      <w:proofErr w:type="spellStart"/>
      <w:r w:rsidRPr="00754216">
        <w:t>Ghoche</w:t>
      </w:r>
      <w:proofErr w:type="spellEnd"/>
      <w:r w:rsidRPr="00754216">
        <w:t xml:space="preserve"> </w:t>
      </w:r>
      <w:r>
        <w:t>and</w:t>
      </w:r>
      <w:r w:rsidRPr="00754216">
        <w:t xml:space="preserve"> Partners, </w:t>
      </w:r>
      <w:proofErr w:type="spellStart"/>
      <w:r w:rsidRPr="00754216">
        <w:t>Wabbbeh</w:t>
      </w:r>
      <w:proofErr w:type="spellEnd"/>
      <w:r w:rsidRPr="00754216">
        <w:t xml:space="preserve"> </w:t>
      </w:r>
      <w:proofErr w:type="spellStart"/>
      <w:r w:rsidRPr="00754216">
        <w:t>Aluminum</w:t>
      </w:r>
      <w:proofErr w:type="spellEnd"/>
      <w:r w:rsidRPr="00754216">
        <w:t xml:space="preserve"> Co. and </w:t>
      </w:r>
      <w:proofErr w:type="spellStart"/>
      <w:r w:rsidRPr="00754216">
        <w:t>Sharori</w:t>
      </w:r>
      <w:proofErr w:type="spellEnd"/>
      <w:r w:rsidRPr="00754216">
        <w:t xml:space="preserve"> Aluminium Blind Shutters, have requested for </w:t>
      </w:r>
      <w:r>
        <w:t xml:space="preserve">a change in </w:t>
      </w:r>
      <w:r w:rsidRPr="00754216">
        <w:t>technology from the originally proposed HFO-1233zd(E) to water-blown technology</w:t>
      </w:r>
      <w:r>
        <w:t>, as HFO</w:t>
      </w:r>
      <w:r>
        <w:noBreakHyphen/>
      </w:r>
      <w:r w:rsidRPr="00B86B27">
        <w:t xml:space="preserve">based technology </w:t>
      </w:r>
      <w:r>
        <w:t xml:space="preserve">is </w:t>
      </w:r>
      <w:r w:rsidRPr="00B86B27">
        <w:t>not available from the regional systems houses</w:t>
      </w:r>
      <w:r>
        <w:t xml:space="preserve">. Introducing </w:t>
      </w:r>
      <w:r w:rsidRPr="00B86B27">
        <w:t>water</w:t>
      </w:r>
      <w:r>
        <w:noBreakHyphen/>
      </w:r>
      <w:r w:rsidRPr="00B86B27">
        <w:t>blown technology</w:t>
      </w:r>
      <w:r>
        <w:t>,</w:t>
      </w:r>
      <w:r w:rsidRPr="00B86B27">
        <w:t xml:space="preserve"> the</w:t>
      </w:r>
      <w:r>
        <w:t xml:space="preserve"> enterprises</w:t>
      </w:r>
      <w:r w:rsidRPr="00B86B27">
        <w:t xml:space="preserve"> would achieve timely comp</w:t>
      </w:r>
      <w:r>
        <w:t xml:space="preserve">letion of their conversions, noting that </w:t>
      </w:r>
      <w:r w:rsidRPr="00754216">
        <w:t>regulations prohibiting imports of HCFC-141b in bul</w:t>
      </w:r>
      <w:r>
        <w:t>k and contained in imported pre</w:t>
      </w:r>
      <w:r>
        <w:noBreakHyphen/>
      </w:r>
      <w:r w:rsidRPr="00754216">
        <w:t>blended polyols</w:t>
      </w:r>
      <w:r>
        <w:t xml:space="preserve"> </w:t>
      </w:r>
      <w:r w:rsidRPr="00B86B27">
        <w:t>will be in force</w:t>
      </w:r>
      <w:r>
        <w:t xml:space="preserve"> by 1 January 2022</w:t>
      </w:r>
      <w:r w:rsidRPr="00B86B27">
        <w:t>.</w:t>
      </w:r>
    </w:p>
    <w:p w14:paraId="6655F800" w14:textId="77777777" w:rsidR="00F63AF8" w:rsidRPr="00754216" w:rsidRDefault="00F63AF8" w:rsidP="00F63AF8">
      <w:pPr>
        <w:pStyle w:val="Heading1"/>
      </w:pPr>
      <w:r>
        <w:t>I</w:t>
      </w:r>
      <w:r w:rsidRPr="00754216">
        <w:t xml:space="preserve">n accordance with paragraph 7(a)(vii) of the Agreement between the Government of Jordan and the Executive Committee, the Government, through the World Bank, has submitted a request to change the technology for the five enterprises from HFO-based to </w:t>
      </w:r>
      <w:r>
        <w:t>water-based foam blowing technology</w:t>
      </w:r>
      <w:r w:rsidRPr="00754216">
        <w:t>.</w:t>
      </w:r>
    </w:p>
    <w:p w14:paraId="0B181223" w14:textId="77777777" w:rsidR="00F63AF8" w:rsidRPr="00754216" w:rsidRDefault="00F63AF8" w:rsidP="00F63AF8">
      <w:pPr>
        <w:pStyle w:val="StyleHeader4Para4Left0Firstline0"/>
        <w:numPr>
          <w:ilvl w:val="0"/>
          <w:numId w:val="0"/>
        </w:numPr>
        <w:spacing w:after="0"/>
        <w:rPr>
          <w:b/>
          <w:sz w:val="22"/>
        </w:rPr>
      </w:pPr>
      <w:r w:rsidRPr="00754216">
        <w:rPr>
          <w:b/>
          <w:sz w:val="22"/>
        </w:rPr>
        <w:t xml:space="preserve">Secretariat’s comments </w:t>
      </w:r>
    </w:p>
    <w:p w14:paraId="357C7F0A" w14:textId="77777777" w:rsidR="00F63AF8" w:rsidRPr="00754216" w:rsidRDefault="00F63AF8" w:rsidP="00F63AF8">
      <w:pPr>
        <w:pStyle w:val="StyleHeader4Para4Left0Firstline0"/>
        <w:numPr>
          <w:ilvl w:val="0"/>
          <w:numId w:val="0"/>
        </w:numPr>
        <w:spacing w:after="0"/>
        <w:rPr>
          <w:b/>
          <w:sz w:val="22"/>
        </w:rPr>
      </w:pPr>
    </w:p>
    <w:p w14:paraId="04227090" w14:textId="77777777" w:rsidR="00F63AF8" w:rsidRPr="005F5E9B" w:rsidRDefault="00F63AF8" w:rsidP="00F63AF8">
      <w:pPr>
        <w:pStyle w:val="Heading1"/>
      </w:pPr>
      <w:r w:rsidRPr="00754216">
        <w:t xml:space="preserve">The Secretariat requested clarifications on how this change would affect the remaining conversion projects in the industry. The World Bank clarified that in the foam sector, </w:t>
      </w:r>
      <w:r>
        <w:t>the remaining enterprises are still considering using HFO-based technology keeping in view the better insulation property and availability of HFO-based technology for applications in insulation foams.</w:t>
      </w:r>
      <w:r w:rsidRPr="00754216">
        <w:t xml:space="preserve"> </w:t>
      </w:r>
    </w:p>
    <w:p w14:paraId="3844F431" w14:textId="77777777" w:rsidR="00F63AF8" w:rsidRPr="005F5E9B" w:rsidRDefault="00F63AF8" w:rsidP="00F63AF8">
      <w:pPr>
        <w:pStyle w:val="Heading1"/>
      </w:pPr>
      <w:r>
        <w:t>T</w:t>
      </w:r>
      <w:r w:rsidRPr="00754216">
        <w:t xml:space="preserve">he World Bank </w:t>
      </w:r>
      <w:r>
        <w:t xml:space="preserve">also confirmed </w:t>
      </w:r>
      <w:r w:rsidRPr="00754216">
        <w:t xml:space="preserve">that </w:t>
      </w:r>
      <w:r>
        <w:t>w</w:t>
      </w:r>
      <w:r w:rsidRPr="00F1478B">
        <w:t>ater-blown technology for roller shutter applications is available in Jor</w:t>
      </w:r>
      <w:r>
        <w:t>dan from regional system houses from Egypt, United Arab Emirates and other countries; t</w:t>
      </w:r>
      <w:r w:rsidRPr="00F1478B">
        <w:t xml:space="preserve">echnical support will be provided by </w:t>
      </w:r>
      <w:r>
        <w:t xml:space="preserve">the </w:t>
      </w:r>
      <w:r w:rsidRPr="00F1478B">
        <w:t>system house</w:t>
      </w:r>
      <w:r>
        <w:t>s</w:t>
      </w:r>
      <w:r w:rsidRPr="00F1478B">
        <w:t xml:space="preserve"> to test and evaluate </w:t>
      </w:r>
      <w:r>
        <w:t xml:space="preserve">the technology at each enterprise </w:t>
      </w:r>
      <w:r w:rsidRPr="00F1478B">
        <w:t>to meet specific requirements</w:t>
      </w:r>
      <w:r>
        <w:t>. This support would ensure sustainable adoption of water-blown technology in the enterprises.</w:t>
      </w:r>
    </w:p>
    <w:p w14:paraId="4858D843" w14:textId="77777777" w:rsidR="00F63AF8" w:rsidRPr="001A0D17" w:rsidRDefault="00F63AF8" w:rsidP="00F63AF8">
      <w:pPr>
        <w:pStyle w:val="Heading1"/>
      </w:pPr>
      <w:r w:rsidRPr="001A0D17">
        <w:t xml:space="preserve">The Secretariat reviewed the costs for conversion of these five enterprises based on the water-blown technology; the change in technology for three enterprises would result in reduction of costs from US $78,393 to US $46,522, with two enterprises requiring additional technical assistance from the systems houses on formulations, testing and trials, as shown in Table </w:t>
      </w:r>
      <w:r w:rsidR="000A23A6">
        <w:t>4</w:t>
      </w:r>
      <w:r w:rsidRPr="001A0D17">
        <w:t>.</w:t>
      </w:r>
    </w:p>
    <w:p w14:paraId="136D61BA" w14:textId="77777777" w:rsidR="00F63AF8" w:rsidRPr="00754216" w:rsidRDefault="00F63AF8" w:rsidP="00F63AF8">
      <w:pPr>
        <w:pStyle w:val="StyleHeader4Para4Left0Firstline0"/>
        <w:numPr>
          <w:ilvl w:val="0"/>
          <w:numId w:val="0"/>
        </w:numPr>
        <w:spacing w:after="0"/>
        <w:rPr>
          <w:b/>
          <w:sz w:val="22"/>
        </w:rPr>
      </w:pPr>
      <w:r w:rsidRPr="00754216">
        <w:rPr>
          <w:b/>
          <w:sz w:val="22"/>
        </w:rPr>
        <w:t xml:space="preserve">Table </w:t>
      </w:r>
      <w:r w:rsidR="000A23A6" w:rsidRPr="000A23A6">
        <w:rPr>
          <w:b/>
          <w:sz w:val="22"/>
        </w:rPr>
        <w:t>4</w:t>
      </w:r>
      <w:r w:rsidRPr="000A23A6">
        <w:rPr>
          <w:b/>
          <w:sz w:val="22"/>
        </w:rPr>
        <w:t>.</w:t>
      </w:r>
      <w:r w:rsidRPr="00754216">
        <w:rPr>
          <w:b/>
          <w:sz w:val="22"/>
        </w:rPr>
        <w:t xml:space="preserve"> Revised incremental cost of the conversion to </w:t>
      </w:r>
      <w:r>
        <w:rPr>
          <w:b/>
          <w:sz w:val="22"/>
        </w:rPr>
        <w:t>water-blown</w:t>
      </w:r>
      <w:r w:rsidRPr="00754216">
        <w:rPr>
          <w:b/>
          <w:sz w:val="22"/>
        </w:rPr>
        <w:t xml:space="preserve"> </w:t>
      </w:r>
      <w:r>
        <w:rPr>
          <w:b/>
          <w:sz w:val="22"/>
        </w:rPr>
        <w:t xml:space="preserve">technology </w:t>
      </w:r>
      <w:r w:rsidRPr="00754216">
        <w:rPr>
          <w:b/>
          <w:sz w:val="22"/>
        </w:rPr>
        <w:t>(</w:t>
      </w:r>
      <w:r>
        <w:rPr>
          <w:b/>
          <w:sz w:val="22"/>
        </w:rPr>
        <w:t>US $</w:t>
      </w:r>
      <w:r w:rsidRPr="00754216">
        <w:rPr>
          <w:b/>
          <w:sz w:val="22"/>
        </w:rP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4"/>
        <w:gridCol w:w="2845"/>
        <w:gridCol w:w="2845"/>
      </w:tblGrid>
      <w:tr w:rsidR="00F63AF8" w:rsidRPr="001F5A58" w14:paraId="6C1F6AAA" w14:textId="77777777" w:rsidTr="00F63AF8">
        <w:trPr>
          <w:trHeight w:val="185"/>
        </w:trPr>
        <w:tc>
          <w:tcPr>
            <w:tcW w:w="3664" w:type="dxa"/>
            <w:noWrap/>
            <w:tcMar>
              <w:top w:w="0" w:type="dxa"/>
              <w:left w:w="108" w:type="dxa"/>
              <w:bottom w:w="0" w:type="dxa"/>
              <w:right w:w="108" w:type="dxa"/>
            </w:tcMar>
            <w:hideMark/>
          </w:tcPr>
          <w:p w14:paraId="664AD8D0" w14:textId="77777777" w:rsidR="00F63AF8" w:rsidRPr="001F5A58" w:rsidRDefault="00F63AF8" w:rsidP="00F63AF8">
            <w:pPr>
              <w:rPr>
                <w:b/>
                <w:sz w:val="20"/>
                <w:szCs w:val="20"/>
              </w:rPr>
            </w:pPr>
            <w:r w:rsidRPr="001F5A58">
              <w:rPr>
                <w:b/>
                <w:sz w:val="20"/>
                <w:szCs w:val="20"/>
              </w:rPr>
              <w:t>Company name</w:t>
            </w:r>
          </w:p>
        </w:tc>
        <w:tc>
          <w:tcPr>
            <w:tcW w:w="2845" w:type="dxa"/>
          </w:tcPr>
          <w:p w14:paraId="606C7EE6" w14:textId="77777777" w:rsidR="00F63AF8" w:rsidRPr="001F5A58" w:rsidRDefault="00F63AF8" w:rsidP="00F63AF8">
            <w:pPr>
              <w:jc w:val="center"/>
              <w:rPr>
                <w:b/>
                <w:sz w:val="20"/>
                <w:szCs w:val="20"/>
              </w:rPr>
            </w:pPr>
            <w:r w:rsidRPr="001F5A58">
              <w:rPr>
                <w:b/>
                <w:sz w:val="20"/>
                <w:szCs w:val="20"/>
              </w:rPr>
              <w:t>Fund allocation for</w:t>
            </w:r>
          </w:p>
          <w:p w14:paraId="3D4D2781" w14:textId="77777777" w:rsidR="00F63AF8" w:rsidRPr="001F5A58" w:rsidRDefault="00F63AF8" w:rsidP="00F63AF8">
            <w:pPr>
              <w:jc w:val="center"/>
              <w:rPr>
                <w:b/>
                <w:sz w:val="20"/>
                <w:szCs w:val="20"/>
              </w:rPr>
            </w:pPr>
            <w:r w:rsidRPr="001F5A58">
              <w:rPr>
                <w:b/>
                <w:sz w:val="20"/>
                <w:szCs w:val="20"/>
              </w:rPr>
              <w:t>HFO-1233zd(E)</w:t>
            </w:r>
          </w:p>
        </w:tc>
        <w:tc>
          <w:tcPr>
            <w:tcW w:w="2845" w:type="dxa"/>
          </w:tcPr>
          <w:p w14:paraId="53F1538F" w14:textId="77777777" w:rsidR="00F63AF8" w:rsidRPr="001F5A58" w:rsidRDefault="00F63AF8" w:rsidP="00F63AF8">
            <w:pPr>
              <w:jc w:val="center"/>
              <w:rPr>
                <w:b/>
                <w:sz w:val="20"/>
                <w:szCs w:val="20"/>
              </w:rPr>
            </w:pPr>
            <w:r w:rsidRPr="001F5A58">
              <w:rPr>
                <w:b/>
                <w:sz w:val="20"/>
                <w:szCs w:val="20"/>
              </w:rPr>
              <w:t>Funds allocation for water</w:t>
            </w:r>
            <w:r w:rsidRPr="001F5A58">
              <w:rPr>
                <w:b/>
                <w:sz w:val="20"/>
                <w:szCs w:val="20"/>
              </w:rPr>
              <w:noBreakHyphen/>
              <w:t>blown technology</w:t>
            </w:r>
          </w:p>
        </w:tc>
      </w:tr>
      <w:tr w:rsidR="00F63AF8" w:rsidRPr="001F5A58" w14:paraId="3B892C35" w14:textId="77777777" w:rsidTr="00F63AF8">
        <w:trPr>
          <w:trHeight w:val="197"/>
        </w:trPr>
        <w:tc>
          <w:tcPr>
            <w:tcW w:w="3664" w:type="dxa"/>
            <w:noWrap/>
            <w:tcMar>
              <w:top w:w="0" w:type="dxa"/>
              <w:left w:w="108" w:type="dxa"/>
              <w:bottom w:w="0" w:type="dxa"/>
              <w:right w:w="108" w:type="dxa"/>
            </w:tcMar>
            <w:hideMark/>
          </w:tcPr>
          <w:p w14:paraId="0C4BF42C" w14:textId="77777777" w:rsidR="00F63AF8" w:rsidRPr="001F5A58" w:rsidRDefault="00F63AF8" w:rsidP="00F63AF8">
            <w:pPr>
              <w:rPr>
                <w:sz w:val="20"/>
                <w:szCs w:val="20"/>
              </w:rPr>
            </w:pPr>
            <w:proofErr w:type="spellStart"/>
            <w:r w:rsidRPr="001F5A58">
              <w:rPr>
                <w:sz w:val="20"/>
                <w:szCs w:val="20"/>
              </w:rPr>
              <w:t>Asr</w:t>
            </w:r>
            <w:proofErr w:type="spellEnd"/>
            <w:r w:rsidRPr="001F5A58">
              <w:rPr>
                <w:sz w:val="20"/>
                <w:szCs w:val="20"/>
              </w:rPr>
              <w:t xml:space="preserve"> Al </w:t>
            </w:r>
            <w:proofErr w:type="spellStart"/>
            <w:r w:rsidRPr="001F5A58">
              <w:rPr>
                <w:sz w:val="20"/>
                <w:szCs w:val="20"/>
              </w:rPr>
              <w:t>Nahda</w:t>
            </w:r>
            <w:proofErr w:type="spellEnd"/>
            <w:r w:rsidRPr="001F5A58">
              <w:rPr>
                <w:sz w:val="20"/>
                <w:szCs w:val="20"/>
              </w:rPr>
              <w:t xml:space="preserve"> Co. </w:t>
            </w:r>
          </w:p>
        </w:tc>
        <w:tc>
          <w:tcPr>
            <w:tcW w:w="2845" w:type="dxa"/>
          </w:tcPr>
          <w:p w14:paraId="58E2EB90" w14:textId="77777777" w:rsidR="00F63AF8" w:rsidRPr="001F5A58" w:rsidRDefault="00F63AF8" w:rsidP="00F63AF8">
            <w:pPr>
              <w:ind w:right="1016"/>
              <w:jc w:val="right"/>
              <w:rPr>
                <w:sz w:val="20"/>
                <w:szCs w:val="20"/>
              </w:rPr>
            </w:pPr>
            <w:r w:rsidRPr="001F5A58">
              <w:rPr>
                <w:sz w:val="20"/>
                <w:szCs w:val="20"/>
              </w:rPr>
              <w:t>24,824</w:t>
            </w:r>
          </w:p>
        </w:tc>
        <w:tc>
          <w:tcPr>
            <w:tcW w:w="2845" w:type="dxa"/>
          </w:tcPr>
          <w:p w14:paraId="1473DA44" w14:textId="77777777" w:rsidR="00F63AF8" w:rsidRPr="001F5A58" w:rsidRDefault="00F63AF8" w:rsidP="00F63AF8">
            <w:pPr>
              <w:ind w:right="1072"/>
              <w:jc w:val="right"/>
              <w:rPr>
                <w:sz w:val="20"/>
                <w:szCs w:val="20"/>
              </w:rPr>
            </w:pPr>
            <w:r w:rsidRPr="001F5A58">
              <w:rPr>
                <w:sz w:val="20"/>
                <w:szCs w:val="20"/>
              </w:rPr>
              <w:t>17,788</w:t>
            </w:r>
          </w:p>
        </w:tc>
      </w:tr>
      <w:tr w:rsidR="00F63AF8" w:rsidRPr="001F5A58" w14:paraId="2CA342BD" w14:textId="77777777" w:rsidTr="00F63AF8">
        <w:trPr>
          <w:trHeight w:val="214"/>
        </w:trPr>
        <w:tc>
          <w:tcPr>
            <w:tcW w:w="3664" w:type="dxa"/>
            <w:noWrap/>
            <w:tcMar>
              <w:top w:w="0" w:type="dxa"/>
              <w:left w:w="108" w:type="dxa"/>
              <w:bottom w:w="0" w:type="dxa"/>
              <w:right w:w="108" w:type="dxa"/>
            </w:tcMar>
            <w:hideMark/>
          </w:tcPr>
          <w:p w14:paraId="1871CE5D" w14:textId="77777777" w:rsidR="00F63AF8" w:rsidRPr="001F5A58" w:rsidRDefault="00F63AF8" w:rsidP="00F63AF8">
            <w:pPr>
              <w:rPr>
                <w:sz w:val="20"/>
                <w:szCs w:val="20"/>
              </w:rPr>
            </w:pPr>
            <w:proofErr w:type="spellStart"/>
            <w:r w:rsidRPr="001F5A58">
              <w:rPr>
                <w:sz w:val="20"/>
                <w:szCs w:val="20"/>
              </w:rPr>
              <w:t>Alfaqeer</w:t>
            </w:r>
            <w:proofErr w:type="spellEnd"/>
            <w:r w:rsidRPr="001F5A58">
              <w:rPr>
                <w:sz w:val="20"/>
                <w:szCs w:val="20"/>
              </w:rPr>
              <w:t xml:space="preserve"> Industrial Co. Ltd.</w:t>
            </w:r>
          </w:p>
        </w:tc>
        <w:tc>
          <w:tcPr>
            <w:tcW w:w="2845" w:type="dxa"/>
          </w:tcPr>
          <w:p w14:paraId="610688D8" w14:textId="77777777" w:rsidR="00F63AF8" w:rsidRPr="001F5A58" w:rsidRDefault="00F63AF8" w:rsidP="00F63AF8">
            <w:pPr>
              <w:ind w:right="1016"/>
              <w:jc w:val="right"/>
              <w:rPr>
                <w:sz w:val="20"/>
                <w:szCs w:val="20"/>
              </w:rPr>
            </w:pPr>
            <w:r w:rsidRPr="001F5A58">
              <w:rPr>
                <w:sz w:val="20"/>
                <w:szCs w:val="20"/>
              </w:rPr>
              <w:t>21,005</w:t>
            </w:r>
          </w:p>
        </w:tc>
        <w:tc>
          <w:tcPr>
            <w:tcW w:w="2845" w:type="dxa"/>
          </w:tcPr>
          <w:p w14:paraId="52BCB61C" w14:textId="77777777" w:rsidR="00F63AF8" w:rsidRPr="001F5A58" w:rsidRDefault="00F63AF8" w:rsidP="00F63AF8">
            <w:pPr>
              <w:ind w:right="1072"/>
              <w:jc w:val="right"/>
              <w:rPr>
                <w:sz w:val="20"/>
                <w:szCs w:val="20"/>
              </w:rPr>
            </w:pPr>
            <w:r w:rsidRPr="001F5A58">
              <w:rPr>
                <w:color w:val="000000"/>
                <w:sz w:val="20"/>
                <w:szCs w:val="20"/>
              </w:rPr>
              <w:t>15,051</w:t>
            </w:r>
          </w:p>
        </w:tc>
      </w:tr>
      <w:tr w:rsidR="00F63AF8" w:rsidRPr="001F5A58" w14:paraId="4CA66FEA" w14:textId="77777777" w:rsidTr="00F63AF8">
        <w:trPr>
          <w:trHeight w:val="232"/>
        </w:trPr>
        <w:tc>
          <w:tcPr>
            <w:tcW w:w="3664" w:type="dxa"/>
            <w:noWrap/>
            <w:tcMar>
              <w:top w:w="0" w:type="dxa"/>
              <w:left w:w="108" w:type="dxa"/>
              <w:bottom w:w="0" w:type="dxa"/>
              <w:right w:w="108" w:type="dxa"/>
            </w:tcMar>
            <w:hideMark/>
          </w:tcPr>
          <w:p w14:paraId="0E441C16" w14:textId="77777777" w:rsidR="00F63AF8" w:rsidRPr="001F5A58" w:rsidRDefault="00F63AF8" w:rsidP="00F63AF8">
            <w:pPr>
              <w:rPr>
                <w:sz w:val="20"/>
                <w:szCs w:val="20"/>
              </w:rPr>
            </w:pPr>
            <w:proofErr w:type="spellStart"/>
            <w:r w:rsidRPr="001F5A58">
              <w:rPr>
                <w:sz w:val="20"/>
                <w:szCs w:val="20"/>
              </w:rPr>
              <w:t>Majed</w:t>
            </w:r>
            <w:proofErr w:type="spellEnd"/>
            <w:r w:rsidRPr="001F5A58">
              <w:rPr>
                <w:sz w:val="20"/>
                <w:szCs w:val="20"/>
              </w:rPr>
              <w:t xml:space="preserve"> </w:t>
            </w:r>
            <w:proofErr w:type="spellStart"/>
            <w:r w:rsidRPr="001F5A58">
              <w:rPr>
                <w:sz w:val="20"/>
                <w:szCs w:val="20"/>
              </w:rPr>
              <w:t>Ghoche</w:t>
            </w:r>
            <w:proofErr w:type="spellEnd"/>
            <w:r w:rsidRPr="001F5A58">
              <w:rPr>
                <w:sz w:val="20"/>
                <w:szCs w:val="20"/>
              </w:rPr>
              <w:t xml:space="preserve"> and Partners </w:t>
            </w:r>
          </w:p>
        </w:tc>
        <w:tc>
          <w:tcPr>
            <w:tcW w:w="2845" w:type="dxa"/>
          </w:tcPr>
          <w:p w14:paraId="65F64025" w14:textId="77777777" w:rsidR="00F63AF8" w:rsidRPr="001F5A58" w:rsidRDefault="00F63AF8" w:rsidP="00F63AF8">
            <w:pPr>
              <w:ind w:right="1016"/>
              <w:jc w:val="right"/>
              <w:rPr>
                <w:sz w:val="20"/>
                <w:szCs w:val="20"/>
              </w:rPr>
            </w:pPr>
            <w:r w:rsidRPr="001F5A58">
              <w:rPr>
                <w:sz w:val="20"/>
                <w:szCs w:val="20"/>
              </w:rPr>
              <w:t>19,096</w:t>
            </w:r>
          </w:p>
        </w:tc>
        <w:tc>
          <w:tcPr>
            <w:tcW w:w="2845" w:type="dxa"/>
          </w:tcPr>
          <w:p w14:paraId="3307C893" w14:textId="77777777" w:rsidR="00F63AF8" w:rsidRPr="001F5A58" w:rsidRDefault="00F63AF8" w:rsidP="00F63AF8">
            <w:pPr>
              <w:ind w:right="1072"/>
              <w:jc w:val="right"/>
              <w:rPr>
                <w:sz w:val="20"/>
                <w:szCs w:val="20"/>
              </w:rPr>
            </w:pPr>
            <w:r w:rsidRPr="001F5A58">
              <w:rPr>
                <w:sz w:val="20"/>
                <w:szCs w:val="20"/>
              </w:rPr>
              <w:t>13,683</w:t>
            </w:r>
          </w:p>
        </w:tc>
      </w:tr>
      <w:tr w:rsidR="00F63AF8" w:rsidRPr="001F5A58" w14:paraId="0BE5F1BF" w14:textId="77777777" w:rsidTr="00F63AF8">
        <w:trPr>
          <w:trHeight w:val="179"/>
        </w:trPr>
        <w:tc>
          <w:tcPr>
            <w:tcW w:w="3664" w:type="dxa"/>
            <w:noWrap/>
            <w:tcMar>
              <w:top w:w="0" w:type="dxa"/>
              <w:left w:w="108" w:type="dxa"/>
              <w:bottom w:w="0" w:type="dxa"/>
              <w:right w:w="108" w:type="dxa"/>
            </w:tcMar>
            <w:hideMark/>
          </w:tcPr>
          <w:p w14:paraId="28204CE9" w14:textId="77777777" w:rsidR="00F63AF8" w:rsidRPr="001F5A58" w:rsidRDefault="00F63AF8" w:rsidP="00F63AF8">
            <w:pPr>
              <w:rPr>
                <w:sz w:val="20"/>
                <w:szCs w:val="20"/>
              </w:rPr>
            </w:pPr>
            <w:proofErr w:type="spellStart"/>
            <w:r w:rsidRPr="001F5A58">
              <w:rPr>
                <w:sz w:val="20"/>
                <w:szCs w:val="20"/>
              </w:rPr>
              <w:t>Wabbbeh</w:t>
            </w:r>
            <w:proofErr w:type="spellEnd"/>
            <w:r w:rsidRPr="001F5A58">
              <w:rPr>
                <w:sz w:val="20"/>
                <w:szCs w:val="20"/>
              </w:rPr>
              <w:t xml:space="preserve"> </w:t>
            </w:r>
            <w:proofErr w:type="spellStart"/>
            <w:r w:rsidRPr="001F5A58">
              <w:rPr>
                <w:sz w:val="20"/>
                <w:szCs w:val="20"/>
              </w:rPr>
              <w:t>Aluminum</w:t>
            </w:r>
            <w:proofErr w:type="spellEnd"/>
            <w:r w:rsidRPr="001F5A58">
              <w:rPr>
                <w:sz w:val="20"/>
                <w:szCs w:val="20"/>
              </w:rPr>
              <w:t xml:space="preserve"> Co. </w:t>
            </w:r>
          </w:p>
        </w:tc>
        <w:tc>
          <w:tcPr>
            <w:tcW w:w="2845" w:type="dxa"/>
          </w:tcPr>
          <w:p w14:paraId="7A334582" w14:textId="77777777" w:rsidR="00F63AF8" w:rsidRPr="001F5A58" w:rsidRDefault="00F63AF8" w:rsidP="00F63AF8">
            <w:pPr>
              <w:ind w:right="1016"/>
              <w:jc w:val="right"/>
              <w:rPr>
                <w:sz w:val="20"/>
                <w:szCs w:val="20"/>
              </w:rPr>
            </w:pPr>
            <w:r w:rsidRPr="001F5A58">
              <w:rPr>
                <w:sz w:val="20"/>
                <w:szCs w:val="20"/>
              </w:rPr>
              <w:t>9,273</w:t>
            </w:r>
          </w:p>
        </w:tc>
        <w:tc>
          <w:tcPr>
            <w:tcW w:w="2845" w:type="dxa"/>
          </w:tcPr>
          <w:p w14:paraId="1BFE7547" w14:textId="77777777" w:rsidR="00F63AF8" w:rsidRPr="001F5A58" w:rsidRDefault="00F63AF8" w:rsidP="00F63AF8">
            <w:pPr>
              <w:ind w:right="1072"/>
              <w:jc w:val="right"/>
              <w:rPr>
                <w:sz w:val="20"/>
                <w:szCs w:val="20"/>
              </w:rPr>
            </w:pPr>
            <w:r w:rsidRPr="001F5A58">
              <w:rPr>
                <w:sz w:val="20"/>
                <w:szCs w:val="20"/>
              </w:rPr>
              <w:t>*</w:t>
            </w:r>
          </w:p>
        </w:tc>
      </w:tr>
      <w:tr w:rsidR="00F63AF8" w:rsidRPr="001F5A58" w14:paraId="41BBAB7D" w14:textId="77777777" w:rsidTr="00F63AF8">
        <w:trPr>
          <w:trHeight w:val="206"/>
        </w:trPr>
        <w:tc>
          <w:tcPr>
            <w:tcW w:w="3664" w:type="dxa"/>
            <w:noWrap/>
            <w:tcMar>
              <w:top w:w="0" w:type="dxa"/>
              <w:left w:w="108" w:type="dxa"/>
              <w:bottom w:w="0" w:type="dxa"/>
              <w:right w:w="108" w:type="dxa"/>
            </w:tcMar>
            <w:hideMark/>
          </w:tcPr>
          <w:p w14:paraId="0F77F4C5" w14:textId="77777777" w:rsidR="00F63AF8" w:rsidRPr="001F5A58" w:rsidRDefault="00F63AF8" w:rsidP="00F63AF8">
            <w:pPr>
              <w:rPr>
                <w:sz w:val="20"/>
                <w:szCs w:val="20"/>
              </w:rPr>
            </w:pPr>
            <w:proofErr w:type="spellStart"/>
            <w:r w:rsidRPr="001F5A58">
              <w:rPr>
                <w:sz w:val="20"/>
                <w:szCs w:val="20"/>
              </w:rPr>
              <w:t>Sharori</w:t>
            </w:r>
            <w:proofErr w:type="spellEnd"/>
            <w:r w:rsidRPr="001F5A58">
              <w:rPr>
                <w:sz w:val="20"/>
                <w:szCs w:val="20"/>
              </w:rPr>
              <w:t xml:space="preserve"> Aluminium Blind Shutters</w:t>
            </w:r>
          </w:p>
        </w:tc>
        <w:tc>
          <w:tcPr>
            <w:tcW w:w="2845" w:type="dxa"/>
          </w:tcPr>
          <w:p w14:paraId="07F5EEE1" w14:textId="77777777" w:rsidR="00F63AF8" w:rsidRPr="001F5A58" w:rsidRDefault="00F63AF8" w:rsidP="00F63AF8">
            <w:pPr>
              <w:ind w:right="1016"/>
              <w:jc w:val="right"/>
              <w:rPr>
                <w:sz w:val="20"/>
                <w:szCs w:val="20"/>
              </w:rPr>
            </w:pPr>
            <w:r w:rsidRPr="001F5A58">
              <w:rPr>
                <w:color w:val="000000"/>
                <w:sz w:val="20"/>
                <w:szCs w:val="20"/>
              </w:rPr>
              <w:t>4,195</w:t>
            </w:r>
          </w:p>
        </w:tc>
        <w:tc>
          <w:tcPr>
            <w:tcW w:w="2845" w:type="dxa"/>
          </w:tcPr>
          <w:p w14:paraId="00D9E1E4" w14:textId="77777777" w:rsidR="00F63AF8" w:rsidRPr="001F5A58" w:rsidRDefault="00F63AF8" w:rsidP="00F63AF8">
            <w:pPr>
              <w:ind w:right="1072"/>
              <w:jc w:val="right"/>
              <w:rPr>
                <w:sz w:val="20"/>
                <w:szCs w:val="20"/>
              </w:rPr>
            </w:pPr>
            <w:r w:rsidRPr="001F5A58">
              <w:rPr>
                <w:sz w:val="20"/>
                <w:szCs w:val="20"/>
              </w:rPr>
              <w:t>*</w:t>
            </w:r>
          </w:p>
        </w:tc>
      </w:tr>
      <w:tr w:rsidR="00F63AF8" w:rsidRPr="00E7007D" w14:paraId="26857C5B" w14:textId="77777777" w:rsidTr="00F63AF8">
        <w:trPr>
          <w:trHeight w:val="206"/>
        </w:trPr>
        <w:tc>
          <w:tcPr>
            <w:tcW w:w="3664" w:type="dxa"/>
            <w:noWrap/>
            <w:tcMar>
              <w:top w:w="0" w:type="dxa"/>
              <w:left w:w="108" w:type="dxa"/>
              <w:bottom w:w="0" w:type="dxa"/>
              <w:right w:w="108" w:type="dxa"/>
            </w:tcMar>
          </w:tcPr>
          <w:p w14:paraId="57AEB513" w14:textId="77777777" w:rsidR="00F63AF8" w:rsidRPr="001F5A58" w:rsidRDefault="00F63AF8" w:rsidP="00F63AF8">
            <w:pPr>
              <w:rPr>
                <w:sz w:val="20"/>
                <w:szCs w:val="20"/>
              </w:rPr>
            </w:pPr>
            <w:r w:rsidRPr="001F5A58">
              <w:rPr>
                <w:sz w:val="20"/>
                <w:szCs w:val="20"/>
              </w:rPr>
              <w:t>Total cost</w:t>
            </w:r>
          </w:p>
        </w:tc>
        <w:tc>
          <w:tcPr>
            <w:tcW w:w="2845" w:type="dxa"/>
          </w:tcPr>
          <w:p w14:paraId="646576F6" w14:textId="77777777" w:rsidR="00F63AF8" w:rsidRPr="001F5A58" w:rsidRDefault="00F63AF8" w:rsidP="00F63AF8">
            <w:pPr>
              <w:ind w:right="1016"/>
              <w:jc w:val="right"/>
              <w:rPr>
                <w:color w:val="000000"/>
                <w:sz w:val="20"/>
                <w:szCs w:val="20"/>
              </w:rPr>
            </w:pPr>
            <w:r w:rsidRPr="001F5A58">
              <w:rPr>
                <w:sz w:val="20"/>
                <w:szCs w:val="20"/>
              </w:rPr>
              <w:t>78,393</w:t>
            </w:r>
          </w:p>
        </w:tc>
        <w:tc>
          <w:tcPr>
            <w:tcW w:w="2845" w:type="dxa"/>
          </w:tcPr>
          <w:p w14:paraId="2391AC23" w14:textId="77777777" w:rsidR="00F63AF8" w:rsidRPr="001F5A58" w:rsidRDefault="00F63AF8" w:rsidP="00F63AF8">
            <w:pPr>
              <w:ind w:right="1072"/>
              <w:jc w:val="right"/>
              <w:rPr>
                <w:sz w:val="20"/>
                <w:szCs w:val="20"/>
              </w:rPr>
            </w:pPr>
            <w:r w:rsidRPr="001F5A58">
              <w:rPr>
                <w:sz w:val="20"/>
                <w:szCs w:val="20"/>
              </w:rPr>
              <w:t>46,522</w:t>
            </w:r>
          </w:p>
        </w:tc>
      </w:tr>
    </w:tbl>
    <w:p w14:paraId="6A006707" w14:textId="77777777" w:rsidR="00F63AF8" w:rsidRPr="00E7007D" w:rsidRDefault="00F63AF8" w:rsidP="00F63AF8">
      <w:pPr>
        <w:pStyle w:val="StyleHeader4Para4Left0Firstline0"/>
        <w:numPr>
          <w:ilvl w:val="0"/>
          <w:numId w:val="0"/>
        </w:numPr>
        <w:spacing w:after="0"/>
        <w:rPr>
          <w:sz w:val="19"/>
          <w:szCs w:val="19"/>
        </w:rPr>
      </w:pPr>
      <w:r w:rsidRPr="00E7007D">
        <w:rPr>
          <w:sz w:val="19"/>
          <w:szCs w:val="19"/>
        </w:rPr>
        <w:t>*Technical assistance and support would be provided through the systems houses for conversion of these enterprises with a very small HCFC-141b consumption.</w:t>
      </w:r>
    </w:p>
    <w:p w14:paraId="2C7D6BAF" w14:textId="77777777" w:rsidR="00F63AF8" w:rsidRDefault="00F63AF8" w:rsidP="00F63AF8">
      <w:pPr>
        <w:pStyle w:val="StyleHeader4Para4Left0Firstline0"/>
        <w:numPr>
          <w:ilvl w:val="0"/>
          <w:numId w:val="0"/>
        </w:numPr>
        <w:spacing w:after="0"/>
        <w:rPr>
          <w:sz w:val="22"/>
        </w:rPr>
      </w:pPr>
    </w:p>
    <w:p w14:paraId="6298E0E1" w14:textId="77777777" w:rsidR="00F63AF8" w:rsidRPr="001A0D17" w:rsidRDefault="00F63AF8" w:rsidP="00F63AF8">
      <w:pPr>
        <w:pStyle w:val="Heading1"/>
      </w:pPr>
      <w:r w:rsidRPr="001A0D17">
        <w:t>The PU foam sector plan approved under stage II of the HPMP included 21 small and tiny enterprises (with consumption of less than one tonne of HCFC-141b), with limited technical skills that would need technical assistance on the development of formulations based</w:t>
      </w:r>
      <w:r>
        <w:t xml:space="preserve"> on alternative blowing agents,</w:t>
      </w:r>
      <w:r w:rsidRPr="001A0D17">
        <w:t xml:space="preserve"> </w:t>
      </w:r>
      <w:r w:rsidRPr="001A0D17">
        <w:lastRenderedPageBreak/>
        <w:t>trials and testing. Given the flexibility provided to the Government of Jordan to allocate total funds approved for different enterprises, for implementing the sector plan in a smooth and efficient manner, and noting that conversion of a number of small and tiny enterprises under the PU foam sector plan is still ongoing, the Secretariat considered relevant that the Government would provide detailed information on the total funds utilised upon completion of implementation of the plan and return balances in line with the Executive Committee guidelines.</w:t>
      </w:r>
    </w:p>
    <w:p w14:paraId="1DF7FC72" w14:textId="77777777" w:rsidR="00F63AF8" w:rsidRPr="00B86B27" w:rsidRDefault="00F63AF8" w:rsidP="00F63AF8">
      <w:pPr>
        <w:pStyle w:val="Heading1"/>
      </w:pPr>
      <w:r>
        <w:t>T</w:t>
      </w:r>
      <w:r w:rsidRPr="00754216">
        <w:t>he Secretariat notes that the technology change would resu</w:t>
      </w:r>
      <w:r>
        <w:t>lt in sustained adoption of low</w:t>
      </w:r>
      <w:r>
        <w:noBreakHyphen/>
      </w:r>
      <w:r w:rsidRPr="00754216">
        <w:t>GWP technologies in foam applications in these enterprises and will facilitate the achievement of compliance targets of Jordan</w:t>
      </w:r>
      <w:r w:rsidRPr="00B86B27">
        <w:t>, noting that the Government has published in the gazette the ban on import of HCFC-141b in bulk and contained in pre-blended polyols after 31 December 2021.</w:t>
      </w:r>
      <w:r>
        <w:t xml:space="preserve"> </w:t>
      </w:r>
      <w:r w:rsidRPr="00754216">
        <w:t>Since both HFO and water-blown technolog</w:t>
      </w:r>
      <w:r>
        <w:t>ies</w:t>
      </w:r>
      <w:r w:rsidRPr="00754216">
        <w:t xml:space="preserve"> are low-GWP technologies, the greenhouse gas impact is expected to be negligible.</w:t>
      </w:r>
    </w:p>
    <w:p w14:paraId="4D9C59AF" w14:textId="77777777" w:rsidR="00F63AF8" w:rsidRPr="00754216" w:rsidRDefault="00F63AF8" w:rsidP="00F63AF8">
      <w:pPr>
        <w:pStyle w:val="StyleHeader4Para4Left0Firstline0"/>
        <w:numPr>
          <w:ilvl w:val="0"/>
          <w:numId w:val="0"/>
        </w:numPr>
        <w:spacing w:after="0"/>
        <w:rPr>
          <w:b/>
          <w:sz w:val="22"/>
        </w:rPr>
      </w:pPr>
      <w:r w:rsidRPr="00530D2E">
        <w:rPr>
          <w:b/>
          <w:sz w:val="22"/>
        </w:rPr>
        <w:t>Recommendation</w:t>
      </w:r>
      <w:r w:rsidRPr="00754216">
        <w:rPr>
          <w:b/>
          <w:sz w:val="22"/>
        </w:rPr>
        <w:t xml:space="preserve"> </w:t>
      </w:r>
    </w:p>
    <w:p w14:paraId="0229783A" w14:textId="77777777" w:rsidR="00F63AF8" w:rsidRPr="00754216" w:rsidRDefault="00F63AF8" w:rsidP="00F63AF8">
      <w:pPr>
        <w:pStyle w:val="StyleHeader4Para4Left0Firstline0"/>
        <w:numPr>
          <w:ilvl w:val="0"/>
          <w:numId w:val="0"/>
        </w:numPr>
        <w:spacing w:after="0"/>
        <w:rPr>
          <w:sz w:val="22"/>
        </w:rPr>
      </w:pPr>
    </w:p>
    <w:p w14:paraId="0BF600E5" w14:textId="77777777" w:rsidR="00F63AF8" w:rsidRPr="005F5E9B" w:rsidRDefault="00F63AF8" w:rsidP="00F63AF8">
      <w:pPr>
        <w:pStyle w:val="Heading1"/>
      </w:pPr>
      <w:r w:rsidRPr="00754216">
        <w:t xml:space="preserve">The Executive Committee may wish: </w:t>
      </w:r>
    </w:p>
    <w:p w14:paraId="778D1108" w14:textId="77777777" w:rsidR="00F63AF8" w:rsidRPr="005F5E9B" w:rsidRDefault="00F63AF8" w:rsidP="00F63AF8">
      <w:pPr>
        <w:pStyle w:val="Heading2"/>
      </w:pPr>
      <w:r w:rsidRPr="00754216">
        <w:t xml:space="preserve">To note the request submitted by the World Bank on behalf of the Government of Jordan for the change of technology in the conversion of the five enterprises from HFO-1233zd(E) to water-blown technology in stage II of the </w:t>
      </w:r>
      <w:r>
        <w:t xml:space="preserve">HCFC phase-out management plan </w:t>
      </w:r>
      <w:r w:rsidRPr="00754216">
        <w:t>for Jordan as contained in document UNEP/OzL.Pro/ExCom/87</w:t>
      </w:r>
      <w:r w:rsidRPr="0047370B">
        <w:t>/9;</w:t>
      </w:r>
      <w:r w:rsidRPr="00754216">
        <w:t xml:space="preserve"> </w:t>
      </w:r>
    </w:p>
    <w:p w14:paraId="79D34772" w14:textId="77777777" w:rsidR="00F63AF8" w:rsidRDefault="00F63AF8" w:rsidP="00F63AF8">
      <w:pPr>
        <w:pStyle w:val="Heading2"/>
      </w:pPr>
      <w:r w:rsidRPr="00754216">
        <w:t>To approve the change of technology mentioned in sub-paragraph (a) above</w:t>
      </w:r>
      <w:r>
        <w:t>; and</w:t>
      </w:r>
    </w:p>
    <w:p w14:paraId="3968D288" w14:textId="77777777" w:rsidR="00F63AF8" w:rsidRPr="00754216" w:rsidRDefault="00F63AF8" w:rsidP="00F63AF8">
      <w:pPr>
        <w:pStyle w:val="Heading2"/>
      </w:pPr>
      <w:r>
        <w:t>To request the Government of Jordan and the World Bank to return to the Multilateral Fund the balance from the polyurethane foam sector plan once all the enterprises included therein have been converted</w:t>
      </w:r>
      <w:r w:rsidRPr="00754216">
        <w:t>.</w:t>
      </w:r>
    </w:p>
    <w:p w14:paraId="05617776" w14:textId="77777777" w:rsidR="00F11B2B" w:rsidRPr="00ED126B" w:rsidRDefault="00F11B2B" w:rsidP="00F11B2B">
      <w:pPr>
        <w:keepNext/>
        <w:spacing w:after="240"/>
        <w:rPr>
          <w:lang w:val="en-CA"/>
        </w:rPr>
      </w:pPr>
      <w:r w:rsidRPr="00ED126B">
        <w:rPr>
          <w:u w:val="single"/>
          <w:lang w:val="en-CA"/>
        </w:rPr>
        <w:t xml:space="preserve">The Lao People’s Democratic Republic: HCFC phase-out management plan (stage I </w:t>
      </w:r>
      <w:r w:rsidRPr="00ED126B">
        <w:rPr>
          <w:u w:val="single"/>
          <w:lang w:val="en-CA"/>
        </w:rPr>
        <w:noBreakHyphen/>
        <w:t xml:space="preserve"> request for extension) </w:t>
      </w:r>
      <w:r w:rsidRPr="00ED126B">
        <w:rPr>
          <w:lang w:val="en-CA"/>
        </w:rPr>
        <w:t>(UNEP and the Government of France)</w:t>
      </w:r>
    </w:p>
    <w:p w14:paraId="0730AB5C" w14:textId="77777777" w:rsidR="00F11B2B" w:rsidRPr="00ED126B" w:rsidRDefault="00F11B2B" w:rsidP="00F11B2B">
      <w:pPr>
        <w:keepNext/>
        <w:spacing w:after="240"/>
        <w:rPr>
          <w:b/>
          <w:lang w:val="en-CA"/>
        </w:rPr>
      </w:pPr>
      <w:r w:rsidRPr="00ED126B">
        <w:rPr>
          <w:b/>
          <w:lang w:val="en-CA"/>
        </w:rPr>
        <w:t>Background</w:t>
      </w:r>
    </w:p>
    <w:p w14:paraId="712A9274" w14:textId="77777777" w:rsidR="00F11B2B" w:rsidRPr="00ED126B" w:rsidRDefault="00F11B2B" w:rsidP="00F11B2B">
      <w:pPr>
        <w:numPr>
          <w:ilvl w:val="0"/>
          <w:numId w:val="1"/>
        </w:numPr>
        <w:spacing w:after="240"/>
        <w:outlineLvl w:val="0"/>
        <w:rPr>
          <w:lang w:val="en-CA"/>
        </w:rPr>
      </w:pPr>
      <w:r w:rsidRPr="00ED126B">
        <w:rPr>
          <w:lang w:val="en-CA"/>
        </w:rPr>
        <w:t>On behalf of the Government of the Lao People’s Democratic Republic, UNEP as the lead implementing agency has submitted a request for extension of the implem</w:t>
      </w:r>
      <w:r w:rsidR="006538A6" w:rsidRPr="00ED126B">
        <w:rPr>
          <w:lang w:val="en-CA"/>
        </w:rPr>
        <w:t xml:space="preserve">entation of stage I of the </w:t>
      </w:r>
      <w:r w:rsidRPr="00ED126B">
        <w:rPr>
          <w:lang w:val="en-CA"/>
        </w:rPr>
        <w:t>HPMP.</w:t>
      </w:r>
    </w:p>
    <w:p w14:paraId="09416886" w14:textId="77777777" w:rsidR="00F11B2B" w:rsidRPr="00ED126B" w:rsidRDefault="00F11B2B" w:rsidP="00F11B2B">
      <w:pPr>
        <w:pStyle w:val="Heading1"/>
        <w:autoSpaceDE w:val="0"/>
        <w:autoSpaceDN w:val="0"/>
        <w:adjustRightInd w:val="0"/>
        <w:rPr>
          <w:lang w:val="en-CA"/>
        </w:rPr>
      </w:pPr>
      <w:r w:rsidRPr="00ED126B">
        <w:rPr>
          <w:lang w:val="en-CA"/>
        </w:rPr>
        <w:t>Stage I of the HPMP was approved at the 63</w:t>
      </w:r>
      <w:r w:rsidRPr="00ED126B">
        <w:rPr>
          <w:vertAlign w:val="superscript"/>
          <w:lang w:val="en-CA"/>
        </w:rPr>
        <w:t>rd</w:t>
      </w:r>
      <w:r w:rsidRPr="00ED126B">
        <w:rPr>
          <w:lang w:val="en-CA"/>
        </w:rPr>
        <w:t> meeting</w:t>
      </w:r>
      <w:r w:rsidRPr="00ED126B">
        <w:rPr>
          <w:rStyle w:val="FootnoteReference"/>
          <w:lang w:val="en-CA"/>
        </w:rPr>
        <w:footnoteReference w:id="23"/>
      </w:r>
      <w:r w:rsidRPr="00ED126B">
        <w:rPr>
          <w:lang w:val="en-CA"/>
        </w:rPr>
        <w:t xml:space="preserve"> to meet the 35 per cent reduction from the baseline by 2020, at a total funding level of US $280,000, plus agency support costs to phase out 0.80 ODP tonnes of HCFCs used in the </w:t>
      </w:r>
      <w:r w:rsidR="006538A6" w:rsidRPr="00ED126B">
        <w:rPr>
          <w:lang w:val="en-CA"/>
        </w:rPr>
        <w:t>RAC</w:t>
      </w:r>
      <w:r w:rsidRPr="00ED126B">
        <w:rPr>
          <w:lang w:val="en-CA"/>
        </w:rPr>
        <w:t xml:space="preserve"> servicing sector. All three tranches planned in stage I have been approved, with the last tranche approved under the intersessional approval process for the 85</w:t>
      </w:r>
      <w:r w:rsidRPr="00ED126B">
        <w:rPr>
          <w:vertAlign w:val="superscript"/>
          <w:lang w:val="en-CA"/>
        </w:rPr>
        <w:t>th</w:t>
      </w:r>
      <w:r w:rsidRPr="00ED126B">
        <w:rPr>
          <w:lang w:val="en-CA"/>
        </w:rPr>
        <w:t> meeting</w:t>
      </w:r>
      <w:r w:rsidRPr="00ED126B">
        <w:rPr>
          <w:rStyle w:val="FootnoteReference"/>
          <w:lang w:val="en-CA"/>
        </w:rPr>
        <w:footnoteReference w:id="24"/>
      </w:r>
      <w:r w:rsidRPr="00ED126B">
        <w:rPr>
          <w:lang w:val="en-CA"/>
        </w:rPr>
        <w:t xml:space="preserve"> in May 2020. In accordance with paragraph 14 of the Agreement between the Government and the Executive Committee, the project is to be completed by the end of 2021.</w:t>
      </w:r>
    </w:p>
    <w:p w14:paraId="2D53A43D" w14:textId="77777777" w:rsidR="00F11B2B" w:rsidRPr="00ED126B" w:rsidRDefault="00F11B2B" w:rsidP="00F11B2B">
      <w:pPr>
        <w:pStyle w:val="Heading1"/>
      </w:pPr>
      <w:r w:rsidRPr="00ED126B">
        <w:rPr>
          <w:lang w:val="en-US"/>
        </w:rPr>
        <w:t xml:space="preserve">Several activities included in stage I of the HPMP have been completed; however, </w:t>
      </w:r>
      <w:r w:rsidRPr="00ED126B">
        <w:t xml:space="preserve">due to the impact of the COVID-19 pandemic, the implementation of </w:t>
      </w:r>
      <w:r w:rsidRPr="00ED126B">
        <w:rPr>
          <w:lang w:val="en-US"/>
        </w:rPr>
        <w:t xml:space="preserve">training </w:t>
      </w:r>
      <w:proofErr w:type="spellStart"/>
      <w:r w:rsidRPr="00ED126B">
        <w:rPr>
          <w:lang w:val="en-US"/>
        </w:rPr>
        <w:t>programmes</w:t>
      </w:r>
      <w:proofErr w:type="spellEnd"/>
      <w:r w:rsidRPr="00ED126B">
        <w:rPr>
          <w:lang w:val="en-US"/>
        </w:rPr>
        <w:t xml:space="preserve"> for technicians in handling flammable refrigerants and the provision of equipment to training </w:t>
      </w:r>
      <w:proofErr w:type="spellStart"/>
      <w:r w:rsidRPr="00ED126B">
        <w:rPr>
          <w:lang w:val="en-US"/>
        </w:rPr>
        <w:t>centres</w:t>
      </w:r>
      <w:proofErr w:type="spellEnd"/>
      <w:r w:rsidRPr="00ED126B">
        <w:rPr>
          <w:lang w:val="en-US"/>
        </w:rPr>
        <w:t xml:space="preserve"> planned for the second and third tranches </w:t>
      </w:r>
      <w:r w:rsidRPr="00ED126B">
        <w:t>have been delayed. Given the uncertainties in time of recovery from the pandemic, the Government is requesting an extension of the completion date of stage I until 31 December 2022.</w:t>
      </w:r>
    </w:p>
    <w:p w14:paraId="7CD07D8A" w14:textId="77777777" w:rsidR="00F11B2B" w:rsidRPr="00ED126B" w:rsidRDefault="00F11B2B" w:rsidP="00621D13">
      <w:pPr>
        <w:keepNext/>
        <w:keepLines/>
        <w:spacing w:after="240"/>
        <w:rPr>
          <w:i/>
          <w:lang w:val="en-CA"/>
        </w:rPr>
      </w:pPr>
      <w:r w:rsidRPr="00ED126B">
        <w:rPr>
          <w:i/>
          <w:lang w:val="en-CA"/>
        </w:rPr>
        <w:lastRenderedPageBreak/>
        <w:t xml:space="preserve">HCFC consumption </w:t>
      </w:r>
    </w:p>
    <w:p w14:paraId="656D1EFA" w14:textId="77777777" w:rsidR="00F11B2B" w:rsidRPr="00ED126B" w:rsidRDefault="00F11B2B" w:rsidP="00F11B2B">
      <w:pPr>
        <w:pStyle w:val="Heading1"/>
        <w:rPr>
          <w:lang w:val="en-CA"/>
        </w:rPr>
      </w:pPr>
      <w:r w:rsidRPr="00ED126B">
        <w:rPr>
          <w:lang w:val="en-CA"/>
        </w:rPr>
        <w:t>The HCFC consumption data for 2020 has not yet been submitted under Article 7 of the Montreal Protocol or the country programme implementation report, as the HFC data is still being finalized. However, the Government reported, in the request for extension of stage I, a consumption of 1.42 ODP tonnes of HCFCs in 2020, which is 5 per cent below the HPMP target of 1.50 ODP tonnes for 2020, and 38 per cent lower than the established baseline of 2.30 ODP tonnes. The consumption reported for 2020 demonstrates that the country has achieved the 35 per cent reduction target in compliance with the Montreal Protocol.</w:t>
      </w:r>
    </w:p>
    <w:p w14:paraId="264A42CD" w14:textId="77777777" w:rsidR="00F11B2B" w:rsidRPr="00ED126B" w:rsidRDefault="00F11B2B" w:rsidP="007C20AE">
      <w:pPr>
        <w:keepNext/>
        <w:keepLines/>
        <w:spacing w:after="240"/>
        <w:rPr>
          <w:b/>
          <w:lang w:val="en-CA"/>
        </w:rPr>
      </w:pPr>
      <w:r w:rsidRPr="00ED126B">
        <w:rPr>
          <w:b/>
          <w:lang w:val="en-CA"/>
        </w:rPr>
        <w:t xml:space="preserve">Progress report on the implementation of stage I </w:t>
      </w:r>
    </w:p>
    <w:p w14:paraId="09F16E1F" w14:textId="77777777" w:rsidR="00F11B2B" w:rsidRPr="00ED126B" w:rsidRDefault="00F11B2B" w:rsidP="00F11B2B">
      <w:pPr>
        <w:pStyle w:val="Heading1"/>
      </w:pPr>
      <w:r w:rsidRPr="00ED126B">
        <w:rPr>
          <w:lang w:val="en-CA"/>
        </w:rPr>
        <w:t xml:space="preserve">The country has been enforcing the licensing and quota system to control the import of HCFCs. A ban on imports of all CFCs, </w:t>
      </w:r>
      <w:r w:rsidRPr="00ED126B">
        <w:rPr>
          <w:color w:val="000000"/>
          <w:lang w:eastAsia="zh-CN"/>
        </w:rPr>
        <w:t xml:space="preserve">halon, methyl bromide, and all HCFCs except for HCFC-22, was issued in November 2016. HCFC-22, HFCs and HFC-blends are controlled through the licensing system. </w:t>
      </w:r>
      <w:r w:rsidRPr="00ED126B">
        <w:t xml:space="preserve">A ban on the </w:t>
      </w:r>
      <w:r w:rsidRPr="00ED126B">
        <w:rPr>
          <w:lang w:val="en-US"/>
        </w:rPr>
        <w:t xml:space="preserve">import and export of HCFC-based chillers with a cooling capacity above 20 refrigeration </w:t>
      </w:r>
      <w:proofErr w:type="spellStart"/>
      <w:r w:rsidRPr="00ED126B">
        <w:rPr>
          <w:lang w:val="en-US"/>
        </w:rPr>
        <w:t>tonnes</w:t>
      </w:r>
      <w:proofErr w:type="spellEnd"/>
      <w:r w:rsidRPr="00ED126B">
        <w:rPr>
          <w:lang w:val="en-US"/>
        </w:rPr>
        <w:t xml:space="preserve"> has been </w:t>
      </w:r>
      <w:r w:rsidRPr="00ED126B">
        <w:t xml:space="preserve">drafted and is expected to be approved by the end of May 2021 through Ministerial Decision. A </w:t>
      </w:r>
      <w:r w:rsidRPr="00ED126B">
        <w:rPr>
          <w:color w:val="000000"/>
          <w:lang w:val="en-US" w:eastAsia="zh-CN"/>
        </w:rPr>
        <w:t xml:space="preserve">ban on the import of all types of HCFC-based equipment is planned to start from 1 January 2023. </w:t>
      </w:r>
      <w:r w:rsidRPr="00ED126B">
        <w:t xml:space="preserve">A total of 184 customs officers and enforcement personnel have been trained in stage I. </w:t>
      </w:r>
    </w:p>
    <w:p w14:paraId="0E1A3EDB" w14:textId="77777777" w:rsidR="00F11B2B" w:rsidRPr="00ED126B" w:rsidRDefault="00F11B2B" w:rsidP="00F11B2B">
      <w:pPr>
        <w:pStyle w:val="Heading1"/>
        <w:rPr>
          <w:lang w:val="en-CA"/>
        </w:rPr>
      </w:pPr>
      <w:r w:rsidRPr="00ED126B">
        <w:rPr>
          <w:lang w:val="en-CA"/>
        </w:rPr>
        <w:t>Training workshops have been conducted and so far 70 master trainers and a total of 247 technicians have been trained in</w:t>
      </w:r>
      <w:r w:rsidRPr="00ED126B">
        <w:rPr>
          <w:rFonts w:eastAsia="SimSun"/>
        </w:rPr>
        <w:t xml:space="preserve"> </w:t>
      </w:r>
      <w:r w:rsidRPr="00ED126B">
        <w:t>the installation and servicing of RAC equipment, the safe handling of flammable refrigerants, and awareness-raising on maintaining energy efficiency of the equipment through implementation of good service practices</w:t>
      </w:r>
      <w:r w:rsidRPr="00ED126B">
        <w:rPr>
          <w:lang w:val="en-CA"/>
        </w:rPr>
        <w:t xml:space="preserve">. Equipment and tools are being purchased for the </w:t>
      </w:r>
      <w:r w:rsidRPr="00ED126B">
        <w:rPr>
          <w:lang w:val="en-US"/>
        </w:rPr>
        <w:t xml:space="preserve">Lao-Korea Institute for Skill Development to facilitate the sustainable training of technicians. Efforts are being made to integrate good RAC servicing practices into existing vocational training under the </w:t>
      </w:r>
      <w:r w:rsidRPr="00ED126B">
        <w:rPr>
          <w:lang w:val="en-CA"/>
        </w:rPr>
        <w:t>Technical and Vocational Education and Training (TVET) system.</w:t>
      </w:r>
    </w:p>
    <w:p w14:paraId="1FEA15C0" w14:textId="77777777" w:rsidR="00F11B2B" w:rsidRPr="00ED126B" w:rsidRDefault="00F11B2B" w:rsidP="00F11B2B">
      <w:pPr>
        <w:keepNext/>
        <w:numPr>
          <w:ilvl w:val="0"/>
          <w:numId w:val="1"/>
        </w:numPr>
        <w:spacing w:after="240"/>
        <w:outlineLvl w:val="0"/>
        <w:rPr>
          <w:lang w:val="en-CA"/>
        </w:rPr>
      </w:pPr>
      <w:r w:rsidRPr="00ED126B">
        <w:rPr>
          <w:lang w:val="en-CA"/>
        </w:rPr>
        <w:t>Since the approval of the third tranche at the 85</w:t>
      </w:r>
      <w:r w:rsidRPr="00ED126B">
        <w:rPr>
          <w:vertAlign w:val="superscript"/>
          <w:lang w:val="en-CA"/>
        </w:rPr>
        <w:t>th</w:t>
      </w:r>
      <w:r w:rsidRPr="00ED126B">
        <w:rPr>
          <w:lang w:val="en-CA"/>
        </w:rPr>
        <w:t xml:space="preserve"> meeting, a </w:t>
      </w:r>
      <w:r w:rsidRPr="00ED126B">
        <w:t xml:space="preserve">SSFA </w:t>
      </w:r>
      <w:r w:rsidRPr="00ED126B">
        <w:rPr>
          <w:lang w:val="en-CA"/>
        </w:rPr>
        <w:t xml:space="preserve">between the Government of the Lao People’s Democratic Republic and UNEP </w:t>
      </w:r>
      <w:r w:rsidRPr="00ED126B">
        <w:t xml:space="preserve">to specify legal responsibilities for activity implementation and reporting </w:t>
      </w:r>
      <w:r w:rsidRPr="00ED126B">
        <w:rPr>
          <w:lang w:val="en-CA"/>
        </w:rPr>
        <w:t>has been signed and the first payment of US $11,750 has been advanced. Under the France component, the draft Agreement to purchase equipment and tools for the training centre has been finalized for review and signature. It is expected that the equipment will be delivered by the end of 2021.</w:t>
      </w:r>
    </w:p>
    <w:p w14:paraId="72513772" w14:textId="77777777" w:rsidR="00F11B2B" w:rsidRPr="00ED126B" w:rsidRDefault="00F11B2B" w:rsidP="00F11B2B">
      <w:pPr>
        <w:pStyle w:val="Heading1"/>
        <w:rPr>
          <w:lang w:val="en-CA"/>
        </w:rPr>
      </w:pPr>
      <w:r w:rsidRPr="00ED126B">
        <w:rPr>
          <w:lang w:val="en-CA"/>
        </w:rPr>
        <w:t>The Government has been implementing enabling activities for HFC phase-down and HFCs have been included in the licensing and quota system and in country-programme reporting. The Lao People</w:t>
      </w:r>
      <w:r w:rsidRPr="00ED126B">
        <w:rPr>
          <w:rFonts w:hint="eastAsia"/>
          <w:lang w:val="en-CA"/>
        </w:rPr>
        <w:t>’</w:t>
      </w:r>
      <w:r w:rsidRPr="00ED126B">
        <w:rPr>
          <w:lang w:val="en-CA"/>
        </w:rPr>
        <w:t>s Democratic Republic ratified the Kigali Amendment on 16 November 2017.</w:t>
      </w:r>
    </w:p>
    <w:p w14:paraId="30C9024E" w14:textId="77777777" w:rsidR="00F11B2B" w:rsidRPr="00ED126B" w:rsidRDefault="00F11B2B" w:rsidP="00F11B2B">
      <w:pPr>
        <w:spacing w:after="240"/>
        <w:outlineLvl w:val="0"/>
        <w:rPr>
          <w:u w:val="single"/>
          <w:lang w:val="en-CA"/>
        </w:rPr>
      </w:pPr>
      <w:r w:rsidRPr="00ED126B">
        <w:rPr>
          <w:u w:val="single"/>
          <w:lang w:val="en-CA"/>
        </w:rPr>
        <w:t>Level of fund disbursement</w:t>
      </w:r>
    </w:p>
    <w:p w14:paraId="2A6A47C6" w14:textId="77777777" w:rsidR="00F11B2B" w:rsidRPr="00ED126B" w:rsidRDefault="00F11B2B" w:rsidP="00F11B2B">
      <w:pPr>
        <w:numPr>
          <w:ilvl w:val="0"/>
          <w:numId w:val="1"/>
        </w:numPr>
        <w:spacing w:after="240"/>
        <w:outlineLvl w:val="0"/>
        <w:rPr>
          <w:lang w:val="en-CA"/>
        </w:rPr>
      </w:pPr>
      <w:r w:rsidRPr="00ED126B">
        <w:rPr>
          <w:lang w:val="en-CA"/>
        </w:rPr>
        <w:t>As of April 2020, of the US $280</w:t>
      </w:r>
      <w:r w:rsidRPr="00ED126B">
        <w:rPr>
          <w:color w:val="000000"/>
          <w:lang w:val="en-CA" w:eastAsia="en-CA"/>
        </w:rPr>
        <w:t>,000</w:t>
      </w:r>
      <w:r w:rsidRPr="00ED126B">
        <w:rPr>
          <w:lang w:val="en-CA"/>
        </w:rPr>
        <w:t xml:space="preserve"> approved so far, US $205,000 had been disbursed by UNEP. The US $45,000 approved for the Government of France has been used for purchasing equipment for the training institute, which is expected to arrive by the end of 2021. </w:t>
      </w:r>
    </w:p>
    <w:p w14:paraId="4A503DD0" w14:textId="77777777" w:rsidR="00F11B2B" w:rsidRPr="00ED126B" w:rsidRDefault="00F11B2B" w:rsidP="00F11B2B">
      <w:pPr>
        <w:keepNext/>
        <w:spacing w:after="240"/>
        <w:rPr>
          <w:b/>
          <w:lang w:val="en-CA"/>
        </w:rPr>
      </w:pPr>
      <w:r w:rsidRPr="00ED126B">
        <w:rPr>
          <w:b/>
          <w:lang w:val="en-CA"/>
        </w:rPr>
        <w:t>Secretariat’s comments</w:t>
      </w:r>
    </w:p>
    <w:p w14:paraId="036027F6" w14:textId="77777777" w:rsidR="00F11B2B" w:rsidRPr="00ED126B" w:rsidRDefault="00F11B2B" w:rsidP="00F11B2B">
      <w:pPr>
        <w:numPr>
          <w:ilvl w:val="0"/>
          <w:numId w:val="1"/>
        </w:numPr>
        <w:spacing w:after="240"/>
        <w:outlineLvl w:val="0"/>
        <w:rPr>
          <w:lang w:val="en-CA"/>
        </w:rPr>
      </w:pPr>
      <w:r w:rsidRPr="00ED126B">
        <w:rPr>
          <w:lang w:val="en-CA"/>
        </w:rPr>
        <w:t xml:space="preserve">The Secretariat notes the efforts undertaken by the Government of the Lao People’s Democratic Republic, UNEP and the Government of France to complete the activities planned in the third tranche of stage I of the HPMP by 31 December 2021. Notwithstanding those efforts, it is anticipated that the project will not be completed by the end of 2021 due to delays associated with the COVID-19 pandemic. UNEP explained that the country is experiencing a new wave of COVID-19 which is more severe than in 2020, resulting in major delays in the implementation of activities included in the HPMP. Specifically, the training workshops for technicians (planned for the third tranche) cannot be organized as physical gathering is not </w:t>
      </w:r>
      <w:r w:rsidRPr="00ED126B">
        <w:rPr>
          <w:lang w:val="en-CA"/>
        </w:rPr>
        <w:lastRenderedPageBreak/>
        <w:t>allowed and experts providing technical support cannot travel from abroad; the</w:t>
      </w:r>
      <w:r w:rsidRPr="00ED126B">
        <w:rPr>
          <w:lang w:val="en-US"/>
        </w:rPr>
        <w:t xml:space="preserve"> agreement between the Governments of the Lao People’s Democratic Republic and France (bilateral cooperation) has not been signed yet; and the funding transfer modality for procurement of equipment for training </w:t>
      </w:r>
      <w:proofErr w:type="spellStart"/>
      <w:r w:rsidRPr="00ED126B">
        <w:rPr>
          <w:lang w:val="en-US"/>
        </w:rPr>
        <w:t>centres</w:t>
      </w:r>
      <w:proofErr w:type="spellEnd"/>
      <w:r w:rsidRPr="00ED126B">
        <w:rPr>
          <w:lang w:val="en-US"/>
        </w:rPr>
        <w:t xml:space="preserve"> is pending approval by the Ministry of Planning and Investment,</w:t>
      </w:r>
      <w:r w:rsidRPr="00ED126B">
        <w:rPr>
          <w:lang w:val="en-CA"/>
        </w:rPr>
        <w:t xml:space="preserve"> which is occupied with COVID-19.</w:t>
      </w:r>
    </w:p>
    <w:p w14:paraId="1AE9C237" w14:textId="77777777" w:rsidR="00F11B2B" w:rsidRPr="00ED126B" w:rsidRDefault="00F11B2B" w:rsidP="00F11B2B">
      <w:pPr>
        <w:numPr>
          <w:ilvl w:val="0"/>
          <w:numId w:val="1"/>
        </w:numPr>
        <w:spacing w:after="240"/>
        <w:outlineLvl w:val="0"/>
        <w:rPr>
          <w:lang w:val="en-CA"/>
        </w:rPr>
      </w:pPr>
      <w:r w:rsidRPr="00ED126B">
        <w:rPr>
          <w:lang w:val="en-CA"/>
        </w:rPr>
        <w:t>The Secretariat notes that the extension of the completion date of stage I of the HPMP by one year would allow the Government of the Lao People’s Democratic Republic, UNEP and the Government of France to complete all the remaining activities included in the HPMP.</w:t>
      </w:r>
    </w:p>
    <w:p w14:paraId="14CC7427" w14:textId="77777777" w:rsidR="00F11B2B" w:rsidRPr="00ED126B" w:rsidRDefault="00F11B2B" w:rsidP="007C20AE">
      <w:pPr>
        <w:keepNext/>
        <w:keepLines/>
        <w:spacing w:after="240"/>
        <w:rPr>
          <w:b/>
          <w:lang w:val="en-CA"/>
        </w:rPr>
      </w:pPr>
      <w:r w:rsidRPr="00ED126B">
        <w:rPr>
          <w:b/>
          <w:lang w:val="en-CA"/>
        </w:rPr>
        <w:t>Recommendation</w:t>
      </w:r>
    </w:p>
    <w:p w14:paraId="0290AA2E" w14:textId="77777777" w:rsidR="00F11B2B" w:rsidRPr="00ED126B" w:rsidRDefault="00F11B2B" w:rsidP="00F11B2B">
      <w:pPr>
        <w:numPr>
          <w:ilvl w:val="0"/>
          <w:numId w:val="1"/>
        </w:numPr>
        <w:spacing w:after="240"/>
        <w:outlineLvl w:val="0"/>
        <w:rPr>
          <w:lang w:val="en-CA"/>
        </w:rPr>
      </w:pPr>
      <w:r w:rsidRPr="00ED126B">
        <w:rPr>
          <w:lang w:val="en-CA"/>
        </w:rPr>
        <w:t>The Executive Committee may wish:</w:t>
      </w:r>
    </w:p>
    <w:p w14:paraId="02DD480F" w14:textId="77777777" w:rsidR="00F11B2B" w:rsidRPr="00ED126B" w:rsidRDefault="00F11B2B" w:rsidP="00F11B2B">
      <w:pPr>
        <w:widowControl w:val="0"/>
        <w:numPr>
          <w:ilvl w:val="1"/>
          <w:numId w:val="1"/>
        </w:numPr>
        <w:tabs>
          <w:tab w:val="num" w:pos="557"/>
        </w:tabs>
        <w:spacing w:after="240"/>
        <w:outlineLvl w:val="1"/>
        <w:rPr>
          <w:lang w:val="en-CA"/>
        </w:rPr>
      </w:pPr>
      <w:r w:rsidRPr="00ED126B">
        <w:rPr>
          <w:lang w:val="en-CA"/>
        </w:rPr>
        <w:t>To note the progress report on the implementation of the work programme associated with stage I of the HCFC phase-out management plan (HPMP) for the Lao People</w:t>
      </w:r>
      <w:r w:rsidRPr="00ED126B">
        <w:rPr>
          <w:rFonts w:hint="eastAsia"/>
          <w:lang w:val="en-CA"/>
        </w:rPr>
        <w:t>’</w:t>
      </w:r>
      <w:r w:rsidRPr="00ED126B">
        <w:rPr>
          <w:lang w:val="en-CA"/>
        </w:rPr>
        <w:t>s Democratic Republic and the request for extension submitted by UNEP, contained in document UNEP/OzL.Pro/ExCom/87/9;</w:t>
      </w:r>
    </w:p>
    <w:p w14:paraId="7E221468" w14:textId="77777777" w:rsidR="00F11B2B" w:rsidRPr="00ED126B" w:rsidRDefault="00F11B2B" w:rsidP="00F11B2B">
      <w:pPr>
        <w:pStyle w:val="Heading2"/>
        <w:rPr>
          <w:lang w:val="en-CA"/>
        </w:rPr>
      </w:pPr>
      <w:r w:rsidRPr="00ED126B">
        <w:rPr>
          <w:lang w:val="en-CA"/>
        </w:rPr>
        <w:t xml:space="preserve">To extend, </w:t>
      </w:r>
      <w:r w:rsidRPr="00ED126B">
        <w:t xml:space="preserve">on an exceptional basis due to the delays imposed by the COVID-19 pandemic, </w:t>
      </w:r>
      <w:r w:rsidRPr="00ED126B">
        <w:rPr>
          <w:lang w:val="en-CA"/>
        </w:rPr>
        <w:t>the completion date of stage I of the HPMP for the Lao People</w:t>
      </w:r>
      <w:r w:rsidRPr="00ED126B">
        <w:rPr>
          <w:rFonts w:hint="eastAsia"/>
          <w:lang w:val="en-CA"/>
        </w:rPr>
        <w:t>’</w:t>
      </w:r>
      <w:r w:rsidRPr="00ED126B">
        <w:rPr>
          <w:lang w:val="en-CA"/>
        </w:rPr>
        <w:t>s Democratic Republic until 31 </w:t>
      </w:r>
      <w:r w:rsidRPr="00ED126B">
        <w:t>December 2022, noting that no further extension would be requested</w:t>
      </w:r>
      <w:r w:rsidRPr="00ED126B">
        <w:rPr>
          <w:lang w:val="en-CA"/>
        </w:rPr>
        <w:t xml:space="preserve">; and </w:t>
      </w:r>
    </w:p>
    <w:p w14:paraId="7C75CA04" w14:textId="77777777" w:rsidR="00F11B2B" w:rsidRPr="00ED126B" w:rsidRDefault="00F11B2B" w:rsidP="00F11B2B">
      <w:pPr>
        <w:widowControl w:val="0"/>
        <w:numPr>
          <w:ilvl w:val="1"/>
          <w:numId w:val="1"/>
        </w:numPr>
        <w:tabs>
          <w:tab w:val="num" w:pos="557"/>
        </w:tabs>
        <w:spacing w:after="240"/>
        <w:outlineLvl w:val="1"/>
        <w:rPr>
          <w:lang w:val="en-CA"/>
        </w:rPr>
      </w:pPr>
      <w:r w:rsidRPr="00ED126B">
        <w:rPr>
          <w:lang w:val="en-CA"/>
        </w:rPr>
        <w:t>To request the Government of the Lao People’s Democratic Republic, UNEP and the Government of France to submit a project completion report to the first meeting of 2023.</w:t>
      </w:r>
    </w:p>
    <w:p w14:paraId="4DD3F7E9" w14:textId="77777777" w:rsidR="009C7B62" w:rsidRPr="00234A52" w:rsidRDefault="009C7B62" w:rsidP="006538A6">
      <w:pPr>
        <w:keepNext/>
        <w:keepLines/>
        <w:spacing w:after="240"/>
        <w:rPr>
          <w:lang w:val="en-CA"/>
        </w:rPr>
      </w:pPr>
      <w:r w:rsidRPr="00234A52">
        <w:rPr>
          <w:u w:val="single"/>
          <w:lang w:val="en-CA"/>
        </w:rPr>
        <w:t xml:space="preserve">Malaysia: HCFC phase-out management plan (stage II – change in technology at </w:t>
      </w:r>
      <w:r>
        <w:rPr>
          <w:u w:val="single"/>
          <w:lang w:val="en-CA"/>
        </w:rPr>
        <w:t>nine</w:t>
      </w:r>
      <w:r w:rsidRPr="00234A52">
        <w:rPr>
          <w:u w:val="single"/>
          <w:lang w:val="en-CA"/>
        </w:rPr>
        <w:t> enterprises</w:t>
      </w:r>
      <w:r>
        <w:rPr>
          <w:u w:val="single"/>
          <w:lang w:val="en-CA"/>
        </w:rPr>
        <w:t xml:space="preserve"> and reallocation of funds</w:t>
      </w:r>
      <w:r w:rsidRPr="00234A52">
        <w:rPr>
          <w:u w:val="single"/>
          <w:lang w:val="en-CA"/>
        </w:rPr>
        <w:t>)</w:t>
      </w:r>
      <w:r w:rsidRPr="00234A52">
        <w:rPr>
          <w:lang w:val="en-CA"/>
        </w:rPr>
        <w:t xml:space="preserve"> (UNDP)</w:t>
      </w:r>
    </w:p>
    <w:p w14:paraId="57DA743E" w14:textId="77777777" w:rsidR="009C7B62" w:rsidRPr="00234A52" w:rsidRDefault="009C7B62" w:rsidP="006538A6">
      <w:pPr>
        <w:keepNext/>
        <w:keepLines/>
        <w:widowControl w:val="0"/>
        <w:spacing w:after="240"/>
        <w:rPr>
          <w:b/>
          <w:lang w:val="en-CA"/>
        </w:rPr>
      </w:pPr>
      <w:r w:rsidRPr="00234A52">
        <w:rPr>
          <w:b/>
          <w:lang w:val="en-CA"/>
        </w:rPr>
        <w:t>Background</w:t>
      </w:r>
    </w:p>
    <w:p w14:paraId="72AA5D1D" w14:textId="77777777" w:rsidR="009C7B62" w:rsidRPr="00234A52" w:rsidRDefault="009C7B62" w:rsidP="009C7B62">
      <w:pPr>
        <w:numPr>
          <w:ilvl w:val="0"/>
          <w:numId w:val="1"/>
        </w:numPr>
        <w:spacing w:after="240"/>
        <w:outlineLvl w:val="0"/>
        <w:rPr>
          <w:lang w:val="en-CA"/>
        </w:rPr>
      </w:pPr>
      <w:r w:rsidRPr="00234A52">
        <w:rPr>
          <w:lang w:val="en-CA"/>
        </w:rPr>
        <w:t>At its 77</w:t>
      </w:r>
      <w:r w:rsidRPr="00234A52">
        <w:rPr>
          <w:vertAlign w:val="superscript"/>
          <w:lang w:val="en-CA"/>
        </w:rPr>
        <w:t>th</w:t>
      </w:r>
      <w:r w:rsidRPr="00234A52">
        <w:rPr>
          <w:lang w:val="en-CA"/>
        </w:rPr>
        <w:t xml:space="preserve"> meeting, the Executive Committee approved</w:t>
      </w:r>
      <w:r>
        <w:rPr>
          <w:lang w:val="en-CA"/>
        </w:rPr>
        <w:t>,</w:t>
      </w:r>
      <w:r w:rsidRPr="00234A52">
        <w:rPr>
          <w:lang w:val="en-CA"/>
        </w:rPr>
        <w:t xml:space="preserve"> in principle, stage II of the HPMP for Malaysia</w:t>
      </w:r>
      <w:r w:rsidRPr="00234A52">
        <w:rPr>
          <w:vertAlign w:val="superscript"/>
          <w:lang w:val="en-CA"/>
        </w:rPr>
        <w:footnoteReference w:id="25"/>
      </w:r>
      <w:r w:rsidRPr="00234A52">
        <w:rPr>
          <w:lang w:val="en-CA"/>
        </w:rPr>
        <w:t xml:space="preserve"> for the period 2016 to 2022 to reduce HCFC consumption by 42.9 per cent of its baseline, in the amount of US $6,138,063, plus agency support costs of US $429,665 for UNDP.</w:t>
      </w:r>
    </w:p>
    <w:p w14:paraId="0CC325A3" w14:textId="77777777" w:rsidR="009C7B62" w:rsidRPr="00234A52" w:rsidRDefault="009C7B62" w:rsidP="009C7B62">
      <w:pPr>
        <w:numPr>
          <w:ilvl w:val="0"/>
          <w:numId w:val="1"/>
        </w:numPr>
        <w:spacing w:after="240"/>
        <w:outlineLvl w:val="0"/>
        <w:rPr>
          <w:rFonts w:eastAsia="SimSun"/>
          <w:lang w:val="en-CA" w:eastAsia="zh-CN"/>
        </w:rPr>
      </w:pPr>
      <w:r w:rsidRPr="00234A52">
        <w:rPr>
          <w:lang w:val="en-CA"/>
        </w:rPr>
        <w:t xml:space="preserve">Stage II included funding for the conversion of 67 PU foam enterprises, of which 57 are </w:t>
      </w:r>
      <w:r w:rsidR="00E50F23">
        <w:rPr>
          <w:lang w:val="en-CA"/>
        </w:rPr>
        <w:t>SMEs</w:t>
      </w:r>
      <w:r w:rsidRPr="00234A52">
        <w:rPr>
          <w:lang w:val="en-CA"/>
        </w:rPr>
        <w:t>, to low-</w:t>
      </w:r>
      <w:r>
        <w:rPr>
          <w:lang w:val="en-CA"/>
        </w:rPr>
        <w:t>GWP</w:t>
      </w:r>
      <w:r w:rsidRPr="00234A52">
        <w:rPr>
          <w:lang w:val="en-CA"/>
        </w:rPr>
        <w:t xml:space="preserve"> alternatives; an additional </w:t>
      </w:r>
      <w:r w:rsidR="002F02D2">
        <w:rPr>
          <w:lang w:val="en-CA"/>
        </w:rPr>
        <w:t>10</w:t>
      </w:r>
      <w:r w:rsidRPr="00234A52">
        <w:rPr>
          <w:lang w:val="en-CA"/>
        </w:rPr>
        <w:t xml:space="preserve"> non-eligible enterprises </w:t>
      </w:r>
      <w:r>
        <w:rPr>
          <w:lang w:val="en-CA"/>
        </w:rPr>
        <w:t>had planned to</w:t>
      </w:r>
      <w:r w:rsidRPr="00234A52">
        <w:rPr>
          <w:lang w:val="en-CA"/>
        </w:rPr>
        <w:t xml:space="preserve"> phase out their consumption without support from the Multilateral Fund, lead</w:t>
      </w:r>
      <w:r>
        <w:rPr>
          <w:lang w:val="en-CA"/>
        </w:rPr>
        <w:t>ing</w:t>
      </w:r>
      <w:r w:rsidRPr="00234A52">
        <w:rPr>
          <w:lang w:val="en-CA"/>
        </w:rPr>
        <w:t xml:space="preserve"> to complete phase-out of HCFC-141b in the PU foam sector by 1 January 2022. A staged approach was planned, whereby </w:t>
      </w:r>
      <w:r>
        <w:rPr>
          <w:lang w:val="en-CA"/>
        </w:rPr>
        <w:t xml:space="preserve">large-sized </w:t>
      </w:r>
      <w:r w:rsidRPr="00234A52">
        <w:rPr>
          <w:lang w:val="en-CA"/>
        </w:rPr>
        <w:t>enterprises with consumption of 20 metric tonnes (mt) or higher would convert to cyclopentane pure or pre</w:t>
      </w:r>
      <w:r w:rsidRPr="00234A52">
        <w:rPr>
          <w:lang w:val="en-CA"/>
        </w:rPr>
        <w:noBreakHyphen/>
        <w:t>blended in polyol systems,</w:t>
      </w:r>
      <w:r>
        <w:rPr>
          <w:rStyle w:val="FootnoteReference"/>
          <w:lang w:val="en-CA"/>
        </w:rPr>
        <w:footnoteReference w:id="26"/>
      </w:r>
      <w:r w:rsidRPr="00234A52">
        <w:rPr>
          <w:lang w:val="en-CA"/>
        </w:rPr>
        <w:t xml:space="preserve"> and smaller</w:t>
      </w:r>
      <w:r>
        <w:rPr>
          <w:lang w:val="en-CA"/>
        </w:rPr>
        <w:t> </w:t>
      </w:r>
      <w:r w:rsidRPr="00234A52">
        <w:rPr>
          <w:lang w:val="en-CA"/>
        </w:rPr>
        <w:t>sized enterprises would convert under the second and third tranches to reduced HFO formulations</w:t>
      </w:r>
      <w:r>
        <w:rPr>
          <w:lang w:val="en-CA"/>
        </w:rPr>
        <w:t>, or potentially</w:t>
      </w:r>
      <w:r w:rsidRPr="00234A52">
        <w:rPr>
          <w:lang w:val="en-CA"/>
        </w:rPr>
        <w:t xml:space="preserve"> methylal. </w:t>
      </w:r>
    </w:p>
    <w:p w14:paraId="35879AAF" w14:textId="77777777" w:rsidR="009C7B62" w:rsidRPr="00A06FA4" w:rsidRDefault="009C7B62" w:rsidP="009C7B62">
      <w:pPr>
        <w:widowControl w:val="0"/>
        <w:numPr>
          <w:ilvl w:val="0"/>
          <w:numId w:val="1"/>
        </w:numPr>
        <w:spacing w:after="240"/>
        <w:outlineLvl w:val="0"/>
        <w:rPr>
          <w:lang w:val="en-CA"/>
        </w:rPr>
      </w:pPr>
      <w:r w:rsidRPr="00A06FA4">
        <w:rPr>
          <w:lang w:val="en-CA"/>
        </w:rPr>
        <w:t>At the 84</w:t>
      </w:r>
      <w:r w:rsidRPr="00A06FA4">
        <w:rPr>
          <w:vertAlign w:val="superscript"/>
          <w:lang w:val="en-CA"/>
        </w:rPr>
        <w:t>th</w:t>
      </w:r>
      <w:r w:rsidRPr="00A06FA4">
        <w:rPr>
          <w:lang w:val="en-CA"/>
        </w:rPr>
        <w:t xml:space="preserve"> meeting, UNDP reported that given concerns about the stable supply of HFO blowing agents and the immediate commercial availability of cyclopentane pre-blended polyol systems from four systems houses in the country, seven </w:t>
      </w:r>
      <w:r>
        <w:rPr>
          <w:lang w:val="en-CA"/>
        </w:rPr>
        <w:t>SMEs</w:t>
      </w:r>
      <w:r w:rsidRPr="00A06FA4">
        <w:rPr>
          <w:lang w:val="en-CA"/>
        </w:rPr>
        <w:t xml:space="preserve"> (i.e., Allied Foam, </w:t>
      </w:r>
      <w:proofErr w:type="spellStart"/>
      <w:r w:rsidRPr="00A06FA4">
        <w:rPr>
          <w:lang w:val="en-CA"/>
        </w:rPr>
        <w:t>Astino</w:t>
      </w:r>
      <w:proofErr w:type="spellEnd"/>
      <w:r w:rsidRPr="00A06FA4">
        <w:rPr>
          <w:lang w:val="en-CA"/>
        </w:rPr>
        <w:t xml:space="preserve">, Century, </w:t>
      </w:r>
      <w:proofErr w:type="spellStart"/>
      <w:r w:rsidRPr="00A06FA4">
        <w:rPr>
          <w:lang w:val="en-CA"/>
        </w:rPr>
        <w:t>Gai</w:t>
      </w:r>
      <w:proofErr w:type="spellEnd"/>
      <w:r w:rsidRPr="00A06FA4">
        <w:rPr>
          <w:lang w:val="en-CA"/>
        </w:rPr>
        <w:t xml:space="preserve"> </w:t>
      </w:r>
      <w:proofErr w:type="spellStart"/>
      <w:r w:rsidRPr="00A06FA4">
        <w:rPr>
          <w:lang w:val="en-CA"/>
        </w:rPr>
        <w:t>Hin</w:t>
      </w:r>
      <w:proofErr w:type="spellEnd"/>
      <w:r w:rsidRPr="00A06FA4">
        <w:rPr>
          <w:lang w:val="en-CA"/>
        </w:rPr>
        <w:t xml:space="preserve">, </w:t>
      </w:r>
      <w:proofErr w:type="spellStart"/>
      <w:r w:rsidRPr="00A06FA4">
        <w:rPr>
          <w:lang w:val="en-CA"/>
        </w:rPr>
        <w:t>Hewgant</w:t>
      </w:r>
      <w:proofErr w:type="spellEnd"/>
      <w:r w:rsidRPr="00A06FA4">
        <w:rPr>
          <w:lang w:val="en-CA"/>
        </w:rPr>
        <w:t>, Insulated Box, and Roto Speed) were considering changing technology from HFOs to pre</w:t>
      </w:r>
      <w:r w:rsidRPr="00A06FA4">
        <w:rPr>
          <w:lang w:val="en-CA"/>
        </w:rPr>
        <w:noBreakHyphen/>
        <w:t xml:space="preserve">blended cyclopentane; however, the final decision by those </w:t>
      </w:r>
      <w:r>
        <w:rPr>
          <w:lang w:val="en-CA"/>
        </w:rPr>
        <w:t xml:space="preserve">SMEs </w:t>
      </w:r>
      <w:r w:rsidRPr="00A06FA4">
        <w:rPr>
          <w:lang w:val="en-CA"/>
        </w:rPr>
        <w:t xml:space="preserve">was pending the results of ongoing tests of different formulations. UNDP also confirmed that the enterprises would co-finance any additional costs if they were to decide on the change in technology. During the review process, the Secretariat assessed the </w:t>
      </w:r>
      <w:r w:rsidRPr="00A06FA4">
        <w:rPr>
          <w:lang w:val="en-CA"/>
        </w:rPr>
        <w:lastRenderedPageBreak/>
        <w:t>eligible incremental costs to convert to cyclopentane pre-blended polyol systems, and concluded that there would be no savings associated with such a change in technology. Accordingly, the Executive Committee decided that those enterprises would have flexibility to change technology to pre</w:t>
      </w:r>
      <w:r w:rsidRPr="00A06FA4">
        <w:rPr>
          <w:lang w:val="en-CA"/>
        </w:rPr>
        <w:noBreakHyphen/>
        <w:t xml:space="preserve">blended cyclopentane during implementation, on the understanding that the conversions would not be delayed and any additional costs would be covered by the enterprises; and UNDP would report on this matter when submitting the request for the third tranche of the HPMP (decision 84/77(b)). </w:t>
      </w:r>
    </w:p>
    <w:p w14:paraId="2E45F574" w14:textId="77777777" w:rsidR="009C7B62" w:rsidRDefault="009C7B62" w:rsidP="009C7B62">
      <w:pPr>
        <w:numPr>
          <w:ilvl w:val="0"/>
          <w:numId w:val="1"/>
        </w:numPr>
        <w:spacing w:after="240"/>
        <w:outlineLvl w:val="0"/>
        <w:rPr>
          <w:lang w:val="en-CA"/>
        </w:rPr>
      </w:pPr>
      <w:r w:rsidRPr="001A7D23">
        <w:rPr>
          <w:lang w:val="en-CA"/>
        </w:rPr>
        <w:t>At the 85</w:t>
      </w:r>
      <w:r w:rsidRPr="001A7D23">
        <w:rPr>
          <w:vertAlign w:val="superscript"/>
          <w:lang w:val="en-CA"/>
        </w:rPr>
        <w:t>th</w:t>
      </w:r>
      <w:r w:rsidRPr="001A7D23">
        <w:rPr>
          <w:lang w:val="en-CA"/>
        </w:rPr>
        <w:t xml:space="preserve"> meeting, UNDP reported that those seven </w:t>
      </w:r>
      <w:r>
        <w:rPr>
          <w:lang w:val="en-CA"/>
        </w:rPr>
        <w:t xml:space="preserve">SMEs </w:t>
      </w:r>
      <w:r w:rsidRPr="001A7D23">
        <w:rPr>
          <w:lang w:val="en-CA"/>
        </w:rPr>
        <w:t>had confirmed their change of technology to pre</w:t>
      </w:r>
      <w:r w:rsidRPr="001A7D23">
        <w:rPr>
          <w:lang w:val="en-CA"/>
        </w:rPr>
        <w:noBreakHyphen/>
        <w:t>blended cyclopentane</w:t>
      </w:r>
      <w:r>
        <w:rPr>
          <w:lang w:val="en-CA"/>
        </w:rPr>
        <w:t>. At the 85</w:t>
      </w:r>
      <w:r w:rsidRPr="002D07E7">
        <w:rPr>
          <w:vertAlign w:val="superscript"/>
          <w:lang w:val="en-CA"/>
        </w:rPr>
        <w:t>th</w:t>
      </w:r>
      <w:r>
        <w:rPr>
          <w:lang w:val="en-CA"/>
        </w:rPr>
        <w:t xml:space="preserve"> and 86</w:t>
      </w:r>
      <w:r w:rsidRPr="002D07E7">
        <w:rPr>
          <w:vertAlign w:val="superscript"/>
          <w:lang w:val="en-CA"/>
        </w:rPr>
        <w:t>th</w:t>
      </w:r>
      <w:r>
        <w:rPr>
          <w:lang w:val="en-CA"/>
        </w:rPr>
        <w:t xml:space="preserve"> meetings, UNDP </w:t>
      </w:r>
      <w:r w:rsidRPr="001A7D23">
        <w:rPr>
          <w:lang w:val="en-CA"/>
        </w:rPr>
        <w:t xml:space="preserve">submitted a request to change the technology for a further </w:t>
      </w:r>
      <w:r>
        <w:rPr>
          <w:lang w:val="en-CA"/>
        </w:rPr>
        <w:t xml:space="preserve">25 SMEs </w:t>
      </w:r>
      <w:r w:rsidRPr="001A7D23">
        <w:rPr>
          <w:lang w:val="en-CA"/>
        </w:rPr>
        <w:t>from HFOs to pre-blended cyclopentane polyol systems</w:t>
      </w:r>
      <w:r>
        <w:rPr>
          <w:lang w:val="en-CA"/>
        </w:rPr>
        <w:t>, which the Executive Committee</w:t>
      </w:r>
      <w:r w:rsidRPr="001A7D23">
        <w:rPr>
          <w:lang w:val="en-CA"/>
        </w:rPr>
        <w:t xml:space="preserve"> approved on the understanding that the conversions would not be delayed and any additional costs would be covered by the enterprises</w:t>
      </w:r>
      <w:r>
        <w:rPr>
          <w:lang w:val="en-CA"/>
        </w:rPr>
        <w:t xml:space="preserve"> (decision</w:t>
      </w:r>
      <w:r w:rsidR="00891AF0">
        <w:rPr>
          <w:lang w:val="en-CA"/>
        </w:rPr>
        <w:t>s</w:t>
      </w:r>
      <w:r>
        <w:rPr>
          <w:lang w:val="en-CA"/>
        </w:rPr>
        <w:t xml:space="preserve"> 85/11(b) and 86/</w:t>
      </w:r>
      <w:r w:rsidR="00891AF0">
        <w:rPr>
          <w:lang w:val="en-CA"/>
        </w:rPr>
        <w:t>27(b)</w:t>
      </w:r>
      <w:r>
        <w:rPr>
          <w:lang w:val="en-CA"/>
        </w:rPr>
        <w:t>)</w:t>
      </w:r>
      <w:r w:rsidRPr="001A7D23">
        <w:rPr>
          <w:lang w:val="en-CA"/>
        </w:rPr>
        <w:t>.</w:t>
      </w:r>
    </w:p>
    <w:p w14:paraId="4CE640BA" w14:textId="77777777" w:rsidR="009C7B62" w:rsidRPr="00234A52" w:rsidRDefault="009C7B62" w:rsidP="009C7B62">
      <w:pPr>
        <w:spacing w:after="240"/>
        <w:rPr>
          <w:u w:val="single"/>
          <w:lang w:val="en-CA"/>
        </w:rPr>
      </w:pPr>
      <w:r w:rsidRPr="00234A52">
        <w:rPr>
          <w:u w:val="single"/>
          <w:lang w:val="en-CA"/>
        </w:rPr>
        <w:t>Request for change of technology</w:t>
      </w:r>
    </w:p>
    <w:p w14:paraId="384DF464" w14:textId="77777777" w:rsidR="009C7B62" w:rsidRPr="00234A52" w:rsidRDefault="009C7B62" w:rsidP="009C7B62">
      <w:pPr>
        <w:pStyle w:val="Heading1"/>
        <w:rPr>
          <w:lang w:val="en-CA"/>
        </w:rPr>
      </w:pPr>
      <w:r w:rsidRPr="00234A52">
        <w:rPr>
          <w:lang w:val="en-CA"/>
        </w:rPr>
        <w:t>In accordance with paragraph 7(a)(v) of the Agreement between the Government of Malaysia and the Executive Committee, the Government through UNDP has submitted to the 8</w:t>
      </w:r>
      <w:r>
        <w:rPr>
          <w:lang w:val="en-CA"/>
        </w:rPr>
        <w:t>7</w:t>
      </w:r>
      <w:r w:rsidRPr="00234A52">
        <w:rPr>
          <w:vertAlign w:val="superscript"/>
          <w:lang w:val="en-CA"/>
        </w:rPr>
        <w:t>th </w:t>
      </w:r>
      <w:r w:rsidRPr="00234A52">
        <w:rPr>
          <w:lang w:val="en-CA"/>
        </w:rPr>
        <w:t xml:space="preserve">meeting a request to change the technology for an additional </w:t>
      </w:r>
      <w:r>
        <w:rPr>
          <w:lang w:val="en-CA"/>
        </w:rPr>
        <w:t>nine</w:t>
      </w:r>
      <w:r w:rsidRPr="00234A52">
        <w:rPr>
          <w:lang w:val="en-CA"/>
        </w:rPr>
        <w:t> </w:t>
      </w:r>
      <w:r>
        <w:rPr>
          <w:lang w:val="en-CA"/>
        </w:rPr>
        <w:t>SMEs</w:t>
      </w:r>
      <w:r w:rsidRPr="00E00E9F">
        <w:rPr>
          <w:lang w:val="en-CA"/>
        </w:rPr>
        <w:t xml:space="preserve"> from HFOs to pre-blended cyclopentane or methylal</w:t>
      </w:r>
      <w:r>
        <w:rPr>
          <w:lang w:val="en-CA"/>
        </w:rPr>
        <w:t xml:space="preserve">, as shown in Table </w:t>
      </w:r>
      <w:r w:rsidR="007C20AE">
        <w:rPr>
          <w:lang w:val="en-CA"/>
        </w:rPr>
        <w:t>5</w:t>
      </w:r>
      <w:r>
        <w:rPr>
          <w:lang w:val="en-CA"/>
        </w:rPr>
        <w:t>. An additional two SMEs (</w:t>
      </w:r>
      <w:r w:rsidRPr="009B5584">
        <w:rPr>
          <w:lang w:val="en-CA"/>
        </w:rPr>
        <w:t xml:space="preserve">Water-Care Industries </w:t>
      </w:r>
      <w:proofErr w:type="spellStart"/>
      <w:r w:rsidRPr="009B5584">
        <w:rPr>
          <w:lang w:val="en-CA"/>
        </w:rPr>
        <w:t>Sdn</w:t>
      </w:r>
      <w:proofErr w:type="spellEnd"/>
      <w:r w:rsidRPr="009B5584">
        <w:rPr>
          <w:lang w:val="en-CA"/>
        </w:rPr>
        <w:t xml:space="preserve"> </w:t>
      </w:r>
      <w:proofErr w:type="spellStart"/>
      <w:r w:rsidRPr="009B5584">
        <w:rPr>
          <w:lang w:val="en-CA"/>
        </w:rPr>
        <w:t>Bhd</w:t>
      </w:r>
      <w:proofErr w:type="spellEnd"/>
      <w:r>
        <w:rPr>
          <w:lang w:val="en-CA"/>
        </w:rPr>
        <w:t xml:space="preserve"> and </w:t>
      </w:r>
      <w:r w:rsidRPr="009B5584">
        <w:rPr>
          <w:lang w:val="en-CA"/>
        </w:rPr>
        <w:t xml:space="preserve">Composite Truck Body </w:t>
      </w:r>
      <w:proofErr w:type="spellStart"/>
      <w:r w:rsidRPr="009B5584">
        <w:rPr>
          <w:lang w:val="en-CA"/>
        </w:rPr>
        <w:t>Sdn</w:t>
      </w:r>
      <w:proofErr w:type="spellEnd"/>
      <w:r w:rsidRPr="009B5584">
        <w:rPr>
          <w:lang w:val="en-CA"/>
        </w:rPr>
        <w:t xml:space="preserve"> </w:t>
      </w:r>
      <w:proofErr w:type="spellStart"/>
      <w:r w:rsidRPr="009B5584">
        <w:rPr>
          <w:lang w:val="en-CA"/>
        </w:rPr>
        <w:t>Bhd</w:t>
      </w:r>
      <w:proofErr w:type="spellEnd"/>
      <w:r>
        <w:rPr>
          <w:lang w:val="en-CA"/>
        </w:rPr>
        <w:t>,</w:t>
      </w:r>
      <w:r w:rsidRPr="009B5584">
        <w:rPr>
          <w:lang w:val="en-CA"/>
        </w:rPr>
        <w:t xml:space="preserve"> </w:t>
      </w:r>
      <w:r>
        <w:rPr>
          <w:lang w:val="en-CA"/>
        </w:rPr>
        <w:t xml:space="preserve">with an aggregated consumption of 10.48 mt) have confirmed that they will remain in the project and will convert to the agreed technology (i.e., reduced HFOs). </w:t>
      </w:r>
    </w:p>
    <w:p w14:paraId="21A56B7C" w14:textId="77777777" w:rsidR="009C7B62" w:rsidRPr="00234A52" w:rsidRDefault="009C7B62" w:rsidP="009C7B62">
      <w:pPr>
        <w:keepNext/>
        <w:keepLines/>
        <w:rPr>
          <w:b/>
          <w:lang w:val="en-CA"/>
        </w:rPr>
      </w:pPr>
      <w:r w:rsidRPr="00234A52">
        <w:rPr>
          <w:b/>
          <w:lang w:val="en-CA"/>
        </w:rPr>
        <w:t>T</w:t>
      </w:r>
      <w:r>
        <w:rPr>
          <w:b/>
          <w:lang w:val="en-CA"/>
        </w:rPr>
        <w:t xml:space="preserve">able </w:t>
      </w:r>
      <w:r w:rsidR="007C20AE">
        <w:rPr>
          <w:b/>
          <w:lang w:val="en-CA"/>
        </w:rPr>
        <w:t>5</w:t>
      </w:r>
      <w:r w:rsidRPr="00234A52">
        <w:rPr>
          <w:b/>
          <w:lang w:val="en-CA"/>
        </w:rPr>
        <w:t xml:space="preserve">. </w:t>
      </w:r>
      <w:r>
        <w:rPr>
          <w:b/>
          <w:lang w:val="en-CA"/>
        </w:rPr>
        <w:t>Nine additional SMEs that requested change to</w:t>
      </w:r>
      <w:r w:rsidRPr="00234A52">
        <w:rPr>
          <w:b/>
          <w:lang w:val="en-CA"/>
        </w:rPr>
        <w:t xml:space="preserve"> </w:t>
      </w:r>
      <w:r>
        <w:rPr>
          <w:b/>
          <w:lang w:val="en-CA"/>
        </w:rPr>
        <w:t>another low-GWP alternative technology at the 87</w:t>
      </w:r>
      <w:r w:rsidRPr="00E540D5">
        <w:rPr>
          <w:b/>
          <w:vertAlign w:val="superscript"/>
          <w:lang w:val="en-CA"/>
        </w:rPr>
        <w:t>th</w:t>
      </w:r>
      <w:r>
        <w:rPr>
          <w:b/>
          <w:lang w:val="en-CA"/>
        </w:rPr>
        <w:t xml:space="preserve"> meeting</w:t>
      </w:r>
    </w:p>
    <w:tbl>
      <w:tblPr>
        <w:tblW w:w="9351" w:type="dxa"/>
        <w:tblLayout w:type="fixed"/>
        <w:tblLook w:val="04A0" w:firstRow="1" w:lastRow="0" w:firstColumn="1" w:lastColumn="0" w:noHBand="0" w:noVBand="1"/>
      </w:tblPr>
      <w:tblGrid>
        <w:gridCol w:w="2972"/>
        <w:gridCol w:w="2268"/>
        <w:gridCol w:w="1418"/>
        <w:gridCol w:w="1275"/>
        <w:gridCol w:w="1418"/>
      </w:tblGrid>
      <w:tr w:rsidR="009C7B62" w:rsidRPr="0032789D" w14:paraId="68B5A81D" w14:textId="77777777" w:rsidTr="000E3838">
        <w:trPr>
          <w:trHeight w:val="480"/>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14:paraId="62192EA4" w14:textId="77777777" w:rsidR="009C7B62" w:rsidRPr="0032789D" w:rsidRDefault="009C7B62" w:rsidP="000E3838">
            <w:pPr>
              <w:keepNext/>
              <w:keepLines/>
              <w:jc w:val="left"/>
              <w:rPr>
                <w:b/>
                <w:bCs/>
                <w:color w:val="000000"/>
                <w:sz w:val="20"/>
                <w:szCs w:val="20"/>
                <w:lang w:val="en-CA"/>
              </w:rPr>
            </w:pPr>
            <w:r w:rsidRPr="0032789D">
              <w:rPr>
                <w:b/>
                <w:bCs/>
                <w:color w:val="000000"/>
                <w:sz w:val="20"/>
                <w:szCs w:val="20"/>
                <w:lang w:val="en-CA"/>
              </w:rPr>
              <w:t>Enterprise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B1F2510" w14:textId="77777777" w:rsidR="009C7B62" w:rsidRPr="0032789D" w:rsidRDefault="009C7B62" w:rsidP="000E3838">
            <w:pPr>
              <w:keepNext/>
              <w:keepLines/>
              <w:jc w:val="center"/>
              <w:rPr>
                <w:b/>
                <w:bCs/>
                <w:color w:val="000000"/>
                <w:sz w:val="20"/>
                <w:szCs w:val="20"/>
                <w:lang w:val="en-CA"/>
              </w:rPr>
            </w:pPr>
            <w:r w:rsidRPr="0032789D">
              <w:rPr>
                <w:b/>
                <w:bCs/>
                <w:color w:val="000000"/>
                <w:sz w:val="20"/>
                <w:szCs w:val="20"/>
                <w:lang w:val="en-CA"/>
              </w:rPr>
              <w:t>Application</w:t>
            </w:r>
          </w:p>
        </w:tc>
        <w:tc>
          <w:tcPr>
            <w:tcW w:w="1418" w:type="dxa"/>
            <w:tcBorders>
              <w:top w:val="single" w:sz="4" w:space="0" w:color="auto"/>
              <w:left w:val="nil"/>
              <w:bottom w:val="single" w:sz="4" w:space="0" w:color="auto"/>
              <w:right w:val="single" w:sz="4" w:space="0" w:color="auto"/>
            </w:tcBorders>
          </w:tcPr>
          <w:p w14:paraId="74DDCEB2" w14:textId="77777777" w:rsidR="009C7B62" w:rsidRPr="0032789D" w:rsidRDefault="009C7B62" w:rsidP="000E3838">
            <w:pPr>
              <w:keepNext/>
              <w:keepLines/>
              <w:jc w:val="center"/>
              <w:rPr>
                <w:b/>
                <w:bCs/>
                <w:color w:val="000000"/>
                <w:sz w:val="20"/>
                <w:szCs w:val="20"/>
                <w:lang w:val="en-CA"/>
              </w:rPr>
            </w:pPr>
            <w:r w:rsidRPr="0032789D">
              <w:rPr>
                <w:b/>
                <w:bCs/>
                <w:color w:val="000000"/>
                <w:sz w:val="20"/>
                <w:szCs w:val="20"/>
                <w:lang w:val="en-CA"/>
              </w:rPr>
              <w:t xml:space="preserve">Proposed </w:t>
            </w:r>
            <w:r>
              <w:rPr>
                <w:b/>
                <w:bCs/>
                <w:color w:val="000000"/>
                <w:sz w:val="20"/>
                <w:szCs w:val="20"/>
                <w:lang w:val="en-CA"/>
              </w:rPr>
              <w:t xml:space="preserve"> </w:t>
            </w:r>
            <w:r w:rsidRPr="0032789D">
              <w:rPr>
                <w:b/>
                <w:bCs/>
                <w:color w:val="000000"/>
                <w:sz w:val="20"/>
                <w:szCs w:val="20"/>
                <w:lang w:val="en-CA"/>
              </w:rPr>
              <w:t>technology</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C4F747A" w14:textId="77777777" w:rsidR="009C7B62" w:rsidRPr="0032789D" w:rsidRDefault="009C7B62" w:rsidP="000E3838">
            <w:pPr>
              <w:keepNext/>
              <w:keepLines/>
              <w:jc w:val="center"/>
              <w:rPr>
                <w:b/>
                <w:bCs/>
                <w:color w:val="000000"/>
                <w:sz w:val="20"/>
                <w:szCs w:val="20"/>
                <w:lang w:val="en-CA"/>
              </w:rPr>
            </w:pPr>
            <w:r w:rsidRPr="0032789D">
              <w:rPr>
                <w:b/>
                <w:bCs/>
                <w:color w:val="000000"/>
                <w:sz w:val="20"/>
                <w:szCs w:val="20"/>
                <w:lang w:val="en-CA"/>
              </w:rPr>
              <w:t>HCFC</w:t>
            </w:r>
            <w:r w:rsidRPr="0032789D">
              <w:rPr>
                <w:b/>
                <w:bCs/>
                <w:color w:val="000000"/>
                <w:sz w:val="20"/>
                <w:szCs w:val="20"/>
                <w:lang w:val="en-CA"/>
              </w:rPr>
              <w:noBreakHyphen/>
              <w:t>141b (mt) in 2015</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F34693B" w14:textId="77777777" w:rsidR="009C7B62" w:rsidRPr="0032789D" w:rsidRDefault="009C7B62" w:rsidP="000E3838">
            <w:pPr>
              <w:keepNext/>
              <w:keepLines/>
              <w:jc w:val="center"/>
              <w:rPr>
                <w:b/>
                <w:bCs/>
                <w:color w:val="000000"/>
                <w:sz w:val="20"/>
                <w:szCs w:val="20"/>
                <w:lang w:val="en-CA"/>
              </w:rPr>
            </w:pPr>
            <w:r w:rsidRPr="0032789D">
              <w:rPr>
                <w:b/>
                <w:bCs/>
                <w:color w:val="000000"/>
                <w:sz w:val="20"/>
                <w:szCs w:val="20"/>
                <w:lang w:val="en-CA"/>
              </w:rPr>
              <w:t>Approved funding (US $)</w:t>
            </w:r>
          </w:p>
        </w:tc>
      </w:tr>
      <w:tr w:rsidR="009C7B62" w:rsidRPr="0032789D" w14:paraId="141D75F0" w14:textId="77777777" w:rsidTr="000E3838">
        <w:trPr>
          <w:trHeight w:val="98"/>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1BFF5CC5" w14:textId="77777777" w:rsidR="009C7B62" w:rsidRPr="0032789D" w:rsidRDefault="009C7B62" w:rsidP="000E3838">
            <w:pPr>
              <w:keepNext/>
              <w:keepLines/>
              <w:jc w:val="left"/>
              <w:rPr>
                <w:color w:val="000000"/>
                <w:sz w:val="20"/>
                <w:szCs w:val="20"/>
                <w:lang w:val="en-CA"/>
              </w:rPr>
            </w:pPr>
            <w:proofErr w:type="spellStart"/>
            <w:r w:rsidRPr="0032789D">
              <w:rPr>
                <w:sz w:val="20"/>
                <w:szCs w:val="20"/>
              </w:rPr>
              <w:t>Pipeco</w:t>
            </w:r>
            <w:proofErr w:type="spellEnd"/>
            <w:r w:rsidRPr="0032789D">
              <w:rPr>
                <w:sz w:val="20"/>
                <w:szCs w:val="20"/>
              </w:rPr>
              <w:t xml:space="preserve"> FRP Tanks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2E96AB30" w14:textId="77777777" w:rsidR="009C7B62" w:rsidRPr="0032789D" w:rsidRDefault="009C7B62" w:rsidP="000E3838">
            <w:pPr>
              <w:keepNext/>
              <w:keepLines/>
              <w:jc w:val="left"/>
              <w:rPr>
                <w:sz w:val="20"/>
                <w:szCs w:val="20"/>
                <w:lang w:val="en-CA"/>
              </w:rPr>
            </w:pPr>
            <w:r w:rsidRPr="0032789D">
              <w:rPr>
                <w:sz w:val="20"/>
                <w:szCs w:val="20"/>
              </w:rPr>
              <w:t xml:space="preserve">Discontinuous </w:t>
            </w:r>
            <w:r>
              <w:rPr>
                <w:sz w:val="20"/>
                <w:szCs w:val="20"/>
              </w:rPr>
              <w:t>p</w:t>
            </w:r>
            <w:r w:rsidRPr="0032789D">
              <w:rPr>
                <w:sz w:val="20"/>
                <w:szCs w:val="20"/>
              </w:rPr>
              <w:t>anels</w:t>
            </w:r>
          </w:p>
        </w:tc>
        <w:tc>
          <w:tcPr>
            <w:tcW w:w="1418" w:type="dxa"/>
            <w:tcBorders>
              <w:top w:val="single" w:sz="4" w:space="0" w:color="auto"/>
              <w:left w:val="nil"/>
              <w:bottom w:val="single" w:sz="4" w:space="0" w:color="auto"/>
              <w:right w:val="single" w:sz="4" w:space="0" w:color="auto"/>
            </w:tcBorders>
          </w:tcPr>
          <w:p w14:paraId="65321E10" w14:textId="77777777" w:rsidR="009C7B62" w:rsidRPr="0032789D" w:rsidRDefault="009C7B62" w:rsidP="000E3838">
            <w:pPr>
              <w:keepNext/>
              <w:keepLines/>
              <w:ind w:right="28"/>
              <w:jc w:val="left"/>
              <w:rPr>
                <w:sz w:val="20"/>
                <w:szCs w:val="20"/>
              </w:rPr>
            </w:pPr>
            <w:r>
              <w:rPr>
                <w:sz w:val="20"/>
                <w:szCs w:val="20"/>
              </w:rPr>
              <w:t>M</w:t>
            </w:r>
            <w:r w:rsidRPr="0032789D">
              <w:rPr>
                <w:sz w:val="20"/>
                <w:szCs w:val="20"/>
              </w:rPr>
              <w:t>ethylal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EB82C8B" w14:textId="77777777" w:rsidR="009C7B62" w:rsidRPr="0032789D" w:rsidRDefault="009C7B62" w:rsidP="000E3838">
            <w:pPr>
              <w:keepNext/>
              <w:keepLines/>
              <w:ind w:right="-108"/>
              <w:jc w:val="right"/>
              <w:rPr>
                <w:color w:val="000000"/>
                <w:sz w:val="20"/>
                <w:szCs w:val="20"/>
                <w:lang w:val="en-CA"/>
              </w:rPr>
            </w:pPr>
            <w:r w:rsidRPr="0032789D">
              <w:rPr>
                <w:sz w:val="20"/>
                <w:szCs w:val="20"/>
              </w:rPr>
              <w:t>8.75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A91BD72" w14:textId="77777777" w:rsidR="009C7B62" w:rsidRPr="0032789D" w:rsidRDefault="009C7B62" w:rsidP="000E3838">
            <w:pPr>
              <w:keepNext/>
              <w:keepLines/>
              <w:ind w:right="-85"/>
              <w:jc w:val="right"/>
              <w:rPr>
                <w:bCs/>
                <w:sz w:val="20"/>
                <w:szCs w:val="20"/>
                <w:lang w:val="en-CA"/>
              </w:rPr>
            </w:pPr>
            <w:r w:rsidRPr="0032789D">
              <w:rPr>
                <w:sz w:val="20"/>
                <w:szCs w:val="20"/>
              </w:rPr>
              <w:t>54,340</w:t>
            </w:r>
          </w:p>
        </w:tc>
      </w:tr>
      <w:tr w:rsidR="009C7B62" w:rsidRPr="0032789D" w14:paraId="6113CFB9" w14:textId="77777777" w:rsidTr="000E3838">
        <w:trPr>
          <w:trHeight w:val="170"/>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49424284" w14:textId="77777777" w:rsidR="009C7B62" w:rsidRPr="0032789D" w:rsidRDefault="009C7B62" w:rsidP="000E3838">
            <w:pPr>
              <w:keepNext/>
              <w:keepLines/>
              <w:jc w:val="left"/>
              <w:rPr>
                <w:color w:val="000000"/>
                <w:sz w:val="20"/>
                <w:szCs w:val="20"/>
                <w:lang w:val="en-CA"/>
              </w:rPr>
            </w:pPr>
            <w:r w:rsidRPr="0032789D">
              <w:rPr>
                <w:sz w:val="20"/>
                <w:szCs w:val="20"/>
              </w:rPr>
              <w:t>Poly</w:t>
            </w:r>
            <w:r>
              <w:rPr>
                <w:sz w:val="20"/>
                <w:szCs w:val="20"/>
              </w:rPr>
              <w:t xml:space="preserve"> </w:t>
            </w:r>
            <w:proofErr w:type="spellStart"/>
            <w:r w:rsidRPr="0032789D">
              <w:rPr>
                <w:sz w:val="20"/>
                <w:szCs w:val="20"/>
              </w:rPr>
              <w:t>Unifoam</w:t>
            </w:r>
            <w:proofErr w:type="spellEnd"/>
            <w:r w:rsidRPr="0032789D">
              <w:rPr>
                <w:sz w:val="20"/>
                <w:szCs w:val="20"/>
              </w:rPr>
              <w:t xml:space="preserve">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0DFEA2FD" w14:textId="77777777" w:rsidR="009C7B62" w:rsidRPr="0032789D" w:rsidRDefault="009C7B62" w:rsidP="000E3838">
            <w:pPr>
              <w:keepNext/>
              <w:keepLines/>
              <w:jc w:val="left"/>
              <w:rPr>
                <w:sz w:val="20"/>
                <w:szCs w:val="20"/>
                <w:lang w:val="en-CA"/>
              </w:rPr>
            </w:pPr>
            <w:r w:rsidRPr="0032789D">
              <w:rPr>
                <w:sz w:val="20"/>
                <w:szCs w:val="20"/>
              </w:rPr>
              <w:t>Pipes</w:t>
            </w:r>
          </w:p>
        </w:tc>
        <w:tc>
          <w:tcPr>
            <w:tcW w:w="1418" w:type="dxa"/>
            <w:tcBorders>
              <w:top w:val="single" w:sz="4" w:space="0" w:color="auto"/>
              <w:left w:val="nil"/>
              <w:bottom w:val="single" w:sz="4" w:space="0" w:color="auto"/>
              <w:right w:val="single" w:sz="4" w:space="0" w:color="auto"/>
            </w:tcBorders>
          </w:tcPr>
          <w:p w14:paraId="7CBF8000" w14:textId="77777777" w:rsidR="009C7B62" w:rsidRPr="00475496" w:rsidRDefault="009C7B62" w:rsidP="000E3838">
            <w:pPr>
              <w:keepNext/>
              <w:keepLines/>
              <w:ind w:right="28"/>
              <w:jc w:val="left"/>
              <w:rPr>
                <w:sz w:val="20"/>
                <w:szCs w:val="20"/>
              </w:rPr>
            </w:pPr>
            <w:r>
              <w:rPr>
                <w:sz w:val="20"/>
                <w:szCs w:val="20"/>
              </w:rPr>
              <w:t>M</w:t>
            </w:r>
            <w:r w:rsidRPr="0032789D">
              <w:rPr>
                <w:sz w:val="20"/>
                <w:szCs w:val="20"/>
              </w:rPr>
              <w:t>ethylal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99E73C3" w14:textId="77777777" w:rsidR="009C7B62" w:rsidRPr="0032789D" w:rsidRDefault="009C7B62" w:rsidP="000E3838">
            <w:pPr>
              <w:keepNext/>
              <w:keepLines/>
              <w:ind w:right="-108"/>
              <w:jc w:val="right"/>
              <w:rPr>
                <w:color w:val="000000"/>
                <w:sz w:val="20"/>
                <w:szCs w:val="20"/>
                <w:lang w:val="en-CA"/>
              </w:rPr>
            </w:pPr>
            <w:r w:rsidRPr="0032789D">
              <w:rPr>
                <w:sz w:val="20"/>
                <w:szCs w:val="20"/>
              </w:rPr>
              <w:t>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ECBF21B" w14:textId="77777777" w:rsidR="009C7B62" w:rsidRPr="0032789D" w:rsidRDefault="009C7B62" w:rsidP="000E3838">
            <w:pPr>
              <w:keepNext/>
              <w:keepLines/>
              <w:ind w:right="-85"/>
              <w:jc w:val="right"/>
              <w:rPr>
                <w:bCs/>
                <w:sz w:val="20"/>
                <w:szCs w:val="20"/>
                <w:lang w:val="en-CA"/>
              </w:rPr>
            </w:pPr>
            <w:r w:rsidRPr="0032789D">
              <w:rPr>
                <w:sz w:val="20"/>
                <w:szCs w:val="20"/>
              </w:rPr>
              <w:t>28,052</w:t>
            </w:r>
          </w:p>
        </w:tc>
      </w:tr>
      <w:tr w:rsidR="009C7B62" w:rsidRPr="0032789D" w14:paraId="63CBEF9C" w14:textId="77777777" w:rsidTr="000E3838">
        <w:trPr>
          <w:trHeight w:val="215"/>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5014C4D9" w14:textId="77777777" w:rsidR="009C7B62" w:rsidRPr="0032789D" w:rsidRDefault="009C7B62" w:rsidP="000E3838">
            <w:pPr>
              <w:keepNext/>
              <w:keepLines/>
              <w:jc w:val="left"/>
              <w:rPr>
                <w:color w:val="000000"/>
                <w:sz w:val="20"/>
                <w:szCs w:val="20"/>
                <w:lang w:val="en-CA"/>
              </w:rPr>
            </w:pPr>
            <w:proofErr w:type="spellStart"/>
            <w:r w:rsidRPr="0032789D">
              <w:rPr>
                <w:sz w:val="20"/>
                <w:szCs w:val="20"/>
              </w:rPr>
              <w:t>F</w:t>
            </w:r>
            <w:r>
              <w:rPr>
                <w:sz w:val="20"/>
                <w:szCs w:val="20"/>
              </w:rPr>
              <w:t>rigotec</w:t>
            </w:r>
            <w:proofErr w:type="spellEnd"/>
            <w:r w:rsidRPr="0032789D">
              <w:rPr>
                <w:sz w:val="20"/>
                <w:szCs w:val="20"/>
              </w:rPr>
              <w:t xml:space="preserve"> Engineering </w:t>
            </w:r>
            <w:r>
              <w:rPr>
                <w:sz w:val="20"/>
                <w:szCs w:val="20"/>
              </w:rPr>
              <w:t>and</w:t>
            </w:r>
            <w:r w:rsidRPr="0032789D">
              <w:rPr>
                <w:sz w:val="20"/>
                <w:szCs w:val="20"/>
              </w:rPr>
              <w:t xml:space="preserve"> Refrigeration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47D08E1A" w14:textId="77777777" w:rsidR="009C7B62" w:rsidRPr="0032789D" w:rsidRDefault="009C7B62" w:rsidP="000E3838">
            <w:pPr>
              <w:keepNext/>
              <w:keepLines/>
              <w:jc w:val="left"/>
              <w:rPr>
                <w:sz w:val="20"/>
                <w:szCs w:val="20"/>
                <w:lang w:val="en-CA"/>
              </w:rPr>
            </w:pPr>
            <w:r w:rsidRPr="0032789D">
              <w:rPr>
                <w:sz w:val="20"/>
                <w:szCs w:val="20"/>
              </w:rPr>
              <w:t>Transportation</w:t>
            </w:r>
          </w:p>
        </w:tc>
        <w:tc>
          <w:tcPr>
            <w:tcW w:w="1418" w:type="dxa"/>
            <w:tcBorders>
              <w:top w:val="single" w:sz="4" w:space="0" w:color="auto"/>
              <w:left w:val="nil"/>
              <w:bottom w:val="single" w:sz="4" w:space="0" w:color="auto"/>
              <w:right w:val="single" w:sz="4" w:space="0" w:color="auto"/>
            </w:tcBorders>
          </w:tcPr>
          <w:p w14:paraId="26E84A0C" w14:textId="77777777" w:rsidR="009C7B62" w:rsidRPr="00475496" w:rsidRDefault="009C7B62" w:rsidP="000E3838">
            <w:pPr>
              <w:keepNext/>
              <w:keepLines/>
              <w:ind w:right="28"/>
              <w:jc w:val="left"/>
              <w:rPr>
                <w:sz w:val="20"/>
                <w:szCs w:val="20"/>
              </w:rPr>
            </w:pPr>
            <w:r>
              <w:rPr>
                <w:sz w:val="20"/>
                <w:szCs w:val="20"/>
              </w:rPr>
              <w:t>Pre-blended c</w:t>
            </w:r>
            <w:r w:rsidRPr="00475496">
              <w:rPr>
                <w:sz w:val="20"/>
                <w:szCs w:val="20"/>
              </w:rPr>
              <w:t>yclopentane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86D7697" w14:textId="77777777" w:rsidR="009C7B62" w:rsidRPr="0032789D" w:rsidRDefault="009C7B62" w:rsidP="000E3838">
            <w:pPr>
              <w:keepNext/>
              <w:keepLines/>
              <w:ind w:right="-108"/>
              <w:jc w:val="right"/>
              <w:rPr>
                <w:color w:val="000000"/>
                <w:sz w:val="20"/>
                <w:szCs w:val="20"/>
                <w:lang w:val="en-CA"/>
              </w:rPr>
            </w:pPr>
            <w:r w:rsidRPr="0032789D">
              <w:rPr>
                <w:sz w:val="20"/>
                <w:szCs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A6B5C97" w14:textId="77777777" w:rsidR="009C7B62" w:rsidRPr="0032789D" w:rsidRDefault="009C7B62" w:rsidP="000E3838">
            <w:pPr>
              <w:keepNext/>
              <w:keepLines/>
              <w:ind w:right="-85"/>
              <w:jc w:val="right"/>
              <w:rPr>
                <w:bCs/>
                <w:sz w:val="20"/>
                <w:szCs w:val="20"/>
                <w:lang w:val="en-CA"/>
              </w:rPr>
            </w:pPr>
            <w:r w:rsidRPr="0032789D">
              <w:rPr>
                <w:sz w:val="20"/>
                <w:szCs w:val="20"/>
              </w:rPr>
              <w:t>27,913</w:t>
            </w:r>
          </w:p>
        </w:tc>
      </w:tr>
      <w:tr w:rsidR="009C7B62" w:rsidRPr="0032789D" w14:paraId="7F4C8201" w14:textId="77777777" w:rsidTr="000E3838">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21B41CF3" w14:textId="77777777" w:rsidR="009C7B62" w:rsidRPr="0032789D" w:rsidRDefault="009C7B62" w:rsidP="000E3838">
            <w:pPr>
              <w:keepNext/>
              <w:keepLines/>
              <w:jc w:val="left"/>
              <w:rPr>
                <w:color w:val="000000"/>
                <w:sz w:val="20"/>
                <w:szCs w:val="20"/>
                <w:lang w:val="en-CA"/>
              </w:rPr>
            </w:pPr>
            <w:r w:rsidRPr="0032789D">
              <w:rPr>
                <w:sz w:val="20"/>
                <w:szCs w:val="20"/>
              </w:rPr>
              <w:t xml:space="preserve">Min Soon Refrigeration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w:t>
            </w:r>
            <w:r>
              <w:rPr>
                <w:sz w:val="20"/>
                <w:szCs w:val="20"/>
              </w:rPr>
              <w:t>h</w:t>
            </w:r>
            <w:r w:rsidRPr="0032789D">
              <w:rPr>
                <w:sz w:val="20"/>
                <w:szCs w:val="20"/>
              </w:rPr>
              <w:t>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15C751A0" w14:textId="77777777" w:rsidR="009C7B62" w:rsidRPr="0032789D" w:rsidRDefault="009C7B62" w:rsidP="000E3838">
            <w:pPr>
              <w:keepNext/>
              <w:keepLines/>
              <w:jc w:val="left"/>
              <w:rPr>
                <w:sz w:val="20"/>
                <w:szCs w:val="20"/>
                <w:lang w:val="en-CA"/>
              </w:rPr>
            </w:pPr>
            <w:r w:rsidRPr="0032789D">
              <w:rPr>
                <w:sz w:val="20"/>
                <w:szCs w:val="20"/>
              </w:rPr>
              <w:t xml:space="preserve">Discontinuous </w:t>
            </w:r>
            <w:r>
              <w:rPr>
                <w:sz w:val="20"/>
                <w:szCs w:val="20"/>
              </w:rPr>
              <w:t>p</w:t>
            </w:r>
            <w:r w:rsidRPr="0032789D">
              <w:rPr>
                <w:sz w:val="20"/>
                <w:szCs w:val="20"/>
              </w:rPr>
              <w:t>anels</w:t>
            </w:r>
          </w:p>
        </w:tc>
        <w:tc>
          <w:tcPr>
            <w:tcW w:w="1418" w:type="dxa"/>
            <w:tcBorders>
              <w:top w:val="single" w:sz="4" w:space="0" w:color="auto"/>
              <w:left w:val="nil"/>
              <w:bottom w:val="single" w:sz="4" w:space="0" w:color="auto"/>
              <w:right w:val="single" w:sz="4" w:space="0" w:color="auto"/>
            </w:tcBorders>
          </w:tcPr>
          <w:p w14:paraId="1A931535" w14:textId="77777777" w:rsidR="009C7B62" w:rsidRPr="00475496" w:rsidRDefault="009C7B62" w:rsidP="000E3838">
            <w:pPr>
              <w:keepNext/>
              <w:keepLines/>
              <w:ind w:right="28"/>
              <w:jc w:val="left"/>
              <w:rPr>
                <w:sz w:val="20"/>
                <w:szCs w:val="20"/>
              </w:rPr>
            </w:pPr>
            <w:r>
              <w:rPr>
                <w:sz w:val="20"/>
                <w:szCs w:val="20"/>
              </w:rPr>
              <w:t>M</w:t>
            </w:r>
            <w:r w:rsidRPr="0032789D">
              <w:rPr>
                <w:sz w:val="20"/>
                <w:szCs w:val="20"/>
              </w:rPr>
              <w:t>ethylal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7A160EE" w14:textId="77777777" w:rsidR="009C7B62" w:rsidRPr="0032789D" w:rsidRDefault="009C7B62" w:rsidP="000E3838">
            <w:pPr>
              <w:keepNext/>
              <w:keepLines/>
              <w:ind w:right="-108"/>
              <w:jc w:val="right"/>
              <w:rPr>
                <w:color w:val="000000"/>
                <w:sz w:val="20"/>
                <w:szCs w:val="20"/>
                <w:lang w:val="en-CA"/>
              </w:rPr>
            </w:pPr>
            <w:r w:rsidRPr="0032789D">
              <w:rPr>
                <w:sz w:val="20"/>
                <w:szCs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51059AA" w14:textId="77777777" w:rsidR="009C7B62" w:rsidRPr="0032789D" w:rsidRDefault="009C7B62" w:rsidP="000E3838">
            <w:pPr>
              <w:keepNext/>
              <w:keepLines/>
              <w:ind w:right="-85"/>
              <w:jc w:val="right"/>
              <w:rPr>
                <w:bCs/>
                <w:sz w:val="20"/>
                <w:szCs w:val="20"/>
                <w:lang w:val="en-CA"/>
              </w:rPr>
            </w:pPr>
            <w:r w:rsidRPr="0032789D">
              <w:rPr>
                <w:sz w:val="20"/>
                <w:szCs w:val="20"/>
              </w:rPr>
              <w:t>27,913</w:t>
            </w:r>
          </w:p>
        </w:tc>
      </w:tr>
      <w:tr w:rsidR="009C7B62" w:rsidRPr="0032789D" w14:paraId="52AB1702" w14:textId="77777777" w:rsidTr="000E3838">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352469DC" w14:textId="77777777" w:rsidR="009C7B62" w:rsidRPr="0032789D" w:rsidRDefault="009C7B62" w:rsidP="000E3838">
            <w:pPr>
              <w:jc w:val="left"/>
              <w:rPr>
                <w:color w:val="000000"/>
                <w:sz w:val="20"/>
                <w:szCs w:val="20"/>
                <w:lang w:val="en-CA"/>
              </w:rPr>
            </w:pPr>
            <w:proofErr w:type="spellStart"/>
            <w:r w:rsidRPr="0032789D">
              <w:rPr>
                <w:sz w:val="20"/>
                <w:szCs w:val="20"/>
              </w:rPr>
              <w:t>Kitchentech</w:t>
            </w:r>
            <w:proofErr w:type="spellEnd"/>
            <w:r w:rsidRPr="0032789D">
              <w:rPr>
                <w:sz w:val="20"/>
                <w:szCs w:val="20"/>
              </w:rPr>
              <w:t xml:space="preserve"> Commercial Supply</w:t>
            </w:r>
            <w:r>
              <w:rPr>
                <w:sz w:val="20"/>
                <w:szCs w:val="20"/>
              </w:rPr>
              <w:t xml:space="preserve"> </w:t>
            </w:r>
            <w:proofErr w:type="spellStart"/>
            <w:r>
              <w:rPr>
                <w:sz w:val="20"/>
                <w:szCs w:val="20"/>
              </w:rPr>
              <w:t>Sdn</w:t>
            </w:r>
            <w:proofErr w:type="spellEnd"/>
            <w:r>
              <w:rPr>
                <w:sz w:val="20"/>
                <w:szCs w:val="20"/>
              </w:rPr>
              <w:t xml:space="preserve"> </w:t>
            </w:r>
            <w:proofErr w:type="spellStart"/>
            <w:r>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50FDDC63" w14:textId="77777777" w:rsidR="009C7B62" w:rsidRPr="0032789D" w:rsidRDefault="009C7B62" w:rsidP="000E3838">
            <w:pPr>
              <w:jc w:val="left"/>
              <w:rPr>
                <w:sz w:val="20"/>
                <w:szCs w:val="20"/>
                <w:lang w:val="en-CA"/>
              </w:rPr>
            </w:pPr>
            <w:r w:rsidRPr="0032789D">
              <w:rPr>
                <w:sz w:val="20"/>
                <w:szCs w:val="20"/>
              </w:rPr>
              <w:t xml:space="preserve">Commercial </w:t>
            </w:r>
            <w:r>
              <w:rPr>
                <w:sz w:val="20"/>
                <w:szCs w:val="20"/>
              </w:rPr>
              <w:t>r</w:t>
            </w:r>
            <w:r w:rsidRPr="0032789D">
              <w:rPr>
                <w:sz w:val="20"/>
                <w:szCs w:val="20"/>
              </w:rPr>
              <w:t>efrigeration</w:t>
            </w:r>
          </w:p>
        </w:tc>
        <w:tc>
          <w:tcPr>
            <w:tcW w:w="1418" w:type="dxa"/>
            <w:tcBorders>
              <w:top w:val="single" w:sz="4" w:space="0" w:color="auto"/>
              <w:left w:val="nil"/>
              <w:bottom w:val="single" w:sz="4" w:space="0" w:color="auto"/>
              <w:right w:val="single" w:sz="4" w:space="0" w:color="auto"/>
            </w:tcBorders>
          </w:tcPr>
          <w:p w14:paraId="35FC9609" w14:textId="77777777" w:rsidR="009C7B62" w:rsidRPr="00475496" w:rsidRDefault="009C7B62" w:rsidP="000E3838">
            <w:pPr>
              <w:ind w:right="28"/>
              <w:jc w:val="left"/>
              <w:rPr>
                <w:sz w:val="20"/>
                <w:szCs w:val="20"/>
              </w:rPr>
            </w:pPr>
            <w:r>
              <w:rPr>
                <w:sz w:val="20"/>
                <w:szCs w:val="20"/>
              </w:rPr>
              <w:t>Pre-blended c</w:t>
            </w:r>
            <w:r w:rsidRPr="00475496">
              <w:rPr>
                <w:sz w:val="20"/>
                <w:szCs w:val="20"/>
              </w:rPr>
              <w:t>yclopentane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614A978" w14:textId="77777777" w:rsidR="009C7B62" w:rsidRPr="0032789D" w:rsidRDefault="009C7B62" w:rsidP="000E3838">
            <w:pPr>
              <w:ind w:right="-108"/>
              <w:jc w:val="right"/>
              <w:rPr>
                <w:color w:val="000000"/>
                <w:sz w:val="20"/>
                <w:szCs w:val="20"/>
                <w:lang w:val="en-CA"/>
              </w:rPr>
            </w:pPr>
            <w:r w:rsidRPr="0032789D">
              <w:rPr>
                <w:sz w:val="20"/>
                <w:szCs w:val="20"/>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1B61E09" w14:textId="77777777" w:rsidR="009C7B62" w:rsidRPr="0032789D" w:rsidRDefault="009C7B62" w:rsidP="000E3838">
            <w:pPr>
              <w:ind w:right="-85"/>
              <w:jc w:val="right"/>
              <w:rPr>
                <w:bCs/>
                <w:sz w:val="20"/>
                <w:szCs w:val="20"/>
                <w:lang w:val="en-CA"/>
              </w:rPr>
            </w:pPr>
            <w:r w:rsidRPr="0032789D">
              <w:rPr>
                <w:sz w:val="20"/>
                <w:szCs w:val="20"/>
              </w:rPr>
              <w:t>25,131</w:t>
            </w:r>
          </w:p>
        </w:tc>
      </w:tr>
      <w:tr w:rsidR="009C7B62" w:rsidRPr="0032789D" w14:paraId="283637A8" w14:textId="77777777" w:rsidTr="000E3838">
        <w:trPr>
          <w:trHeight w:val="134"/>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089E9C78" w14:textId="77777777" w:rsidR="009C7B62" w:rsidRPr="0032789D" w:rsidRDefault="009C7B62" w:rsidP="000E3838">
            <w:pPr>
              <w:jc w:val="left"/>
              <w:rPr>
                <w:color w:val="000000"/>
                <w:sz w:val="20"/>
                <w:szCs w:val="20"/>
                <w:lang w:val="en-CA"/>
              </w:rPr>
            </w:pPr>
            <w:r w:rsidRPr="0032789D">
              <w:rPr>
                <w:sz w:val="20"/>
                <w:szCs w:val="20"/>
              </w:rPr>
              <w:t xml:space="preserve">Penang Trading Company </w:t>
            </w:r>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tcPr>
          <w:p w14:paraId="47E55AEB" w14:textId="77777777" w:rsidR="009C7B62" w:rsidRPr="0032789D" w:rsidRDefault="009C7B62" w:rsidP="000E3838">
            <w:pPr>
              <w:jc w:val="left"/>
              <w:rPr>
                <w:sz w:val="20"/>
                <w:szCs w:val="20"/>
                <w:lang w:val="en-CA"/>
              </w:rPr>
            </w:pPr>
            <w:r w:rsidRPr="0032789D">
              <w:rPr>
                <w:sz w:val="20"/>
                <w:szCs w:val="20"/>
              </w:rPr>
              <w:t xml:space="preserve">Discontinuous </w:t>
            </w:r>
            <w:r>
              <w:rPr>
                <w:sz w:val="20"/>
                <w:szCs w:val="20"/>
              </w:rPr>
              <w:t>p</w:t>
            </w:r>
            <w:r w:rsidRPr="0032789D">
              <w:rPr>
                <w:sz w:val="20"/>
                <w:szCs w:val="20"/>
              </w:rPr>
              <w:t>anels</w:t>
            </w:r>
          </w:p>
        </w:tc>
        <w:tc>
          <w:tcPr>
            <w:tcW w:w="1418" w:type="dxa"/>
            <w:tcBorders>
              <w:top w:val="single" w:sz="4" w:space="0" w:color="auto"/>
              <w:left w:val="nil"/>
              <w:bottom w:val="single" w:sz="4" w:space="0" w:color="auto"/>
              <w:right w:val="single" w:sz="4" w:space="0" w:color="auto"/>
            </w:tcBorders>
          </w:tcPr>
          <w:p w14:paraId="44DDD378" w14:textId="77777777" w:rsidR="009C7B62" w:rsidRPr="00475496" w:rsidRDefault="009C7B62" w:rsidP="000E3838">
            <w:pPr>
              <w:ind w:right="28"/>
              <w:jc w:val="left"/>
              <w:rPr>
                <w:sz w:val="20"/>
                <w:szCs w:val="20"/>
              </w:rPr>
            </w:pPr>
            <w:r>
              <w:rPr>
                <w:sz w:val="20"/>
                <w:szCs w:val="20"/>
              </w:rPr>
              <w:t>M</w:t>
            </w:r>
            <w:r w:rsidRPr="0032789D">
              <w:rPr>
                <w:sz w:val="20"/>
                <w:szCs w:val="20"/>
              </w:rPr>
              <w:t>ethylal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D06843B" w14:textId="77777777" w:rsidR="009C7B62" w:rsidRPr="0032789D" w:rsidRDefault="009C7B62" w:rsidP="000E3838">
            <w:pPr>
              <w:ind w:right="-108"/>
              <w:jc w:val="right"/>
              <w:rPr>
                <w:color w:val="000000"/>
                <w:sz w:val="20"/>
                <w:szCs w:val="20"/>
                <w:lang w:val="en-CA"/>
              </w:rPr>
            </w:pPr>
            <w:r w:rsidRPr="0032789D">
              <w:rPr>
                <w:sz w:val="20"/>
                <w:szCs w:val="20"/>
              </w:rPr>
              <w:t>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E0B728C" w14:textId="77777777" w:rsidR="009C7B62" w:rsidRPr="0032789D" w:rsidRDefault="009C7B62" w:rsidP="000E3838">
            <w:pPr>
              <w:ind w:right="-85"/>
              <w:jc w:val="right"/>
              <w:rPr>
                <w:bCs/>
                <w:sz w:val="20"/>
                <w:szCs w:val="20"/>
                <w:lang w:val="en-CA"/>
              </w:rPr>
            </w:pPr>
            <w:r w:rsidRPr="0032789D">
              <w:rPr>
                <w:sz w:val="20"/>
                <w:szCs w:val="20"/>
              </w:rPr>
              <w:t>21,932</w:t>
            </w:r>
          </w:p>
        </w:tc>
      </w:tr>
      <w:tr w:rsidR="009C7B62" w:rsidRPr="0032789D" w14:paraId="31710935" w14:textId="77777777" w:rsidTr="000E3838">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4301F6DB" w14:textId="77777777" w:rsidR="009C7B62" w:rsidRPr="0032789D" w:rsidRDefault="009C7B62" w:rsidP="000E3838">
            <w:pPr>
              <w:jc w:val="left"/>
              <w:rPr>
                <w:color w:val="000000"/>
                <w:sz w:val="20"/>
                <w:szCs w:val="20"/>
                <w:lang w:val="en-CA"/>
              </w:rPr>
            </w:pPr>
            <w:r w:rsidRPr="0032789D">
              <w:rPr>
                <w:sz w:val="20"/>
                <w:szCs w:val="20"/>
              </w:rPr>
              <w:t xml:space="preserve">Tech-Kool Refrigeration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3D680CB2" w14:textId="77777777" w:rsidR="009C7B62" w:rsidRPr="0032789D" w:rsidRDefault="009C7B62" w:rsidP="000E3838">
            <w:pPr>
              <w:jc w:val="left"/>
              <w:rPr>
                <w:sz w:val="20"/>
                <w:szCs w:val="20"/>
                <w:lang w:val="en-CA"/>
              </w:rPr>
            </w:pPr>
            <w:r w:rsidRPr="0032789D">
              <w:rPr>
                <w:sz w:val="20"/>
                <w:szCs w:val="20"/>
              </w:rPr>
              <w:t>Transportation</w:t>
            </w:r>
          </w:p>
        </w:tc>
        <w:tc>
          <w:tcPr>
            <w:tcW w:w="1418" w:type="dxa"/>
            <w:tcBorders>
              <w:top w:val="single" w:sz="4" w:space="0" w:color="auto"/>
              <w:left w:val="nil"/>
              <w:bottom w:val="single" w:sz="4" w:space="0" w:color="auto"/>
              <w:right w:val="single" w:sz="4" w:space="0" w:color="auto"/>
            </w:tcBorders>
          </w:tcPr>
          <w:p w14:paraId="5BBBDA09" w14:textId="77777777" w:rsidR="009C7B62" w:rsidRPr="0032789D" w:rsidRDefault="009C7B62" w:rsidP="000E3838">
            <w:pPr>
              <w:ind w:right="28"/>
              <w:jc w:val="left"/>
              <w:rPr>
                <w:sz w:val="20"/>
                <w:szCs w:val="20"/>
              </w:rPr>
            </w:pPr>
            <w:r>
              <w:rPr>
                <w:sz w:val="20"/>
                <w:szCs w:val="20"/>
              </w:rPr>
              <w:t>Pre-blended c</w:t>
            </w:r>
            <w:r w:rsidRPr="00475496">
              <w:rPr>
                <w:sz w:val="20"/>
                <w:szCs w:val="20"/>
              </w:rPr>
              <w:t>yclopentane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0A86F26" w14:textId="77777777" w:rsidR="009C7B62" w:rsidRPr="0032789D" w:rsidRDefault="009C7B62" w:rsidP="000E3838">
            <w:pPr>
              <w:ind w:right="-108"/>
              <w:jc w:val="right"/>
              <w:rPr>
                <w:color w:val="000000"/>
                <w:sz w:val="20"/>
                <w:szCs w:val="20"/>
                <w:lang w:val="en-CA"/>
              </w:rPr>
            </w:pPr>
            <w:r w:rsidRPr="0032789D">
              <w:rPr>
                <w:sz w:val="20"/>
                <w:szCs w:val="20"/>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8BCE383" w14:textId="77777777" w:rsidR="009C7B62" w:rsidRPr="0032789D" w:rsidRDefault="009C7B62" w:rsidP="000E3838">
            <w:pPr>
              <w:ind w:right="-85"/>
              <w:jc w:val="right"/>
              <w:rPr>
                <w:bCs/>
                <w:sz w:val="20"/>
                <w:szCs w:val="20"/>
                <w:lang w:val="en-CA"/>
              </w:rPr>
            </w:pPr>
            <w:r w:rsidRPr="0032789D">
              <w:rPr>
                <w:sz w:val="20"/>
                <w:szCs w:val="20"/>
              </w:rPr>
              <w:t>12,613</w:t>
            </w:r>
          </w:p>
        </w:tc>
      </w:tr>
      <w:tr w:rsidR="009C7B62" w:rsidRPr="0032789D" w14:paraId="08A123D1" w14:textId="77777777" w:rsidTr="000E3838">
        <w:trPr>
          <w:trHeight w:val="143"/>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587B1051" w14:textId="77777777" w:rsidR="009C7B62" w:rsidRPr="0032789D" w:rsidRDefault="009C7B62" w:rsidP="000E3838">
            <w:pPr>
              <w:jc w:val="left"/>
              <w:rPr>
                <w:color w:val="000000"/>
                <w:sz w:val="20"/>
                <w:szCs w:val="20"/>
                <w:lang w:val="en-CA"/>
              </w:rPr>
            </w:pPr>
            <w:r w:rsidRPr="0032789D">
              <w:rPr>
                <w:sz w:val="20"/>
                <w:szCs w:val="20"/>
              </w:rPr>
              <w:t xml:space="preserve">Teck Guan Steel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042DDA02" w14:textId="77777777" w:rsidR="009C7B62" w:rsidRPr="0032789D" w:rsidRDefault="009C7B62" w:rsidP="000E3838">
            <w:pPr>
              <w:jc w:val="left"/>
              <w:rPr>
                <w:sz w:val="20"/>
                <w:szCs w:val="20"/>
                <w:lang w:val="en-CA"/>
              </w:rPr>
            </w:pPr>
            <w:r w:rsidRPr="0032789D">
              <w:rPr>
                <w:sz w:val="20"/>
                <w:szCs w:val="20"/>
              </w:rPr>
              <w:t xml:space="preserve">Discontinuous </w:t>
            </w:r>
            <w:r>
              <w:rPr>
                <w:sz w:val="20"/>
                <w:szCs w:val="20"/>
              </w:rPr>
              <w:t>p</w:t>
            </w:r>
            <w:r w:rsidRPr="0032789D">
              <w:rPr>
                <w:sz w:val="20"/>
                <w:szCs w:val="20"/>
              </w:rPr>
              <w:t>anels</w:t>
            </w:r>
          </w:p>
        </w:tc>
        <w:tc>
          <w:tcPr>
            <w:tcW w:w="1418" w:type="dxa"/>
            <w:tcBorders>
              <w:top w:val="single" w:sz="4" w:space="0" w:color="auto"/>
              <w:left w:val="nil"/>
              <w:bottom w:val="single" w:sz="4" w:space="0" w:color="auto"/>
              <w:right w:val="single" w:sz="4" w:space="0" w:color="auto"/>
            </w:tcBorders>
          </w:tcPr>
          <w:p w14:paraId="6E112563" w14:textId="77777777" w:rsidR="009C7B62" w:rsidRPr="0032789D" w:rsidRDefault="009C7B62" w:rsidP="000E3838">
            <w:pPr>
              <w:ind w:right="28"/>
              <w:jc w:val="left"/>
              <w:rPr>
                <w:sz w:val="20"/>
                <w:szCs w:val="20"/>
              </w:rPr>
            </w:pPr>
            <w:r>
              <w:rPr>
                <w:sz w:val="20"/>
                <w:szCs w:val="20"/>
              </w:rPr>
              <w:t>M</w:t>
            </w:r>
            <w:r w:rsidRPr="0032789D">
              <w:rPr>
                <w:sz w:val="20"/>
                <w:szCs w:val="20"/>
              </w:rPr>
              <w:t>ethylal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2D43CAE" w14:textId="77777777" w:rsidR="009C7B62" w:rsidRPr="0032789D" w:rsidRDefault="009C7B62" w:rsidP="000E3838">
            <w:pPr>
              <w:ind w:right="-108"/>
              <w:jc w:val="right"/>
              <w:rPr>
                <w:color w:val="000000"/>
                <w:sz w:val="20"/>
                <w:szCs w:val="20"/>
                <w:lang w:val="en-CA"/>
              </w:rPr>
            </w:pPr>
            <w:r w:rsidRPr="0032789D">
              <w:rPr>
                <w:sz w:val="20"/>
                <w:szCs w:val="20"/>
              </w:rPr>
              <w:t>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328A079" w14:textId="77777777" w:rsidR="009C7B62" w:rsidRPr="0032789D" w:rsidRDefault="009C7B62" w:rsidP="000E3838">
            <w:pPr>
              <w:ind w:right="-85"/>
              <w:jc w:val="right"/>
              <w:rPr>
                <w:bCs/>
                <w:sz w:val="20"/>
                <w:szCs w:val="20"/>
                <w:lang w:val="en-CA"/>
              </w:rPr>
            </w:pPr>
            <w:r w:rsidRPr="0032789D">
              <w:rPr>
                <w:sz w:val="20"/>
                <w:szCs w:val="20"/>
              </w:rPr>
              <w:t>6,000</w:t>
            </w:r>
          </w:p>
        </w:tc>
      </w:tr>
      <w:tr w:rsidR="009C7B62" w:rsidRPr="0032789D" w14:paraId="5CCCCFB1" w14:textId="77777777" w:rsidTr="000E3838">
        <w:trPr>
          <w:trHeight w:val="80"/>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28E7C4F2" w14:textId="77777777" w:rsidR="009C7B62" w:rsidRPr="0032789D" w:rsidRDefault="009C7B62" w:rsidP="000E3838">
            <w:pPr>
              <w:jc w:val="left"/>
              <w:rPr>
                <w:color w:val="000000"/>
                <w:sz w:val="20"/>
                <w:szCs w:val="20"/>
                <w:lang w:val="en-CA"/>
              </w:rPr>
            </w:pPr>
            <w:proofErr w:type="spellStart"/>
            <w:r w:rsidRPr="0032789D">
              <w:rPr>
                <w:sz w:val="20"/>
                <w:szCs w:val="20"/>
              </w:rPr>
              <w:t>Wincool</w:t>
            </w:r>
            <w:proofErr w:type="spellEnd"/>
            <w:r w:rsidRPr="0032789D">
              <w:rPr>
                <w:sz w:val="20"/>
                <w:szCs w:val="20"/>
              </w:rPr>
              <w:t xml:space="preserve"> Refrigeration </w:t>
            </w:r>
            <w:r>
              <w:rPr>
                <w:sz w:val="20"/>
                <w:szCs w:val="20"/>
              </w:rPr>
              <w:t>and</w:t>
            </w:r>
            <w:r>
              <w:rPr>
                <w:sz w:val="20"/>
                <w:szCs w:val="20"/>
              </w:rPr>
              <w:br/>
            </w:r>
            <w:r w:rsidRPr="0032789D">
              <w:rPr>
                <w:sz w:val="20"/>
                <w:szCs w:val="20"/>
              </w:rPr>
              <w:t>Air-cond</w:t>
            </w:r>
            <w:r>
              <w:rPr>
                <w:sz w:val="20"/>
                <w:szCs w:val="20"/>
              </w:rPr>
              <w:t>itioning</w:t>
            </w:r>
            <w:r w:rsidRPr="0032789D">
              <w:rPr>
                <w:sz w:val="20"/>
                <w:szCs w:val="20"/>
              </w:rPr>
              <w:t xml:space="preserve"> </w:t>
            </w:r>
            <w:proofErr w:type="spellStart"/>
            <w:r w:rsidRPr="0032789D">
              <w:rPr>
                <w:sz w:val="20"/>
                <w:szCs w:val="20"/>
              </w:rPr>
              <w:t>Sdn</w:t>
            </w:r>
            <w:proofErr w:type="spellEnd"/>
            <w:r w:rsidRPr="0032789D">
              <w:rPr>
                <w:sz w:val="20"/>
                <w:szCs w:val="20"/>
              </w:rPr>
              <w:t xml:space="preserve"> </w:t>
            </w:r>
            <w:proofErr w:type="spellStart"/>
            <w:r w:rsidRPr="0032789D">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5E7B3E58" w14:textId="77777777" w:rsidR="009C7B62" w:rsidRPr="0032789D" w:rsidRDefault="009C7B62" w:rsidP="000E3838">
            <w:pPr>
              <w:jc w:val="left"/>
              <w:rPr>
                <w:sz w:val="20"/>
                <w:szCs w:val="20"/>
                <w:lang w:val="en-CA"/>
              </w:rPr>
            </w:pPr>
            <w:r w:rsidRPr="0032789D">
              <w:rPr>
                <w:sz w:val="20"/>
                <w:szCs w:val="20"/>
              </w:rPr>
              <w:t xml:space="preserve">Commercial </w:t>
            </w:r>
            <w:r>
              <w:rPr>
                <w:sz w:val="20"/>
                <w:szCs w:val="20"/>
              </w:rPr>
              <w:t>re</w:t>
            </w:r>
            <w:r w:rsidRPr="0032789D">
              <w:rPr>
                <w:sz w:val="20"/>
                <w:szCs w:val="20"/>
              </w:rPr>
              <w:t>frigeration</w:t>
            </w:r>
          </w:p>
        </w:tc>
        <w:tc>
          <w:tcPr>
            <w:tcW w:w="1418" w:type="dxa"/>
            <w:tcBorders>
              <w:top w:val="single" w:sz="4" w:space="0" w:color="auto"/>
              <w:left w:val="nil"/>
              <w:bottom w:val="single" w:sz="4" w:space="0" w:color="auto"/>
              <w:right w:val="single" w:sz="4" w:space="0" w:color="auto"/>
            </w:tcBorders>
          </w:tcPr>
          <w:p w14:paraId="3913AC48" w14:textId="77777777" w:rsidR="009C7B62" w:rsidRPr="0032789D" w:rsidRDefault="009C7B62" w:rsidP="000E3838">
            <w:pPr>
              <w:ind w:right="28"/>
              <w:jc w:val="left"/>
              <w:rPr>
                <w:sz w:val="20"/>
                <w:szCs w:val="20"/>
              </w:rPr>
            </w:pPr>
            <w:r>
              <w:rPr>
                <w:sz w:val="20"/>
                <w:szCs w:val="20"/>
              </w:rPr>
              <w:t>Pre-blended c</w:t>
            </w:r>
            <w:r w:rsidRPr="00475496">
              <w:rPr>
                <w:sz w:val="20"/>
                <w:szCs w:val="20"/>
              </w:rPr>
              <w:t>yclopentane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2C518BA" w14:textId="77777777" w:rsidR="009C7B62" w:rsidRPr="0032789D" w:rsidRDefault="009C7B62" w:rsidP="000E3838">
            <w:pPr>
              <w:ind w:right="-108"/>
              <w:jc w:val="right"/>
              <w:rPr>
                <w:color w:val="000000"/>
                <w:sz w:val="20"/>
                <w:szCs w:val="20"/>
                <w:lang w:val="en-CA"/>
              </w:rPr>
            </w:pPr>
            <w:r w:rsidRPr="0032789D">
              <w:rPr>
                <w:sz w:val="20"/>
                <w:szCs w:val="20"/>
              </w:rPr>
              <w:t>0.44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E5277DB" w14:textId="77777777" w:rsidR="009C7B62" w:rsidRPr="0032789D" w:rsidRDefault="009C7B62" w:rsidP="000E3838">
            <w:pPr>
              <w:ind w:right="-85"/>
              <w:jc w:val="right"/>
              <w:rPr>
                <w:bCs/>
                <w:sz w:val="20"/>
                <w:szCs w:val="20"/>
                <w:lang w:val="en-CA"/>
              </w:rPr>
            </w:pPr>
            <w:r w:rsidRPr="0032789D">
              <w:rPr>
                <w:sz w:val="20"/>
                <w:szCs w:val="20"/>
              </w:rPr>
              <w:t>3,674</w:t>
            </w:r>
          </w:p>
        </w:tc>
      </w:tr>
      <w:tr w:rsidR="009C7B62" w:rsidRPr="0032789D" w14:paraId="047704E9" w14:textId="77777777" w:rsidTr="000E3838">
        <w:trPr>
          <w:trHeight w:val="11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3848AFEA" w14:textId="77777777" w:rsidR="009C7B62" w:rsidRPr="0032789D" w:rsidRDefault="009C7B62" w:rsidP="000E3838">
            <w:pPr>
              <w:jc w:val="left"/>
              <w:rPr>
                <w:b/>
                <w:color w:val="000000"/>
                <w:sz w:val="20"/>
                <w:szCs w:val="20"/>
                <w:lang w:val="en-CA"/>
              </w:rPr>
            </w:pPr>
            <w:r w:rsidRPr="0032789D">
              <w:rPr>
                <w:b/>
                <w:color w:val="000000"/>
                <w:sz w:val="20"/>
                <w:szCs w:val="20"/>
                <w:lang w:val="en-CA"/>
              </w:rPr>
              <w:t>Total</w:t>
            </w:r>
          </w:p>
        </w:tc>
        <w:tc>
          <w:tcPr>
            <w:tcW w:w="2268" w:type="dxa"/>
            <w:tcBorders>
              <w:top w:val="single" w:sz="4" w:space="0" w:color="auto"/>
              <w:left w:val="nil"/>
              <w:bottom w:val="single" w:sz="4" w:space="0" w:color="auto"/>
              <w:right w:val="single" w:sz="4" w:space="0" w:color="auto"/>
            </w:tcBorders>
            <w:shd w:val="clear" w:color="auto" w:fill="auto"/>
            <w:noWrap/>
          </w:tcPr>
          <w:p w14:paraId="57916C16" w14:textId="77777777" w:rsidR="009C7B62" w:rsidRPr="0032789D" w:rsidRDefault="009C7B62" w:rsidP="000E3838">
            <w:pPr>
              <w:jc w:val="left"/>
              <w:rPr>
                <w:b/>
                <w:sz w:val="20"/>
                <w:szCs w:val="20"/>
                <w:lang w:val="en-CA"/>
              </w:rPr>
            </w:pPr>
          </w:p>
        </w:tc>
        <w:tc>
          <w:tcPr>
            <w:tcW w:w="1418" w:type="dxa"/>
            <w:tcBorders>
              <w:top w:val="single" w:sz="4" w:space="0" w:color="auto"/>
              <w:left w:val="nil"/>
              <w:bottom w:val="single" w:sz="4" w:space="0" w:color="auto"/>
              <w:right w:val="single" w:sz="4" w:space="0" w:color="auto"/>
            </w:tcBorders>
          </w:tcPr>
          <w:p w14:paraId="00EC7E29" w14:textId="77777777" w:rsidR="009C7B62" w:rsidRPr="0032789D" w:rsidRDefault="009C7B62" w:rsidP="000E3838">
            <w:pPr>
              <w:ind w:right="-108"/>
              <w:jc w:val="right"/>
              <w:rPr>
                <w:b/>
                <w:bCs/>
                <w:color w:val="000000"/>
                <w:sz w:val="20"/>
                <w:szCs w:val="20"/>
                <w:lang w:val="en-C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BB0892B" w14:textId="77777777" w:rsidR="009C7B62" w:rsidRPr="0032789D" w:rsidRDefault="009C7B62" w:rsidP="000E3838">
            <w:pPr>
              <w:ind w:right="-108"/>
              <w:jc w:val="right"/>
              <w:rPr>
                <w:b/>
                <w:bCs/>
                <w:color w:val="000000"/>
                <w:sz w:val="20"/>
                <w:szCs w:val="20"/>
                <w:lang w:val="en-CA"/>
              </w:rPr>
            </w:pPr>
            <w:r>
              <w:rPr>
                <w:b/>
                <w:bCs/>
                <w:color w:val="000000"/>
                <w:sz w:val="20"/>
                <w:szCs w:val="20"/>
                <w:lang w:val="en-CA"/>
              </w:rPr>
              <w:t>29.47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E8AF8CA" w14:textId="77777777" w:rsidR="009C7B62" w:rsidRPr="0032789D" w:rsidRDefault="009C7B62" w:rsidP="000E3838">
            <w:pPr>
              <w:ind w:right="-85"/>
              <w:jc w:val="right"/>
              <w:rPr>
                <w:b/>
                <w:bCs/>
                <w:color w:val="000000"/>
                <w:sz w:val="20"/>
                <w:szCs w:val="20"/>
                <w:lang w:val="en-CA"/>
              </w:rPr>
            </w:pPr>
            <w:r>
              <w:rPr>
                <w:b/>
                <w:bCs/>
                <w:color w:val="000000"/>
                <w:sz w:val="20"/>
                <w:szCs w:val="20"/>
                <w:lang w:val="en-CA"/>
              </w:rPr>
              <w:t>207,568</w:t>
            </w:r>
          </w:p>
        </w:tc>
      </w:tr>
    </w:tbl>
    <w:p w14:paraId="65041E38" w14:textId="77777777" w:rsidR="009C7B62" w:rsidRPr="00234A52" w:rsidRDefault="009C7B62" w:rsidP="009C7B62">
      <w:pPr>
        <w:rPr>
          <w:lang w:val="en-CA"/>
        </w:rPr>
      </w:pPr>
    </w:p>
    <w:p w14:paraId="6A083C0C" w14:textId="77777777" w:rsidR="009C7B62" w:rsidRDefault="009C7B62" w:rsidP="009C7B62">
      <w:pPr>
        <w:spacing w:after="240"/>
        <w:rPr>
          <w:u w:val="single"/>
          <w:lang w:val="en-CA"/>
        </w:rPr>
      </w:pPr>
      <w:r w:rsidRPr="00234A52">
        <w:rPr>
          <w:u w:val="single"/>
          <w:lang w:val="en-CA"/>
        </w:rPr>
        <w:t xml:space="preserve">Request for </w:t>
      </w:r>
      <w:r>
        <w:rPr>
          <w:u w:val="single"/>
          <w:lang w:val="en-CA"/>
        </w:rPr>
        <w:t>withdrawal of enterprises and reallocation of funds </w:t>
      </w:r>
    </w:p>
    <w:p w14:paraId="58F47784" w14:textId="77777777" w:rsidR="009C7B62" w:rsidRPr="00B12E33" w:rsidRDefault="009C7B62" w:rsidP="009C7B62">
      <w:pPr>
        <w:widowControl w:val="0"/>
        <w:numPr>
          <w:ilvl w:val="0"/>
          <w:numId w:val="1"/>
        </w:numPr>
        <w:spacing w:after="240"/>
        <w:outlineLvl w:val="0"/>
        <w:rPr>
          <w:b/>
          <w:lang w:val="en-CA"/>
        </w:rPr>
      </w:pPr>
      <w:r w:rsidRPr="00B12E33">
        <w:rPr>
          <w:lang w:val="en-CA"/>
        </w:rPr>
        <w:t xml:space="preserve">The 14 remaining </w:t>
      </w:r>
      <w:r>
        <w:rPr>
          <w:lang w:val="en-CA"/>
        </w:rPr>
        <w:t>SMEs</w:t>
      </w:r>
      <w:r w:rsidRPr="00B12E33">
        <w:rPr>
          <w:lang w:val="en-CA"/>
        </w:rPr>
        <w:t>, plus one that had previously been approved for a change in technology at the 85</w:t>
      </w:r>
      <w:r w:rsidRPr="00B12E33">
        <w:rPr>
          <w:vertAlign w:val="superscript"/>
          <w:lang w:val="en-CA"/>
        </w:rPr>
        <w:t>th</w:t>
      </w:r>
      <w:r w:rsidRPr="00B12E33">
        <w:rPr>
          <w:lang w:val="en-CA"/>
        </w:rPr>
        <w:t xml:space="preserve"> </w:t>
      </w:r>
      <w:r>
        <w:rPr>
          <w:lang w:val="en-CA"/>
        </w:rPr>
        <w:t>meeting</w:t>
      </w:r>
      <w:r w:rsidRPr="00B12E33">
        <w:rPr>
          <w:lang w:val="en-CA"/>
        </w:rPr>
        <w:t>, have considered conversion to low-GWP alternatives, including cyclopentane pure or pre</w:t>
      </w:r>
      <w:r w:rsidRPr="00B12E33">
        <w:rPr>
          <w:lang w:val="en-CA"/>
        </w:rPr>
        <w:noBreakHyphen/>
        <w:t>blended in polyol systems, reduced HFO formulations, methylal, and water-blown systems. These 15</w:t>
      </w:r>
      <w:r>
        <w:rPr>
          <w:lang w:val="en-CA"/>
        </w:rPr>
        <w:t> SMEs</w:t>
      </w:r>
      <w:r w:rsidRPr="00B12E33">
        <w:rPr>
          <w:lang w:val="en-CA"/>
        </w:rPr>
        <w:t xml:space="preserve"> have determined that the conversion to a flammable blowing agent is not economical</w:t>
      </w:r>
      <w:r>
        <w:rPr>
          <w:lang w:val="en-CA"/>
        </w:rPr>
        <w:t>,</w:t>
      </w:r>
      <w:r w:rsidRPr="00B12E33">
        <w:rPr>
          <w:lang w:val="en-CA"/>
        </w:rPr>
        <w:t xml:space="preserve"> that</w:t>
      </w:r>
      <w:r>
        <w:rPr>
          <w:lang w:val="en-CA"/>
        </w:rPr>
        <w:t xml:space="preserve"> </w:t>
      </w:r>
      <w:r w:rsidRPr="00B12E33">
        <w:rPr>
          <w:lang w:val="en-CA"/>
        </w:rPr>
        <w:t>pre</w:t>
      </w:r>
      <w:r>
        <w:rPr>
          <w:lang w:val="en-CA"/>
        </w:rPr>
        <w:noBreakHyphen/>
      </w:r>
      <w:r w:rsidRPr="00B12E33">
        <w:rPr>
          <w:lang w:val="en-CA"/>
        </w:rPr>
        <w:t>blended methylal systems may be flammable as the required methylal content for the enterprises</w:t>
      </w:r>
      <w:r>
        <w:rPr>
          <w:lang w:val="en-CA"/>
        </w:rPr>
        <w:t>’</w:t>
      </w:r>
      <w:r w:rsidRPr="00B12E33">
        <w:rPr>
          <w:lang w:val="en-CA"/>
        </w:rPr>
        <w:t xml:space="preserve"> applications would be 2-5 parts per hundred parts of polyol (php)</w:t>
      </w:r>
      <w:r>
        <w:rPr>
          <w:lang w:val="en-CA"/>
        </w:rPr>
        <w:t>,</w:t>
      </w:r>
      <w:r w:rsidRPr="00B12E33">
        <w:rPr>
          <w:lang w:val="en-CA"/>
        </w:rPr>
        <w:t xml:space="preserve"> and that the current cost of HFO systems is prohibitive. Accordingly, the</w:t>
      </w:r>
      <w:r>
        <w:rPr>
          <w:lang w:val="en-CA"/>
        </w:rPr>
        <w:t xml:space="preserve"> enterprises decided </w:t>
      </w:r>
      <w:r w:rsidRPr="00B12E33">
        <w:rPr>
          <w:lang w:val="en-CA"/>
        </w:rPr>
        <w:t>to withdraw from the project</w:t>
      </w:r>
      <w:r>
        <w:rPr>
          <w:lang w:val="en-CA"/>
        </w:rPr>
        <w:t xml:space="preserve"> and</w:t>
      </w:r>
      <w:r w:rsidRPr="00B12E33">
        <w:rPr>
          <w:lang w:val="en-CA"/>
        </w:rPr>
        <w:t xml:space="preserve"> instead </w:t>
      </w:r>
      <w:r w:rsidRPr="00961821">
        <w:rPr>
          <w:lang w:val="en-CA"/>
        </w:rPr>
        <w:t>planned to convert to HFC in pre-blended polyols</w:t>
      </w:r>
      <w:r w:rsidRPr="00B12E33">
        <w:rPr>
          <w:lang w:val="en-CA"/>
        </w:rPr>
        <w:t xml:space="preserve"> (</w:t>
      </w:r>
      <w:r>
        <w:rPr>
          <w:lang w:val="en-CA"/>
        </w:rPr>
        <w:t>primarily</w:t>
      </w:r>
      <w:r w:rsidRPr="00B12E33">
        <w:rPr>
          <w:lang w:val="en-CA"/>
        </w:rPr>
        <w:t xml:space="preserve"> </w:t>
      </w:r>
      <w:r>
        <w:rPr>
          <w:lang w:val="en-CA"/>
        </w:rPr>
        <w:t xml:space="preserve">based on </w:t>
      </w:r>
      <w:r w:rsidRPr="00B12E33">
        <w:rPr>
          <w:lang w:val="en-CA"/>
        </w:rPr>
        <w:t>HFC-365mfc</w:t>
      </w:r>
      <w:r w:rsidRPr="009F53DE">
        <w:rPr>
          <w:lang w:val="en-CA"/>
        </w:rPr>
        <w:t xml:space="preserve"> </w:t>
      </w:r>
      <w:r>
        <w:rPr>
          <w:lang w:val="en-CA"/>
        </w:rPr>
        <w:t>blowing agent</w:t>
      </w:r>
      <w:r w:rsidRPr="00B12E33">
        <w:rPr>
          <w:lang w:val="en-CA"/>
        </w:rPr>
        <w:t>). The 15 enterprises have a</w:t>
      </w:r>
      <w:r>
        <w:rPr>
          <w:lang w:val="en-CA"/>
        </w:rPr>
        <w:t>n aggregated</w:t>
      </w:r>
      <w:r w:rsidRPr="00B12E33">
        <w:rPr>
          <w:lang w:val="en-CA"/>
        </w:rPr>
        <w:t xml:space="preserve"> consumption of 19.37 mt and total approved funding of US $169,</w:t>
      </w:r>
      <w:r>
        <w:rPr>
          <w:lang w:val="en-CA"/>
        </w:rPr>
        <w:t>281</w:t>
      </w:r>
      <w:r w:rsidRPr="00B12E33">
        <w:rPr>
          <w:lang w:val="en-CA"/>
        </w:rPr>
        <w:t xml:space="preserve">, </w:t>
      </w:r>
      <w:r>
        <w:rPr>
          <w:lang w:val="en-CA"/>
        </w:rPr>
        <w:t xml:space="preserve">as shown in </w:t>
      </w:r>
      <w:r w:rsidRPr="00B12E33">
        <w:rPr>
          <w:lang w:val="en-CA"/>
        </w:rPr>
        <w:t>Table </w:t>
      </w:r>
      <w:r w:rsidR="007C20AE">
        <w:rPr>
          <w:lang w:val="en-CA"/>
        </w:rPr>
        <w:t>6</w:t>
      </w:r>
      <w:r w:rsidRPr="00B12E33">
        <w:rPr>
          <w:lang w:val="en-CA"/>
        </w:rPr>
        <w:t>.</w:t>
      </w:r>
    </w:p>
    <w:p w14:paraId="3599F705" w14:textId="77777777" w:rsidR="009C7B62" w:rsidRPr="00234A52" w:rsidRDefault="009C7B62" w:rsidP="009C7B62">
      <w:pPr>
        <w:keepNext/>
        <w:keepLines/>
        <w:rPr>
          <w:b/>
          <w:lang w:val="en-CA"/>
        </w:rPr>
      </w:pPr>
      <w:r>
        <w:rPr>
          <w:b/>
          <w:lang w:val="en-CA"/>
        </w:rPr>
        <w:lastRenderedPageBreak/>
        <w:t xml:space="preserve">Table </w:t>
      </w:r>
      <w:r w:rsidR="007C20AE">
        <w:rPr>
          <w:b/>
          <w:lang w:val="en-CA"/>
        </w:rPr>
        <w:t>6</w:t>
      </w:r>
      <w:r w:rsidRPr="004271DF">
        <w:rPr>
          <w:b/>
          <w:lang w:val="en-CA"/>
        </w:rPr>
        <w:t xml:space="preserve">. </w:t>
      </w:r>
      <w:r>
        <w:rPr>
          <w:b/>
          <w:lang w:val="en-CA"/>
        </w:rPr>
        <w:t xml:space="preserve">SMEs that decided </w:t>
      </w:r>
      <w:r w:rsidRPr="004271DF">
        <w:rPr>
          <w:b/>
          <w:lang w:val="en-CA"/>
        </w:rPr>
        <w:t>to withdraw from stage II of the HPMP</w:t>
      </w:r>
    </w:p>
    <w:tbl>
      <w:tblPr>
        <w:tblW w:w="9351" w:type="dxa"/>
        <w:tblLayout w:type="fixed"/>
        <w:tblLook w:val="04A0" w:firstRow="1" w:lastRow="0" w:firstColumn="1" w:lastColumn="0" w:noHBand="0" w:noVBand="1"/>
      </w:tblPr>
      <w:tblGrid>
        <w:gridCol w:w="4390"/>
        <w:gridCol w:w="2268"/>
        <w:gridCol w:w="1275"/>
        <w:gridCol w:w="1418"/>
      </w:tblGrid>
      <w:tr w:rsidR="009C7B62" w:rsidRPr="0032789D" w14:paraId="020533F5" w14:textId="77777777" w:rsidTr="000E3838">
        <w:trPr>
          <w:trHeight w:val="480"/>
          <w:tblHeader/>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14:paraId="6EA63C27" w14:textId="77777777" w:rsidR="009C7B62" w:rsidRPr="0032789D" w:rsidRDefault="009C7B62" w:rsidP="000E3838">
            <w:pPr>
              <w:widowControl w:val="0"/>
              <w:jc w:val="left"/>
              <w:rPr>
                <w:b/>
                <w:bCs/>
                <w:color w:val="000000"/>
                <w:sz w:val="20"/>
                <w:szCs w:val="20"/>
                <w:lang w:val="en-CA"/>
              </w:rPr>
            </w:pPr>
            <w:r w:rsidRPr="0032789D">
              <w:rPr>
                <w:b/>
                <w:bCs/>
                <w:color w:val="000000"/>
                <w:sz w:val="20"/>
                <w:szCs w:val="20"/>
                <w:lang w:val="en-CA"/>
              </w:rPr>
              <w:t>Enterprise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A5E8CFD" w14:textId="77777777" w:rsidR="009C7B62" w:rsidRPr="0032789D" w:rsidRDefault="009C7B62" w:rsidP="000E3838">
            <w:pPr>
              <w:widowControl w:val="0"/>
              <w:jc w:val="center"/>
              <w:rPr>
                <w:b/>
                <w:bCs/>
                <w:color w:val="000000"/>
                <w:sz w:val="20"/>
                <w:szCs w:val="20"/>
                <w:lang w:val="en-CA"/>
              </w:rPr>
            </w:pPr>
            <w:r w:rsidRPr="0032789D">
              <w:rPr>
                <w:b/>
                <w:bCs/>
                <w:color w:val="000000"/>
                <w:sz w:val="20"/>
                <w:szCs w:val="20"/>
                <w:lang w:val="en-CA"/>
              </w:rPr>
              <w:t>Application</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853CA9C" w14:textId="77777777" w:rsidR="009C7B62" w:rsidRPr="0032789D" w:rsidRDefault="009C7B62" w:rsidP="000E3838">
            <w:pPr>
              <w:widowControl w:val="0"/>
              <w:jc w:val="center"/>
              <w:rPr>
                <w:b/>
                <w:bCs/>
                <w:color w:val="000000"/>
                <w:sz w:val="20"/>
                <w:szCs w:val="20"/>
                <w:lang w:val="en-CA"/>
              </w:rPr>
            </w:pPr>
            <w:r w:rsidRPr="0032789D">
              <w:rPr>
                <w:b/>
                <w:bCs/>
                <w:color w:val="000000"/>
                <w:sz w:val="20"/>
                <w:szCs w:val="20"/>
                <w:lang w:val="en-CA"/>
              </w:rPr>
              <w:t>HCFC</w:t>
            </w:r>
            <w:r w:rsidRPr="0032789D">
              <w:rPr>
                <w:b/>
                <w:bCs/>
                <w:color w:val="000000"/>
                <w:sz w:val="20"/>
                <w:szCs w:val="20"/>
                <w:lang w:val="en-CA"/>
              </w:rPr>
              <w:noBreakHyphen/>
              <w:t>141b (mt) in 2015</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909085" w14:textId="77777777" w:rsidR="009C7B62" w:rsidRPr="0032789D" w:rsidRDefault="009C7B62" w:rsidP="000E3838">
            <w:pPr>
              <w:widowControl w:val="0"/>
              <w:jc w:val="center"/>
              <w:rPr>
                <w:b/>
                <w:bCs/>
                <w:color w:val="000000"/>
                <w:sz w:val="20"/>
                <w:szCs w:val="20"/>
                <w:lang w:val="en-CA"/>
              </w:rPr>
            </w:pPr>
            <w:r w:rsidRPr="0032789D">
              <w:rPr>
                <w:b/>
                <w:bCs/>
                <w:color w:val="000000"/>
                <w:sz w:val="20"/>
                <w:szCs w:val="20"/>
                <w:lang w:val="en-CA"/>
              </w:rPr>
              <w:t>Approved funding (US $)</w:t>
            </w:r>
          </w:p>
        </w:tc>
      </w:tr>
      <w:tr w:rsidR="009C7B62" w:rsidRPr="0032789D" w14:paraId="37A4A4D6" w14:textId="77777777" w:rsidTr="000E3838">
        <w:trPr>
          <w:trHeight w:val="98"/>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1CA6F83A" w14:textId="77777777" w:rsidR="009C7B62" w:rsidRPr="00143D43" w:rsidRDefault="009C7B62" w:rsidP="000E3838">
            <w:pPr>
              <w:widowControl w:val="0"/>
              <w:jc w:val="left"/>
              <w:rPr>
                <w:sz w:val="20"/>
                <w:szCs w:val="20"/>
                <w:lang w:val="fr-BE"/>
              </w:rPr>
            </w:pPr>
            <w:r w:rsidRPr="00143D43">
              <w:rPr>
                <w:sz w:val="20"/>
                <w:szCs w:val="20"/>
                <w:lang w:val="fr-BE"/>
              </w:rPr>
              <w:t xml:space="preserve">Hong Yun </w:t>
            </w:r>
            <w:proofErr w:type="spellStart"/>
            <w:r w:rsidRPr="00143D43">
              <w:rPr>
                <w:sz w:val="20"/>
                <w:szCs w:val="20"/>
                <w:lang w:val="fr-BE"/>
              </w:rPr>
              <w:t>Refrigeration</w:t>
            </w:r>
            <w:proofErr w:type="spellEnd"/>
            <w:r w:rsidRPr="00143D43">
              <w:rPr>
                <w:sz w:val="20"/>
                <w:szCs w:val="20"/>
                <w:lang w:val="fr-BE"/>
              </w:rPr>
              <w:t xml:space="preserve"> </w:t>
            </w:r>
            <w:proofErr w:type="spellStart"/>
            <w:r w:rsidRPr="00143D43">
              <w:rPr>
                <w:sz w:val="20"/>
                <w:szCs w:val="20"/>
                <w:lang w:val="fr-BE"/>
              </w:rPr>
              <w:t>Sdn</w:t>
            </w:r>
            <w:proofErr w:type="spellEnd"/>
            <w:r w:rsidRPr="00143D43">
              <w:rPr>
                <w:sz w:val="20"/>
                <w:szCs w:val="20"/>
                <w:lang w:val="fr-BE"/>
              </w:rPr>
              <w:t xml:space="preserve"> </w:t>
            </w:r>
            <w:proofErr w:type="spellStart"/>
            <w:r w:rsidRPr="00143D43">
              <w:rPr>
                <w:sz w:val="20"/>
                <w:szCs w:val="20"/>
                <w:lang w:val="fr-BE"/>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4C8D81B8" w14:textId="77777777" w:rsidR="009C7B62" w:rsidRPr="004271DF" w:rsidRDefault="009C7B62" w:rsidP="000E3838">
            <w:pPr>
              <w:widowControl w:val="0"/>
              <w:jc w:val="left"/>
              <w:rPr>
                <w:sz w:val="20"/>
                <w:szCs w:val="20"/>
              </w:rPr>
            </w:pPr>
            <w:r w:rsidRPr="004271DF">
              <w:rPr>
                <w:sz w:val="20"/>
                <w:szCs w:val="20"/>
              </w:rPr>
              <w:t xml:space="preserve">Discontinuous </w:t>
            </w:r>
            <w:r>
              <w:rPr>
                <w:sz w:val="20"/>
                <w:szCs w:val="20"/>
              </w:rPr>
              <w:t>p</w:t>
            </w:r>
            <w:r w:rsidRPr="004271DF">
              <w:rPr>
                <w:sz w:val="20"/>
                <w:szCs w:val="20"/>
              </w:rPr>
              <w:t>anels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BB6469C" w14:textId="77777777" w:rsidR="009C7B62" w:rsidRPr="004271DF" w:rsidRDefault="009C7B62" w:rsidP="000E3838">
            <w:pPr>
              <w:widowControl w:val="0"/>
              <w:ind w:right="57"/>
              <w:jc w:val="right"/>
              <w:rPr>
                <w:sz w:val="20"/>
                <w:szCs w:val="20"/>
              </w:rPr>
            </w:pPr>
            <w:r w:rsidRPr="004271DF">
              <w:rPr>
                <w:sz w:val="20"/>
                <w:szCs w:val="20"/>
              </w:rPr>
              <w:t>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ABFB58C" w14:textId="77777777" w:rsidR="009C7B62" w:rsidRPr="00C040D1" w:rsidRDefault="009C7B62" w:rsidP="000E3838">
            <w:pPr>
              <w:widowControl w:val="0"/>
              <w:ind w:right="130"/>
              <w:jc w:val="right"/>
              <w:rPr>
                <w:sz w:val="20"/>
                <w:szCs w:val="20"/>
              </w:rPr>
            </w:pPr>
            <w:r w:rsidRPr="004271DF">
              <w:rPr>
                <w:sz w:val="20"/>
                <w:szCs w:val="20"/>
              </w:rPr>
              <w:t>23,044</w:t>
            </w:r>
          </w:p>
        </w:tc>
      </w:tr>
      <w:tr w:rsidR="009C7B62" w:rsidRPr="0032789D" w14:paraId="1204CAD3" w14:textId="77777777" w:rsidTr="000E3838">
        <w:trPr>
          <w:trHeight w:val="71"/>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42546B93" w14:textId="77777777" w:rsidR="009C7B62" w:rsidRPr="004271DF" w:rsidRDefault="009C7B62" w:rsidP="000E3838">
            <w:pPr>
              <w:widowControl w:val="0"/>
              <w:jc w:val="left"/>
              <w:rPr>
                <w:sz w:val="20"/>
                <w:szCs w:val="20"/>
              </w:rPr>
            </w:pPr>
            <w:r w:rsidRPr="004271DF">
              <w:rPr>
                <w:sz w:val="20"/>
                <w:szCs w:val="20"/>
              </w:rPr>
              <w:t xml:space="preserve">Hai-Point Marketing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3BAFCB55" w14:textId="77777777" w:rsidR="009C7B62" w:rsidRPr="004271DF" w:rsidRDefault="009C7B62" w:rsidP="000E3838">
            <w:pPr>
              <w:widowControl w:val="0"/>
              <w:jc w:val="left"/>
              <w:rPr>
                <w:sz w:val="20"/>
                <w:szCs w:val="20"/>
              </w:rPr>
            </w:pPr>
            <w:r w:rsidRPr="004271DF">
              <w:rPr>
                <w:sz w:val="20"/>
                <w:szCs w:val="20"/>
              </w:rPr>
              <w:t xml:space="preserve">Discontinuous </w:t>
            </w:r>
            <w:r>
              <w:rPr>
                <w:sz w:val="20"/>
                <w:szCs w:val="20"/>
              </w:rPr>
              <w:t>p</w:t>
            </w:r>
            <w:r w:rsidRPr="004271DF">
              <w:rPr>
                <w:sz w:val="20"/>
                <w:szCs w:val="20"/>
              </w:rPr>
              <w:t>anels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218490E" w14:textId="77777777" w:rsidR="009C7B62" w:rsidRPr="004271DF" w:rsidRDefault="009C7B62" w:rsidP="000E3838">
            <w:pPr>
              <w:widowControl w:val="0"/>
              <w:ind w:right="57"/>
              <w:jc w:val="right"/>
              <w:rPr>
                <w:sz w:val="20"/>
                <w:szCs w:val="20"/>
              </w:rPr>
            </w:pPr>
            <w:r w:rsidRPr="004271DF">
              <w:rPr>
                <w:sz w:val="20"/>
                <w:szCs w:val="20"/>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8B77B5F" w14:textId="77777777" w:rsidR="009C7B62" w:rsidRPr="00C040D1" w:rsidRDefault="009C7B62" w:rsidP="000E3838">
            <w:pPr>
              <w:widowControl w:val="0"/>
              <w:ind w:right="130"/>
              <w:jc w:val="right"/>
              <w:rPr>
                <w:sz w:val="20"/>
                <w:szCs w:val="20"/>
              </w:rPr>
            </w:pPr>
            <w:r w:rsidRPr="004271DF">
              <w:rPr>
                <w:sz w:val="20"/>
                <w:szCs w:val="20"/>
              </w:rPr>
              <w:t>20,123</w:t>
            </w:r>
          </w:p>
        </w:tc>
      </w:tr>
      <w:tr w:rsidR="009C7B62" w:rsidRPr="0032789D" w14:paraId="2F0CB55E" w14:textId="77777777" w:rsidTr="000E3838">
        <w:trPr>
          <w:trHeight w:val="170"/>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CE5B5ED" w14:textId="77777777" w:rsidR="009C7B62" w:rsidRPr="004271DF" w:rsidRDefault="009C7B62" w:rsidP="000E3838">
            <w:pPr>
              <w:widowControl w:val="0"/>
              <w:jc w:val="left"/>
              <w:rPr>
                <w:sz w:val="20"/>
                <w:szCs w:val="20"/>
              </w:rPr>
            </w:pPr>
            <w:r w:rsidRPr="004271DF">
              <w:rPr>
                <w:sz w:val="20"/>
                <w:szCs w:val="20"/>
              </w:rPr>
              <w:t>Welcome Air-Tech (M</w:t>
            </w:r>
            <w:r>
              <w:rPr>
                <w:sz w:val="20"/>
                <w:szCs w:val="20"/>
              </w:rPr>
              <w:t>alaysia</w:t>
            </w:r>
            <w:r w:rsidRPr="004271DF">
              <w:rPr>
                <w:sz w:val="20"/>
                <w:szCs w:val="20"/>
              </w:rPr>
              <w:t xml:space="preserve">)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7381248E" w14:textId="77777777" w:rsidR="009C7B62" w:rsidRPr="004271DF" w:rsidRDefault="009C7B62" w:rsidP="000E3838">
            <w:pPr>
              <w:widowControl w:val="0"/>
              <w:jc w:val="left"/>
              <w:rPr>
                <w:sz w:val="20"/>
                <w:szCs w:val="20"/>
              </w:rPr>
            </w:pPr>
            <w:r w:rsidRPr="004271DF">
              <w:rPr>
                <w:sz w:val="20"/>
                <w:szCs w:val="20"/>
              </w:rPr>
              <w:t xml:space="preserve">Discontinuous </w:t>
            </w:r>
            <w:r>
              <w:rPr>
                <w:sz w:val="20"/>
                <w:szCs w:val="20"/>
              </w:rPr>
              <w:t>p</w:t>
            </w:r>
            <w:r w:rsidRPr="004271DF">
              <w:rPr>
                <w:sz w:val="20"/>
                <w:szCs w:val="20"/>
              </w:rPr>
              <w:t>anels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C644529" w14:textId="77777777" w:rsidR="009C7B62" w:rsidRPr="004271DF" w:rsidRDefault="009C7B62" w:rsidP="000E3838">
            <w:pPr>
              <w:widowControl w:val="0"/>
              <w:ind w:right="57"/>
              <w:jc w:val="right"/>
              <w:rPr>
                <w:sz w:val="20"/>
                <w:szCs w:val="20"/>
              </w:rPr>
            </w:pPr>
            <w:r w:rsidRPr="004271DF">
              <w:rPr>
                <w:sz w:val="20"/>
                <w:szCs w:val="20"/>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6DBE0D2F" w14:textId="77777777" w:rsidR="009C7B62" w:rsidRPr="00C040D1" w:rsidRDefault="009C7B62" w:rsidP="000E3838">
            <w:pPr>
              <w:widowControl w:val="0"/>
              <w:ind w:right="130"/>
              <w:jc w:val="right"/>
              <w:rPr>
                <w:sz w:val="20"/>
                <w:szCs w:val="20"/>
              </w:rPr>
            </w:pPr>
            <w:r w:rsidRPr="004271DF">
              <w:rPr>
                <w:sz w:val="20"/>
                <w:szCs w:val="20"/>
              </w:rPr>
              <w:t>19,178</w:t>
            </w:r>
          </w:p>
        </w:tc>
      </w:tr>
      <w:tr w:rsidR="009C7B62" w:rsidRPr="0032789D" w14:paraId="7415CC5A" w14:textId="77777777" w:rsidTr="000E3838">
        <w:trPr>
          <w:trHeight w:val="215"/>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1596A334" w14:textId="77777777" w:rsidR="009C7B62" w:rsidRPr="004271DF" w:rsidRDefault="009C7B62" w:rsidP="000E3838">
            <w:pPr>
              <w:widowControl w:val="0"/>
              <w:jc w:val="left"/>
              <w:rPr>
                <w:sz w:val="20"/>
                <w:szCs w:val="20"/>
              </w:rPr>
            </w:pPr>
            <w:proofErr w:type="spellStart"/>
            <w:r w:rsidRPr="004271DF">
              <w:rPr>
                <w:sz w:val="20"/>
                <w:szCs w:val="20"/>
              </w:rPr>
              <w:t>Nobelane</w:t>
            </w:r>
            <w:proofErr w:type="spellEnd"/>
            <w:r w:rsidRPr="004271DF">
              <w:rPr>
                <w:sz w:val="20"/>
                <w:szCs w:val="20"/>
              </w:rPr>
              <w:t xml:space="preserve"> Industries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4EFFC361" w14:textId="77777777" w:rsidR="009C7B62" w:rsidRPr="004271DF"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4F730A3" w14:textId="77777777" w:rsidR="009C7B62" w:rsidRPr="004271DF" w:rsidRDefault="009C7B62" w:rsidP="000E3838">
            <w:pPr>
              <w:widowControl w:val="0"/>
              <w:ind w:right="57"/>
              <w:jc w:val="right"/>
              <w:rPr>
                <w:sz w:val="20"/>
                <w:szCs w:val="20"/>
              </w:rPr>
            </w:pPr>
            <w:r w:rsidRPr="004271DF">
              <w:rPr>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A11B33B" w14:textId="77777777" w:rsidR="009C7B62" w:rsidRPr="00C040D1" w:rsidRDefault="009C7B62" w:rsidP="000E3838">
            <w:pPr>
              <w:widowControl w:val="0"/>
              <w:ind w:right="130"/>
              <w:jc w:val="right"/>
              <w:rPr>
                <w:sz w:val="20"/>
                <w:szCs w:val="20"/>
              </w:rPr>
            </w:pPr>
            <w:r w:rsidRPr="004271DF">
              <w:rPr>
                <w:sz w:val="20"/>
                <w:szCs w:val="20"/>
              </w:rPr>
              <w:t>19,011</w:t>
            </w:r>
          </w:p>
        </w:tc>
      </w:tr>
      <w:tr w:rsidR="009C7B62" w:rsidRPr="0032789D" w14:paraId="23781971" w14:textId="77777777" w:rsidTr="000E3838">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34D8472" w14:textId="77777777" w:rsidR="009C7B62" w:rsidRPr="004271DF" w:rsidRDefault="009C7B62" w:rsidP="000E3838">
            <w:pPr>
              <w:widowControl w:val="0"/>
              <w:jc w:val="left"/>
              <w:rPr>
                <w:sz w:val="20"/>
                <w:szCs w:val="20"/>
              </w:rPr>
            </w:pPr>
            <w:proofErr w:type="spellStart"/>
            <w:r w:rsidRPr="004271DF">
              <w:rPr>
                <w:sz w:val="20"/>
                <w:szCs w:val="20"/>
              </w:rPr>
              <w:t>Miripoly</w:t>
            </w:r>
            <w:proofErr w:type="spellEnd"/>
            <w:r w:rsidRPr="004271DF">
              <w:rPr>
                <w:sz w:val="20"/>
                <w:szCs w:val="20"/>
              </w:rPr>
              <w:t xml:space="preserve"> Industries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4FDEC4AF" w14:textId="77777777" w:rsidR="009C7B62" w:rsidRPr="004271DF" w:rsidRDefault="009C7B62" w:rsidP="000E3838">
            <w:pPr>
              <w:widowControl w:val="0"/>
              <w:jc w:val="left"/>
              <w:rPr>
                <w:sz w:val="20"/>
                <w:szCs w:val="20"/>
              </w:rPr>
            </w:pPr>
            <w:proofErr w:type="spellStart"/>
            <w:r w:rsidRPr="004271DF">
              <w:rPr>
                <w:sz w:val="20"/>
                <w:szCs w:val="20"/>
              </w:rPr>
              <w:t>Thermoware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02C3B0E" w14:textId="77777777" w:rsidR="009C7B62" w:rsidRPr="004271DF" w:rsidRDefault="009C7B62" w:rsidP="000E3838">
            <w:pPr>
              <w:widowControl w:val="0"/>
              <w:ind w:right="57"/>
              <w:jc w:val="right"/>
              <w:rPr>
                <w:sz w:val="20"/>
                <w:szCs w:val="20"/>
              </w:rPr>
            </w:pPr>
            <w:r w:rsidRPr="004271DF">
              <w:rPr>
                <w:sz w:val="20"/>
                <w:szCs w:val="20"/>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BE24B86" w14:textId="77777777" w:rsidR="009C7B62" w:rsidRPr="00C040D1" w:rsidRDefault="009C7B62" w:rsidP="000E3838">
            <w:pPr>
              <w:widowControl w:val="0"/>
              <w:ind w:right="130"/>
              <w:jc w:val="right"/>
              <w:rPr>
                <w:sz w:val="20"/>
                <w:szCs w:val="20"/>
              </w:rPr>
            </w:pPr>
            <w:r w:rsidRPr="004271DF">
              <w:rPr>
                <w:sz w:val="20"/>
                <w:szCs w:val="20"/>
              </w:rPr>
              <w:t>15,</w:t>
            </w:r>
            <w:r>
              <w:rPr>
                <w:sz w:val="20"/>
                <w:szCs w:val="20"/>
              </w:rPr>
              <w:t>45</w:t>
            </w:r>
            <w:r w:rsidRPr="004271DF">
              <w:rPr>
                <w:sz w:val="20"/>
                <w:szCs w:val="20"/>
              </w:rPr>
              <w:t>0</w:t>
            </w:r>
          </w:p>
        </w:tc>
      </w:tr>
      <w:tr w:rsidR="009C7B62" w:rsidRPr="0032789D" w14:paraId="5F63BA35" w14:textId="77777777" w:rsidTr="000E3838">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174BBA6" w14:textId="77777777" w:rsidR="009C7B62" w:rsidRPr="004271DF" w:rsidRDefault="009C7B62" w:rsidP="000E3838">
            <w:pPr>
              <w:widowControl w:val="0"/>
              <w:jc w:val="left"/>
              <w:rPr>
                <w:sz w:val="20"/>
                <w:szCs w:val="20"/>
              </w:rPr>
            </w:pPr>
            <w:proofErr w:type="spellStart"/>
            <w:r w:rsidRPr="004271DF">
              <w:rPr>
                <w:sz w:val="20"/>
                <w:szCs w:val="20"/>
              </w:rPr>
              <w:t>SolidFoam</w:t>
            </w:r>
            <w:proofErr w:type="spellEnd"/>
            <w:r w:rsidRPr="004271DF">
              <w:rPr>
                <w:sz w:val="20"/>
                <w:szCs w:val="20"/>
              </w:rPr>
              <w:t xml:space="preserve"> Industries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064FA09B" w14:textId="77777777" w:rsidR="009C7B62" w:rsidRPr="004271DF" w:rsidRDefault="009C7B62" w:rsidP="000E3838">
            <w:pPr>
              <w:widowControl w:val="0"/>
              <w:jc w:val="left"/>
              <w:rPr>
                <w:sz w:val="20"/>
                <w:szCs w:val="20"/>
              </w:rPr>
            </w:pPr>
            <w:r w:rsidRPr="004271DF">
              <w:rPr>
                <w:sz w:val="20"/>
                <w:szCs w:val="20"/>
              </w:rPr>
              <w:t>Pipes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7D110DB" w14:textId="77777777" w:rsidR="009C7B62" w:rsidRPr="004271DF" w:rsidRDefault="009C7B62" w:rsidP="000E3838">
            <w:pPr>
              <w:widowControl w:val="0"/>
              <w:ind w:right="57"/>
              <w:jc w:val="right"/>
              <w:rPr>
                <w:sz w:val="20"/>
                <w:szCs w:val="20"/>
              </w:rPr>
            </w:pPr>
            <w:r w:rsidRPr="004271DF">
              <w:rPr>
                <w:sz w:val="20"/>
                <w:szCs w:val="20"/>
              </w:rPr>
              <w:t>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6A808463" w14:textId="77777777" w:rsidR="009C7B62" w:rsidRPr="00C040D1" w:rsidRDefault="009C7B62" w:rsidP="000E3838">
            <w:pPr>
              <w:widowControl w:val="0"/>
              <w:ind w:right="130"/>
              <w:jc w:val="right"/>
              <w:rPr>
                <w:sz w:val="20"/>
                <w:szCs w:val="20"/>
              </w:rPr>
            </w:pPr>
            <w:r w:rsidRPr="004271DF">
              <w:rPr>
                <w:sz w:val="20"/>
                <w:szCs w:val="20"/>
              </w:rPr>
              <w:t>13,920</w:t>
            </w:r>
          </w:p>
        </w:tc>
      </w:tr>
      <w:tr w:rsidR="009C7B62" w:rsidRPr="0032789D" w14:paraId="0C5A07BF" w14:textId="77777777" w:rsidTr="000E3838">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FEB60D8" w14:textId="77777777" w:rsidR="009C7B62" w:rsidRPr="004271DF" w:rsidRDefault="009C7B62" w:rsidP="000E3838">
            <w:pPr>
              <w:widowControl w:val="0"/>
              <w:jc w:val="left"/>
              <w:rPr>
                <w:sz w:val="20"/>
                <w:szCs w:val="20"/>
              </w:rPr>
            </w:pPr>
            <w:r w:rsidRPr="004271DF">
              <w:rPr>
                <w:sz w:val="20"/>
                <w:szCs w:val="20"/>
              </w:rPr>
              <w:t xml:space="preserve">Lian Pang Refrigeration </w:t>
            </w:r>
            <w:r>
              <w:rPr>
                <w:sz w:val="20"/>
                <w:szCs w:val="20"/>
              </w:rPr>
              <w:t>and</w:t>
            </w:r>
            <w:r w:rsidRPr="004271DF">
              <w:rPr>
                <w:sz w:val="20"/>
                <w:szCs w:val="20"/>
              </w:rPr>
              <w:t xml:space="preserve"> Electrical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r>
              <w:rPr>
                <w:sz w:val="20"/>
                <w:szCs w:val="20"/>
              </w:rPr>
              <w:t>*</w:t>
            </w:r>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vAlign w:val="bottom"/>
          </w:tcPr>
          <w:p w14:paraId="53EEECEC" w14:textId="77777777" w:rsidR="009C7B62" w:rsidRPr="004271DF"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0040B41" w14:textId="77777777" w:rsidR="009C7B62" w:rsidRPr="004271DF" w:rsidRDefault="009C7B62" w:rsidP="000E3838">
            <w:pPr>
              <w:widowControl w:val="0"/>
              <w:ind w:right="57"/>
              <w:jc w:val="right"/>
              <w:rPr>
                <w:sz w:val="20"/>
                <w:szCs w:val="20"/>
              </w:rPr>
            </w:pPr>
            <w:r w:rsidRPr="004271DF">
              <w:rPr>
                <w:sz w:val="20"/>
                <w:szCs w:val="20"/>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06307736" w14:textId="77777777" w:rsidR="009C7B62" w:rsidRPr="00C040D1" w:rsidRDefault="009C7B62" w:rsidP="000E3838">
            <w:pPr>
              <w:widowControl w:val="0"/>
              <w:ind w:right="130"/>
              <w:jc w:val="right"/>
              <w:rPr>
                <w:sz w:val="20"/>
                <w:szCs w:val="20"/>
              </w:rPr>
            </w:pPr>
            <w:r w:rsidRPr="004271DF">
              <w:rPr>
                <w:sz w:val="20"/>
                <w:szCs w:val="20"/>
              </w:rPr>
              <w:t>12,334</w:t>
            </w:r>
          </w:p>
        </w:tc>
      </w:tr>
      <w:tr w:rsidR="009C7B62" w:rsidRPr="0032789D" w14:paraId="4C9042ED" w14:textId="77777777" w:rsidTr="000E3838">
        <w:trPr>
          <w:trHeight w:val="134"/>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4E7D58B" w14:textId="77777777" w:rsidR="009C7B62" w:rsidRPr="004271DF" w:rsidRDefault="009C7B62" w:rsidP="000E3838">
            <w:pPr>
              <w:widowControl w:val="0"/>
              <w:jc w:val="left"/>
              <w:rPr>
                <w:sz w:val="20"/>
                <w:szCs w:val="20"/>
              </w:rPr>
            </w:pPr>
            <w:r w:rsidRPr="004271DF">
              <w:rPr>
                <w:sz w:val="20"/>
                <w:szCs w:val="20"/>
              </w:rPr>
              <w:t xml:space="preserve">F&amp;C Equipment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vAlign w:val="bottom"/>
          </w:tcPr>
          <w:p w14:paraId="7CF8274F" w14:textId="77777777" w:rsidR="009C7B62" w:rsidRPr="004271DF"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708FE9B" w14:textId="77777777" w:rsidR="009C7B62" w:rsidRPr="004271DF" w:rsidRDefault="009C7B62" w:rsidP="000E3838">
            <w:pPr>
              <w:widowControl w:val="0"/>
              <w:ind w:right="57"/>
              <w:jc w:val="right"/>
              <w:rPr>
                <w:sz w:val="20"/>
                <w:szCs w:val="20"/>
              </w:rPr>
            </w:pPr>
            <w:r w:rsidRPr="004271DF">
              <w:rPr>
                <w:sz w:val="20"/>
                <w:szCs w:val="20"/>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0F1C525C" w14:textId="77777777" w:rsidR="009C7B62" w:rsidRPr="00C040D1" w:rsidRDefault="009C7B62" w:rsidP="000E3838">
            <w:pPr>
              <w:widowControl w:val="0"/>
              <w:ind w:right="130"/>
              <w:jc w:val="right"/>
              <w:rPr>
                <w:sz w:val="20"/>
                <w:szCs w:val="20"/>
              </w:rPr>
            </w:pPr>
            <w:r w:rsidRPr="004271DF">
              <w:rPr>
                <w:sz w:val="20"/>
                <w:szCs w:val="20"/>
              </w:rPr>
              <w:t>11,371</w:t>
            </w:r>
          </w:p>
        </w:tc>
      </w:tr>
      <w:tr w:rsidR="009C7B62" w:rsidRPr="0032789D" w14:paraId="4C26A5E4" w14:textId="77777777" w:rsidTr="000E3838">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5645E14" w14:textId="77777777" w:rsidR="009C7B62" w:rsidRPr="004271DF" w:rsidRDefault="009C7B62" w:rsidP="000E3838">
            <w:pPr>
              <w:widowControl w:val="0"/>
              <w:jc w:val="left"/>
              <w:rPr>
                <w:sz w:val="20"/>
                <w:szCs w:val="20"/>
              </w:rPr>
            </w:pPr>
            <w:r w:rsidRPr="004271DF">
              <w:rPr>
                <w:sz w:val="20"/>
                <w:szCs w:val="20"/>
              </w:rPr>
              <w:t>O.A.L</w:t>
            </w:r>
            <w:r>
              <w:rPr>
                <w:sz w:val="20"/>
                <w:szCs w:val="20"/>
              </w:rPr>
              <w:t>.</w:t>
            </w:r>
            <w:r w:rsidRPr="004271DF">
              <w:rPr>
                <w:sz w:val="20"/>
                <w:szCs w:val="20"/>
              </w:rPr>
              <w:t xml:space="preserve"> Enterprise</w:t>
            </w:r>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067A1942" w14:textId="77777777" w:rsidR="009C7B62" w:rsidRPr="004271DF" w:rsidRDefault="009C7B62" w:rsidP="000E3838">
            <w:pPr>
              <w:widowControl w:val="0"/>
              <w:jc w:val="left"/>
              <w:rPr>
                <w:sz w:val="20"/>
                <w:szCs w:val="20"/>
              </w:rPr>
            </w:pPr>
            <w:r w:rsidRPr="004271DF">
              <w:rPr>
                <w:sz w:val="20"/>
                <w:szCs w:val="20"/>
              </w:rPr>
              <w:t xml:space="preserve">Discontinuous </w:t>
            </w:r>
            <w:r>
              <w:rPr>
                <w:sz w:val="20"/>
                <w:szCs w:val="20"/>
              </w:rPr>
              <w:t>p</w:t>
            </w:r>
            <w:r w:rsidRPr="004271DF">
              <w:rPr>
                <w:sz w:val="20"/>
                <w:szCs w:val="20"/>
              </w:rPr>
              <w:t>anels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527B359" w14:textId="77777777" w:rsidR="009C7B62" w:rsidRPr="004271DF" w:rsidRDefault="009C7B62" w:rsidP="000E3838">
            <w:pPr>
              <w:widowControl w:val="0"/>
              <w:ind w:right="57"/>
              <w:jc w:val="right"/>
              <w:rPr>
                <w:sz w:val="20"/>
                <w:szCs w:val="20"/>
              </w:rPr>
            </w:pPr>
            <w:r w:rsidRPr="004271DF">
              <w:rPr>
                <w:sz w:val="20"/>
                <w:szCs w:val="20"/>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F1823EA" w14:textId="77777777" w:rsidR="009C7B62" w:rsidRPr="00C040D1" w:rsidRDefault="009C7B62" w:rsidP="000E3838">
            <w:pPr>
              <w:widowControl w:val="0"/>
              <w:ind w:right="130"/>
              <w:jc w:val="right"/>
              <w:rPr>
                <w:sz w:val="20"/>
                <w:szCs w:val="20"/>
              </w:rPr>
            </w:pPr>
            <w:r w:rsidRPr="004271DF">
              <w:rPr>
                <w:sz w:val="20"/>
                <w:szCs w:val="20"/>
              </w:rPr>
              <w:t>10,916</w:t>
            </w:r>
          </w:p>
        </w:tc>
      </w:tr>
      <w:tr w:rsidR="009C7B62" w:rsidRPr="0032789D" w14:paraId="1F7DBC25" w14:textId="77777777" w:rsidTr="000E3838">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1B70C86" w14:textId="77777777" w:rsidR="009C7B62" w:rsidRPr="004271DF" w:rsidRDefault="009C7B62" w:rsidP="000E3838">
            <w:pPr>
              <w:widowControl w:val="0"/>
              <w:jc w:val="left"/>
              <w:rPr>
                <w:sz w:val="20"/>
                <w:szCs w:val="20"/>
              </w:rPr>
            </w:pPr>
            <w:r w:rsidRPr="004271DF">
              <w:rPr>
                <w:sz w:val="20"/>
                <w:szCs w:val="20"/>
              </w:rPr>
              <w:t xml:space="preserve">NKR Continental Manufacturing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66682B59" w14:textId="77777777" w:rsidR="009C7B62" w:rsidRPr="004271DF"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553D7CA" w14:textId="77777777" w:rsidR="009C7B62" w:rsidRPr="004271DF" w:rsidRDefault="009C7B62" w:rsidP="000E3838">
            <w:pPr>
              <w:widowControl w:val="0"/>
              <w:ind w:right="57"/>
              <w:jc w:val="right"/>
              <w:rPr>
                <w:sz w:val="20"/>
                <w:szCs w:val="20"/>
              </w:rPr>
            </w:pPr>
            <w:r w:rsidRPr="004271DF">
              <w:rPr>
                <w:sz w:val="20"/>
                <w:szCs w:val="20"/>
              </w:rPr>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3C8A44CA" w14:textId="77777777" w:rsidR="009C7B62" w:rsidRPr="00C040D1" w:rsidRDefault="009C7B62" w:rsidP="000E3838">
            <w:pPr>
              <w:widowControl w:val="0"/>
              <w:ind w:right="130"/>
              <w:jc w:val="right"/>
              <w:rPr>
                <w:sz w:val="20"/>
                <w:szCs w:val="20"/>
              </w:rPr>
            </w:pPr>
            <w:r w:rsidRPr="004271DF">
              <w:rPr>
                <w:sz w:val="20"/>
                <w:szCs w:val="20"/>
              </w:rPr>
              <w:t>6,167</w:t>
            </w:r>
          </w:p>
        </w:tc>
      </w:tr>
      <w:tr w:rsidR="009C7B62" w:rsidRPr="0032789D" w14:paraId="5AABDD97" w14:textId="77777777" w:rsidTr="000E3838">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35A7AB36" w14:textId="77777777" w:rsidR="009C7B62" w:rsidRPr="0032789D" w:rsidRDefault="009C7B62" w:rsidP="000E3838">
            <w:pPr>
              <w:widowControl w:val="0"/>
              <w:jc w:val="left"/>
              <w:rPr>
                <w:sz w:val="20"/>
                <w:szCs w:val="20"/>
              </w:rPr>
            </w:pPr>
            <w:r w:rsidRPr="004271DF">
              <w:rPr>
                <w:sz w:val="20"/>
                <w:szCs w:val="20"/>
              </w:rPr>
              <w:t xml:space="preserve">COOLDEC Industries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7C60134D" w14:textId="77777777" w:rsidR="009C7B62" w:rsidRPr="0032789D" w:rsidRDefault="009C7B62" w:rsidP="000E3838">
            <w:pPr>
              <w:widowControl w:val="0"/>
              <w:jc w:val="left"/>
              <w:rPr>
                <w:sz w:val="20"/>
                <w:szCs w:val="20"/>
              </w:rPr>
            </w:pPr>
            <w:r w:rsidRPr="004271DF">
              <w:rPr>
                <w:sz w:val="20"/>
                <w:szCs w:val="20"/>
              </w:rPr>
              <w:t xml:space="preserve">Discontinuous </w:t>
            </w:r>
            <w:r>
              <w:rPr>
                <w:sz w:val="20"/>
                <w:szCs w:val="20"/>
              </w:rPr>
              <w:t>p</w:t>
            </w:r>
            <w:r w:rsidRPr="004271DF">
              <w:rPr>
                <w:sz w:val="20"/>
                <w:szCs w:val="20"/>
              </w:rPr>
              <w:t>anels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CD16544" w14:textId="77777777" w:rsidR="009C7B62" w:rsidRPr="0032789D" w:rsidRDefault="009C7B62" w:rsidP="000E3838">
            <w:pPr>
              <w:widowControl w:val="0"/>
              <w:ind w:right="57"/>
              <w:jc w:val="right"/>
              <w:rPr>
                <w:sz w:val="20"/>
                <w:szCs w:val="20"/>
              </w:rPr>
            </w:pPr>
            <w:r w:rsidRPr="004271DF">
              <w:rPr>
                <w:sz w:val="20"/>
                <w:szCs w:val="20"/>
              </w:rPr>
              <w:t>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8269195" w14:textId="77777777" w:rsidR="009C7B62" w:rsidRPr="00C040D1" w:rsidRDefault="009C7B62" w:rsidP="000E3838">
            <w:pPr>
              <w:widowControl w:val="0"/>
              <w:ind w:right="130"/>
              <w:jc w:val="right"/>
              <w:rPr>
                <w:sz w:val="20"/>
                <w:szCs w:val="20"/>
              </w:rPr>
            </w:pPr>
            <w:r w:rsidRPr="004271DF">
              <w:rPr>
                <w:sz w:val="20"/>
                <w:szCs w:val="20"/>
              </w:rPr>
              <w:t>5,889</w:t>
            </w:r>
          </w:p>
        </w:tc>
      </w:tr>
      <w:tr w:rsidR="009C7B62" w:rsidRPr="0032789D" w14:paraId="35CEF27A" w14:textId="77777777" w:rsidTr="000E3838">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E60C93E" w14:textId="77777777" w:rsidR="009C7B62" w:rsidRPr="0032789D" w:rsidRDefault="009C7B62" w:rsidP="000E3838">
            <w:pPr>
              <w:widowControl w:val="0"/>
              <w:jc w:val="left"/>
              <w:rPr>
                <w:sz w:val="20"/>
                <w:szCs w:val="20"/>
              </w:rPr>
            </w:pPr>
            <w:proofErr w:type="spellStart"/>
            <w:r w:rsidRPr="004271DF">
              <w:rPr>
                <w:sz w:val="20"/>
                <w:szCs w:val="20"/>
              </w:rPr>
              <w:t>Edwincon</w:t>
            </w:r>
            <w:proofErr w:type="spellEnd"/>
            <w:r w:rsidRPr="004271DF">
              <w:rPr>
                <w:sz w:val="20"/>
                <w:szCs w:val="20"/>
              </w:rPr>
              <w:t xml:space="preserve"> Engineering </w:t>
            </w:r>
            <w:r>
              <w:rPr>
                <w:sz w:val="20"/>
                <w:szCs w:val="20"/>
              </w:rPr>
              <w:t>and</w:t>
            </w:r>
            <w:r w:rsidRPr="004271DF">
              <w:rPr>
                <w:sz w:val="20"/>
                <w:szCs w:val="20"/>
              </w:rPr>
              <w:t xml:space="preserve"> Trading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32150BC4" w14:textId="77777777" w:rsidR="009C7B62" w:rsidRPr="0032789D" w:rsidRDefault="009C7B62" w:rsidP="000E3838">
            <w:pPr>
              <w:widowControl w:val="0"/>
              <w:jc w:val="left"/>
              <w:rPr>
                <w:sz w:val="20"/>
                <w:szCs w:val="20"/>
              </w:rPr>
            </w:pPr>
            <w:r w:rsidRPr="004271DF">
              <w:rPr>
                <w:sz w:val="20"/>
                <w:szCs w:val="20"/>
              </w:rPr>
              <w:t>Pipes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C71398A" w14:textId="77777777" w:rsidR="009C7B62" w:rsidRPr="0032789D" w:rsidRDefault="009C7B62" w:rsidP="000E3838">
            <w:pPr>
              <w:widowControl w:val="0"/>
              <w:ind w:right="57"/>
              <w:jc w:val="right"/>
              <w:rPr>
                <w:sz w:val="20"/>
                <w:szCs w:val="20"/>
              </w:rPr>
            </w:pPr>
            <w:r w:rsidRPr="004271DF">
              <w:rPr>
                <w:sz w:val="20"/>
                <w:szCs w:val="20"/>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EB94D15" w14:textId="77777777" w:rsidR="009C7B62" w:rsidRPr="00C040D1" w:rsidRDefault="009C7B62" w:rsidP="000E3838">
            <w:pPr>
              <w:widowControl w:val="0"/>
              <w:ind w:right="130"/>
              <w:jc w:val="right"/>
              <w:rPr>
                <w:sz w:val="20"/>
                <w:szCs w:val="20"/>
              </w:rPr>
            </w:pPr>
            <w:r w:rsidRPr="004271DF">
              <w:rPr>
                <w:sz w:val="20"/>
                <w:szCs w:val="20"/>
              </w:rPr>
              <w:t>5,611</w:t>
            </w:r>
          </w:p>
        </w:tc>
      </w:tr>
      <w:tr w:rsidR="009C7B62" w:rsidRPr="0032789D" w14:paraId="660B33A8" w14:textId="77777777" w:rsidTr="000E3838">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F38EF9C" w14:textId="77777777" w:rsidR="009C7B62" w:rsidRPr="0032789D" w:rsidRDefault="009C7B62" w:rsidP="000E3838">
            <w:pPr>
              <w:widowControl w:val="0"/>
              <w:jc w:val="left"/>
              <w:rPr>
                <w:sz w:val="20"/>
                <w:szCs w:val="20"/>
              </w:rPr>
            </w:pPr>
            <w:r w:rsidRPr="004271DF">
              <w:rPr>
                <w:sz w:val="20"/>
                <w:szCs w:val="20"/>
              </w:rPr>
              <w:t xml:space="preserve">BEH Refrigeration </w:t>
            </w:r>
            <w:r>
              <w:rPr>
                <w:sz w:val="20"/>
                <w:szCs w:val="20"/>
              </w:rPr>
              <w:t>and</w:t>
            </w:r>
            <w:r w:rsidRPr="004271DF">
              <w:rPr>
                <w:sz w:val="20"/>
                <w:szCs w:val="20"/>
              </w:rPr>
              <w:t xml:space="preserve"> Electrical Works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264D23D7" w14:textId="77777777" w:rsidR="009C7B62" w:rsidRPr="0032789D"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864C5B8" w14:textId="77777777" w:rsidR="009C7B62" w:rsidRPr="0032789D" w:rsidRDefault="009C7B62" w:rsidP="000E3838">
            <w:pPr>
              <w:widowControl w:val="0"/>
              <w:ind w:right="57"/>
              <w:jc w:val="right"/>
              <w:rPr>
                <w:sz w:val="20"/>
                <w:szCs w:val="20"/>
              </w:rPr>
            </w:pPr>
            <w:r w:rsidRPr="004271DF">
              <w:rPr>
                <w:sz w:val="20"/>
                <w:szCs w:val="20"/>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D022325" w14:textId="77777777" w:rsidR="009C7B62" w:rsidRPr="00C040D1" w:rsidRDefault="009C7B62" w:rsidP="000E3838">
            <w:pPr>
              <w:widowControl w:val="0"/>
              <w:ind w:right="130"/>
              <w:jc w:val="right"/>
              <w:rPr>
                <w:sz w:val="20"/>
                <w:szCs w:val="20"/>
              </w:rPr>
            </w:pPr>
            <w:r w:rsidRPr="004271DF">
              <w:rPr>
                <w:sz w:val="20"/>
                <w:szCs w:val="20"/>
              </w:rPr>
              <w:t>2,617</w:t>
            </w:r>
          </w:p>
        </w:tc>
      </w:tr>
      <w:tr w:rsidR="009C7B62" w:rsidRPr="0032789D" w14:paraId="3BFB8E79" w14:textId="77777777" w:rsidTr="000E3838">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6C99F7A" w14:textId="77777777" w:rsidR="009C7B62" w:rsidRPr="004271DF" w:rsidRDefault="009C7B62" w:rsidP="000E3838">
            <w:pPr>
              <w:widowControl w:val="0"/>
              <w:jc w:val="left"/>
              <w:rPr>
                <w:sz w:val="20"/>
                <w:szCs w:val="20"/>
              </w:rPr>
            </w:pPr>
            <w:proofErr w:type="spellStart"/>
            <w:r w:rsidRPr="004271DF">
              <w:rPr>
                <w:sz w:val="20"/>
                <w:szCs w:val="20"/>
              </w:rPr>
              <w:t>Grandcold</w:t>
            </w:r>
            <w:proofErr w:type="spellEnd"/>
            <w:r w:rsidRPr="004271DF">
              <w:rPr>
                <w:sz w:val="20"/>
                <w:szCs w:val="20"/>
              </w:rPr>
              <w:t xml:space="preserve"> Refrigerator </w:t>
            </w:r>
            <w:r>
              <w:rPr>
                <w:sz w:val="20"/>
                <w:szCs w:val="20"/>
              </w:rPr>
              <w:t>and</w:t>
            </w:r>
            <w:r w:rsidRPr="004271DF">
              <w:rPr>
                <w:sz w:val="20"/>
                <w:szCs w:val="20"/>
              </w:rPr>
              <w:t xml:space="preserve"> </w:t>
            </w:r>
            <w:r>
              <w:rPr>
                <w:sz w:val="20"/>
                <w:szCs w:val="20"/>
              </w:rPr>
              <w:t>C</w:t>
            </w:r>
            <w:r w:rsidRPr="004271DF">
              <w:rPr>
                <w:sz w:val="20"/>
                <w:szCs w:val="20"/>
              </w:rPr>
              <w:t xml:space="preserve">ommercial Products </w:t>
            </w:r>
            <w:proofErr w:type="spellStart"/>
            <w:r w:rsidRPr="004271DF">
              <w:rPr>
                <w:sz w:val="20"/>
                <w:szCs w:val="20"/>
              </w:rPr>
              <w:t>Sdn</w:t>
            </w:r>
            <w:proofErr w:type="spellEnd"/>
            <w:r w:rsidRPr="004271DF">
              <w:rPr>
                <w:sz w:val="20"/>
                <w:szCs w:val="20"/>
              </w:rPr>
              <w:t xml:space="preserve"> </w:t>
            </w:r>
            <w:proofErr w:type="spellStart"/>
            <w:r w:rsidRPr="004271DF">
              <w:rPr>
                <w:sz w:val="20"/>
                <w:szCs w:val="20"/>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0FF7F74C" w14:textId="77777777" w:rsidR="009C7B62" w:rsidRPr="004271DF"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6D6C845" w14:textId="77777777" w:rsidR="009C7B62" w:rsidRPr="0032789D" w:rsidRDefault="009C7B62" w:rsidP="000E3838">
            <w:pPr>
              <w:widowControl w:val="0"/>
              <w:ind w:right="57"/>
              <w:jc w:val="right"/>
              <w:rPr>
                <w:sz w:val="20"/>
                <w:szCs w:val="20"/>
              </w:rPr>
            </w:pPr>
            <w:r w:rsidRPr="004271DF">
              <w:rPr>
                <w:sz w:val="20"/>
                <w:szCs w:val="20"/>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8CDD89B" w14:textId="77777777" w:rsidR="009C7B62" w:rsidRPr="00C040D1" w:rsidRDefault="009C7B62" w:rsidP="000E3838">
            <w:pPr>
              <w:widowControl w:val="0"/>
              <w:ind w:right="130"/>
              <w:jc w:val="right"/>
              <w:rPr>
                <w:sz w:val="20"/>
                <w:szCs w:val="20"/>
              </w:rPr>
            </w:pPr>
            <w:r w:rsidRPr="004271DF">
              <w:rPr>
                <w:sz w:val="20"/>
                <w:szCs w:val="20"/>
              </w:rPr>
              <w:t>2,617</w:t>
            </w:r>
          </w:p>
        </w:tc>
      </w:tr>
      <w:tr w:rsidR="009C7B62" w:rsidRPr="0032789D" w14:paraId="4C5EB649" w14:textId="77777777" w:rsidTr="000E3838">
        <w:trPr>
          <w:trHeight w:val="80"/>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3C957B78" w14:textId="77777777" w:rsidR="009C7B62" w:rsidRPr="004271DF" w:rsidRDefault="009C7B62" w:rsidP="000E3838">
            <w:pPr>
              <w:widowControl w:val="0"/>
              <w:jc w:val="left"/>
              <w:rPr>
                <w:sz w:val="20"/>
                <w:szCs w:val="20"/>
              </w:rPr>
            </w:pPr>
            <w:r w:rsidRPr="004271DF">
              <w:rPr>
                <w:sz w:val="20"/>
                <w:szCs w:val="20"/>
              </w:rPr>
              <w:t xml:space="preserve">Ban Lee Refrigeration </w:t>
            </w:r>
            <w:r>
              <w:rPr>
                <w:sz w:val="20"/>
                <w:szCs w:val="20"/>
              </w:rPr>
              <w:t>W</w:t>
            </w:r>
            <w:r w:rsidRPr="004271DF">
              <w:rPr>
                <w:sz w:val="20"/>
                <w:szCs w:val="20"/>
              </w:rPr>
              <w:t>orks</w:t>
            </w:r>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4DAE7752" w14:textId="77777777" w:rsidR="009C7B62" w:rsidRPr="004271DF" w:rsidRDefault="009C7B62" w:rsidP="000E3838">
            <w:pPr>
              <w:widowControl w:val="0"/>
              <w:jc w:val="left"/>
              <w:rPr>
                <w:sz w:val="20"/>
                <w:szCs w:val="20"/>
              </w:rPr>
            </w:pPr>
            <w:r w:rsidRPr="004271DF">
              <w:rPr>
                <w:sz w:val="20"/>
                <w:szCs w:val="20"/>
              </w:rPr>
              <w:t xml:space="preserve">Commercial </w:t>
            </w:r>
            <w:r>
              <w:rPr>
                <w:sz w:val="20"/>
                <w:szCs w:val="20"/>
              </w:rPr>
              <w:t>r</w:t>
            </w:r>
            <w:r w:rsidRPr="004271DF">
              <w:rPr>
                <w:sz w:val="20"/>
                <w:szCs w:val="20"/>
              </w:rPr>
              <w:t>efrigeration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9245EA1" w14:textId="77777777" w:rsidR="009C7B62" w:rsidRPr="004271DF" w:rsidRDefault="009C7B62" w:rsidP="000E3838">
            <w:pPr>
              <w:widowControl w:val="0"/>
              <w:ind w:right="57"/>
              <w:jc w:val="right"/>
              <w:rPr>
                <w:sz w:val="20"/>
                <w:szCs w:val="20"/>
              </w:rPr>
            </w:pPr>
            <w:r w:rsidRPr="004271DF">
              <w:rPr>
                <w:sz w:val="20"/>
                <w:szCs w:val="20"/>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34F1829" w14:textId="77777777" w:rsidR="009C7B62" w:rsidRPr="00C040D1" w:rsidRDefault="009C7B62" w:rsidP="000E3838">
            <w:pPr>
              <w:widowControl w:val="0"/>
              <w:ind w:right="130"/>
              <w:jc w:val="right"/>
              <w:rPr>
                <w:sz w:val="20"/>
                <w:szCs w:val="20"/>
              </w:rPr>
            </w:pPr>
            <w:r w:rsidRPr="004271DF">
              <w:rPr>
                <w:sz w:val="20"/>
                <w:szCs w:val="20"/>
              </w:rPr>
              <w:t>1,034</w:t>
            </w:r>
          </w:p>
        </w:tc>
      </w:tr>
      <w:tr w:rsidR="009C7B62" w:rsidRPr="0032789D" w14:paraId="5C9F9F9D" w14:textId="77777777" w:rsidTr="000E3838">
        <w:trPr>
          <w:trHeight w:val="11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6883DCBE" w14:textId="77777777" w:rsidR="009C7B62" w:rsidRPr="0032789D" w:rsidRDefault="009C7B62" w:rsidP="000E3838">
            <w:pPr>
              <w:widowControl w:val="0"/>
              <w:jc w:val="left"/>
              <w:rPr>
                <w:b/>
                <w:color w:val="000000"/>
                <w:sz w:val="20"/>
                <w:szCs w:val="20"/>
                <w:lang w:val="en-CA"/>
              </w:rPr>
            </w:pPr>
            <w:r w:rsidRPr="0032789D">
              <w:rPr>
                <w:b/>
                <w:color w:val="000000"/>
                <w:sz w:val="20"/>
                <w:szCs w:val="20"/>
                <w:lang w:val="en-CA"/>
              </w:rPr>
              <w:t>Total</w:t>
            </w:r>
          </w:p>
        </w:tc>
        <w:tc>
          <w:tcPr>
            <w:tcW w:w="2268" w:type="dxa"/>
            <w:tcBorders>
              <w:top w:val="single" w:sz="4" w:space="0" w:color="auto"/>
              <w:left w:val="nil"/>
              <w:bottom w:val="single" w:sz="4" w:space="0" w:color="auto"/>
              <w:right w:val="single" w:sz="4" w:space="0" w:color="auto"/>
            </w:tcBorders>
            <w:shd w:val="clear" w:color="auto" w:fill="auto"/>
            <w:noWrap/>
          </w:tcPr>
          <w:p w14:paraId="25B85724" w14:textId="77777777" w:rsidR="009C7B62" w:rsidRPr="0032789D" w:rsidRDefault="009C7B62" w:rsidP="000E3838">
            <w:pPr>
              <w:widowControl w:val="0"/>
              <w:jc w:val="left"/>
              <w:rPr>
                <w:b/>
                <w:sz w:val="20"/>
                <w:szCs w:val="20"/>
                <w:lang w:val="en-C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BF3CC0F" w14:textId="77777777" w:rsidR="009C7B62" w:rsidRPr="0032789D" w:rsidRDefault="009C7B62" w:rsidP="000E3838">
            <w:pPr>
              <w:widowControl w:val="0"/>
              <w:ind w:right="57"/>
              <w:jc w:val="right"/>
              <w:rPr>
                <w:b/>
                <w:bCs/>
                <w:color w:val="000000"/>
                <w:sz w:val="20"/>
                <w:szCs w:val="20"/>
                <w:lang w:val="en-CA"/>
              </w:rPr>
            </w:pPr>
            <w:r>
              <w:rPr>
                <w:b/>
                <w:bCs/>
                <w:color w:val="000000"/>
                <w:sz w:val="20"/>
                <w:szCs w:val="20"/>
                <w:lang w:val="en-CA"/>
              </w:rPr>
              <w:t>19.37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2E815F8" w14:textId="77777777" w:rsidR="009C7B62" w:rsidRPr="0032789D" w:rsidRDefault="009C7B62" w:rsidP="000E3838">
            <w:pPr>
              <w:widowControl w:val="0"/>
              <w:ind w:right="130"/>
              <w:jc w:val="right"/>
              <w:rPr>
                <w:b/>
                <w:bCs/>
                <w:color w:val="000000"/>
                <w:sz w:val="20"/>
                <w:szCs w:val="20"/>
                <w:lang w:val="en-CA"/>
              </w:rPr>
            </w:pPr>
            <w:r w:rsidRPr="0032789D">
              <w:rPr>
                <w:b/>
                <w:bCs/>
                <w:color w:val="000000"/>
                <w:sz w:val="20"/>
                <w:szCs w:val="20"/>
                <w:lang w:val="en-CA"/>
              </w:rPr>
              <w:fldChar w:fldCharType="begin"/>
            </w:r>
            <w:r w:rsidRPr="0032789D">
              <w:rPr>
                <w:b/>
                <w:bCs/>
                <w:color w:val="000000"/>
                <w:sz w:val="20"/>
                <w:szCs w:val="20"/>
                <w:lang w:val="en-CA"/>
              </w:rPr>
              <w:instrText xml:space="preserve"> =SUM(ABOVE) </w:instrText>
            </w:r>
            <w:r w:rsidRPr="0032789D">
              <w:rPr>
                <w:b/>
                <w:bCs/>
                <w:color w:val="000000"/>
                <w:sz w:val="20"/>
                <w:szCs w:val="20"/>
                <w:lang w:val="en-CA"/>
              </w:rPr>
              <w:fldChar w:fldCharType="separate"/>
            </w:r>
            <w:r>
              <w:rPr>
                <w:b/>
                <w:bCs/>
                <w:noProof/>
                <w:color w:val="000000"/>
                <w:sz w:val="20"/>
                <w:szCs w:val="20"/>
                <w:lang w:val="en-CA"/>
              </w:rPr>
              <w:t>169,</w:t>
            </w:r>
            <w:r w:rsidRPr="0032789D">
              <w:rPr>
                <w:b/>
                <w:bCs/>
                <w:color w:val="000000"/>
                <w:sz w:val="20"/>
                <w:szCs w:val="20"/>
                <w:lang w:val="en-CA"/>
              </w:rPr>
              <w:fldChar w:fldCharType="end"/>
            </w:r>
            <w:r>
              <w:rPr>
                <w:b/>
                <w:bCs/>
                <w:color w:val="000000"/>
                <w:sz w:val="20"/>
                <w:szCs w:val="20"/>
                <w:lang w:val="en-CA"/>
              </w:rPr>
              <w:t>281</w:t>
            </w:r>
          </w:p>
        </w:tc>
      </w:tr>
    </w:tbl>
    <w:p w14:paraId="72BB1FAD" w14:textId="77777777" w:rsidR="009C7B62" w:rsidRPr="00877CA1" w:rsidRDefault="009C7B62" w:rsidP="009C7B62">
      <w:pPr>
        <w:widowControl w:val="0"/>
        <w:spacing w:after="240"/>
        <w:outlineLvl w:val="0"/>
        <w:rPr>
          <w:bCs/>
          <w:sz w:val="19"/>
          <w:szCs w:val="19"/>
          <w:lang w:val="en-CA"/>
        </w:rPr>
      </w:pPr>
      <w:r w:rsidRPr="00877CA1">
        <w:rPr>
          <w:bCs/>
          <w:sz w:val="19"/>
          <w:szCs w:val="19"/>
          <w:lang w:val="en-CA"/>
        </w:rPr>
        <w:t xml:space="preserve">* Enterprise had previously been approved for a change in technology (decision 85/11(b)) but has since decided to withdraw from the project. </w:t>
      </w:r>
    </w:p>
    <w:p w14:paraId="0FBB214B" w14:textId="77777777" w:rsidR="009C7B62" w:rsidRPr="00EA6972" w:rsidRDefault="009C7B62" w:rsidP="009C7B62">
      <w:pPr>
        <w:pStyle w:val="Heading1"/>
        <w:rPr>
          <w:bCs/>
          <w:lang w:val="en-CA"/>
        </w:rPr>
      </w:pPr>
      <w:r w:rsidRPr="00EA6972">
        <w:rPr>
          <w:lang w:val="en-CA"/>
        </w:rPr>
        <w:t>An enterprise with 2015 consumption of 22.3</w:t>
      </w:r>
      <w:r w:rsidRPr="00B12E33">
        <w:rPr>
          <w:lang w:val="en-CA"/>
        </w:rPr>
        <w:t> </w:t>
      </w:r>
      <w:proofErr w:type="spellStart"/>
      <w:r w:rsidRPr="00EA6972">
        <w:rPr>
          <w:lang w:val="en-CA"/>
        </w:rPr>
        <w:t>mt</w:t>
      </w:r>
      <w:proofErr w:type="spellEnd"/>
      <w:r w:rsidRPr="00EA6972">
        <w:rPr>
          <w:lang w:val="en-CA"/>
        </w:rPr>
        <w:t xml:space="preserve">, </w:t>
      </w:r>
      <w:proofErr w:type="spellStart"/>
      <w:r w:rsidRPr="00EA6972">
        <w:rPr>
          <w:lang w:val="en-CA"/>
        </w:rPr>
        <w:t>Thermofoam</w:t>
      </w:r>
      <w:proofErr w:type="spellEnd"/>
      <w:r w:rsidRPr="00EA6972">
        <w:rPr>
          <w:lang w:val="en-CA"/>
        </w:rPr>
        <w:t xml:space="preserve"> Marketing </w:t>
      </w:r>
      <w:proofErr w:type="spellStart"/>
      <w:r w:rsidRPr="00EA6972">
        <w:rPr>
          <w:lang w:val="en-CA"/>
        </w:rPr>
        <w:t>Sdn</w:t>
      </w:r>
      <w:proofErr w:type="spellEnd"/>
      <w:r w:rsidRPr="00EA6972">
        <w:rPr>
          <w:lang w:val="en-CA"/>
        </w:rPr>
        <w:t xml:space="preserve"> </w:t>
      </w:r>
      <w:proofErr w:type="spellStart"/>
      <w:r w:rsidRPr="00EA6972">
        <w:rPr>
          <w:lang w:val="en-CA"/>
        </w:rPr>
        <w:t>Bhd</w:t>
      </w:r>
      <w:proofErr w:type="spellEnd"/>
      <w:r w:rsidRPr="00EA6972">
        <w:rPr>
          <w:lang w:val="en-CA"/>
        </w:rPr>
        <w:t>, had previously been considered ineligible during the preparation of stage II, as it was indicated that the enterprise had been established after the cut-off date of 21</w:t>
      </w:r>
      <w:r w:rsidRPr="00B12E33">
        <w:rPr>
          <w:lang w:val="en-CA"/>
        </w:rPr>
        <w:t> </w:t>
      </w:r>
      <w:r w:rsidRPr="00EA6972">
        <w:rPr>
          <w:lang w:val="en-CA"/>
        </w:rPr>
        <w:t>September</w:t>
      </w:r>
      <w:r w:rsidRPr="00B12E33">
        <w:rPr>
          <w:lang w:val="en-CA"/>
        </w:rPr>
        <w:t> </w:t>
      </w:r>
      <w:r w:rsidRPr="00EA6972">
        <w:rPr>
          <w:lang w:val="en-CA"/>
        </w:rPr>
        <w:t xml:space="preserve">2007. No funding had been allocated for the conversion of the enterprise. UNDP </w:t>
      </w:r>
      <w:r>
        <w:rPr>
          <w:lang w:val="en-CA"/>
        </w:rPr>
        <w:t xml:space="preserve">has </w:t>
      </w:r>
      <w:r w:rsidRPr="00EA6972">
        <w:rPr>
          <w:lang w:val="en-CA"/>
        </w:rPr>
        <w:t xml:space="preserve">subsequently determined that the enterprise had been established in 2003 under a different name and, therefore, was eligible; on this basis, </w:t>
      </w:r>
      <w:r w:rsidRPr="00EA6972">
        <w:rPr>
          <w:bCs/>
          <w:lang w:val="en-CA"/>
        </w:rPr>
        <w:t>UNDP requested to reallocate the savings of US $169,281 from the withdrawal of the 15</w:t>
      </w:r>
      <w:r w:rsidRPr="00B12E33">
        <w:rPr>
          <w:lang w:val="en-CA"/>
        </w:rPr>
        <w:t> </w:t>
      </w:r>
      <w:r w:rsidRPr="00EA6972">
        <w:rPr>
          <w:bCs/>
          <w:lang w:val="en-CA"/>
        </w:rPr>
        <w:t xml:space="preserve">SMEs to support the conversion of the enterprise to pre-blended cyclopentane. </w:t>
      </w:r>
    </w:p>
    <w:p w14:paraId="18F8EE06" w14:textId="77777777" w:rsidR="009C7B62" w:rsidRPr="00234A52" w:rsidRDefault="009C7B62" w:rsidP="009C7B62">
      <w:pPr>
        <w:widowControl w:val="0"/>
        <w:spacing w:after="240"/>
        <w:outlineLvl w:val="0"/>
        <w:rPr>
          <w:b/>
          <w:lang w:val="en-CA"/>
        </w:rPr>
      </w:pPr>
      <w:r w:rsidRPr="00234A52">
        <w:rPr>
          <w:b/>
          <w:lang w:val="en-CA"/>
        </w:rPr>
        <w:t>Secretariat’s comments</w:t>
      </w:r>
    </w:p>
    <w:p w14:paraId="20D0235D" w14:textId="77777777" w:rsidR="009C7B62" w:rsidRPr="00FF033E" w:rsidRDefault="009C7B62" w:rsidP="009C7B62">
      <w:pPr>
        <w:numPr>
          <w:ilvl w:val="0"/>
          <w:numId w:val="1"/>
        </w:numPr>
        <w:spacing w:after="240"/>
        <w:outlineLvl w:val="0"/>
        <w:rPr>
          <w:lang w:val="en-CA"/>
        </w:rPr>
      </w:pPr>
      <w:r w:rsidRPr="001F6E5D">
        <w:rPr>
          <w:lang w:val="en-CA"/>
        </w:rPr>
        <w:t>UNDP confirmed th</w:t>
      </w:r>
      <w:r>
        <w:rPr>
          <w:lang w:val="en-CA"/>
        </w:rPr>
        <w:t>e</w:t>
      </w:r>
      <w:r w:rsidRPr="001F6E5D">
        <w:rPr>
          <w:lang w:val="en-CA"/>
        </w:rPr>
        <w:t xml:space="preserve"> capability of the enterprises</w:t>
      </w:r>
      <w:r>
        <w:rPr>
          <w:lang w:val="en-CA"/>
        </w:rPr>
        <w:t xml:space="preserve"> wishing to change technology</w:t>
      </w:r>
      <w:r w:rsidRPr="001F6E5D">
        <w:rPr>
          <w:lang w:val="en-CA"/>
        </w:rPr>
        <w:t xml:space="preserve"> to safely use pre</w:t>
      </w:r>
      <w:r w:rsidRPr="001F6E5D">
        <w:rPr>
          <w:lang w:val="en-CA"/>
        </w:rPr>
        <w:noBreakHyphen/>
        <w:t xml:space="preserve">blended cyclopentane </w:t>
      </w:r>
      <w:r>
        <w:rPr>
          <w:lang w:val="en-CA"/>
        </w:rPr>
        <w:t xml:space="preserve">in five SMEs and </w:t>
      </w:r>
      <w:r w:rsidRPr="001F6E5D">
        <w:rPr>
          <w:lang w:val="en-CA"/>
        </w:rPr>
        <w:t>methylal</w:t>
      </w:r>
      <w:r>
        <w:rPr>
          <w:lang w:val="en-CA"/>
        </w:rPr>
        <w:t xml:space="preserve"> in four SMEs</w:t>
      </w:r>
      <w:r w:rsidRPr="001F6E5D">
        <w:rPr>
          <w:lang w:val="en-CA"/>
        </w:rPr>
        <w:t xml:space="preserve">. </w:t>
      </w:r>
      <w:r>
        <w:rPr>
          <w:lang w:val="en-CA"/>
        </w:rPr>
        <w:t>On that basis, t</w:t>
      </w:r>
      <w:r w:rsidRPr="001F6E5D">
        <w:rPr>
          <w:lang w:val="en-CA"/>
        </w:rPr>
        <w:t xml:space="preserve">he Secretariat undertook a detailed assessment of the eligible incremental costs to convert the </w:t>
      </w:r>
      <w:r>
        <w:rPr>
          <w:lang w:val="en-CA"/>
        </w:rPr>
        <w:t>nine SMEs</w:t>
      </w:r>
      <w:r w:rsidRPr="001F6E5D">
        <w:rPr>
          <w:lang w:val="en-CA"/>
        </w:rPr>
        <w:t>, which confirmed that there would be no savings associated with the change in technology. UNDP confirmed that the enterprises would co-finance any additional costs associated with the change in technology. Accordingly, and noting the commercial availability of pre</w:t>
      </w:r>
      <w:r w:rsidRPr="001F6E5D">
        <w:rPr>
          <w:lang w:val="en-CA"/>
        </w:rPr>
        <w:noBreakHyphen/>
        <w:t xml:space="preserve">blended cyclopentane </w:t>
      </w:r>
      <w:r>
        <w:rPr>
          <w:lang w:val="en-CA"/>
        </w:rPr>
        <w:t xml:space="preserve">and methylal </w:t>
      </w:r>
      <w:r w:rsidRPr="001F6E5D">
        <w:rPr>
          <w:lang w:val="en-CA"/>
        </w:rPr>
        <w:t>systems from the fou</w:t>
      </w:r>
      <w:r>
        <w:rPr>
          <w:lang w:val="en-CA"/>
        </w:rPr>
        <w:t>r systems houses in the country,</w:t>
      </w:r>
      <w:r w:rsidRPr="001F6E5D">
        <w:rPr>
          <w:lang w:val="en-CA"/>
        </w:rPr>
        <w:t xml:space="preserve"> the Secretariat recommends approval of the change in technology</w:t>
      </w:r>
      <w:r>
        <w:rPr>
          <w:lang w:val="en-CA"/>
        </w:rPr>
        <w:t xml:space="preserve"> in the nine </w:t>
      </w:r>
      <w:r w:rsidRPr="00FF033E">
        <w:rPr>
          <w:lang w:val="en-CA"/>
        </w:rPr>
        <w:t>SMEs, noting that the date of completion of the conversion of the enterprises would not be delayed due to the change of technology.</w:t>
      </w:r>
    </w:p>
    <w:p w14:paraId="6BE96FB0" w14:textId="77777777" w:rsidR="009C7B62" w:rsidRPr="00FF033E" w:rsidRDefault="009C7B62" w:rsidP="009C7B62">
      <w:pPr>
        <w:widowControl w:val="0"/>
        <w:numPr>
          <w:ilvl w:val="0"/>
          <w:numId w:val="1"/>
        </w:numPr>
        <w:spacing w:after="240"/>
        <w:outlineLvl w:val="0"/>
        <w:rPr>
          <w:lang w:val="en-CA"/>
        </w:rPr>
      </w:pPr>
      <w:r w:rsidRPr="00FF033E">
        <w:rPr>
          <w:lang w:val="en-CA"/>
        </w:rPr>
        <w:t xml:space="preserve">UNDP reported that while conversions for the 32 SMEs that had previously been approved for changes in technology are progressing, completion of those conversions had been delayed due to disruptions from the COVID-19 pandemic. The Government and UNDP were undertaking best efforts to ensure that all remaining PU foam conversions would be completed by 1 January 2022, in line with the planned </w:t>
      </w:r>
      <w:r w:rsidRPr="00FF033E">
        <w:t>ban on the import and use of HCFC-141b contained in pre-blended polyols and the phase-out of uses of HCFC</w:t>
      </w:r>
      <w:r w:rsidRPr="00FF033E">
        <w:noBreakHyphen/>
        <w:t>141b, except in the solvent sector, by 1 January 2022; however, at the time of finalization of the present document, the country was again entering a lockdown due to the COVID-19 pandemic and, therefore, the conversion of the enterprises may be completed after 1 January 2022. UNDP would provide an update on the status of the PU foam manufacturing conversions to the 88</w:t>
      </w:r>
      <w:r w:rsidRPr="00FF033E">
        <w:rPr>
          <w:vertAlign w:val="superscript"/>
        </w:rPr>
        <w:t>th</w:t>
      </w:r>
      <w:r w:rsidRPr="00FF033E">
        <w:t xml:space="preserve"> meeting as part of the request for the third tranche of stage II of the HPMP. </w:t>
      </w:r>
    </w:p>
    <w:p w14:paraId="756EA906" w14:textId="77777777" w:rsidR="009C7B62" w:rsidRPr="00364991" w:rsidRDefault="009C7B62" w:rsidP="009C7B62">
      <w:pPr>
        <w:pStyle w:val="Heading1"/>
        <w:rPr>
          <w:lang w:val="en-CA"/>
        </w:rPr>
      </w:pPr>
      <w:r w:rsidRPr="00364991">
        <w:rPr>
          <w:lang w:val="en-CA"/>
        </w:rPr>
        <w:lastRenderedPageBreak/>
        <w:t xml:space="preserve">The 15 </w:t>
      </w:r>
      <w:r>
        <w:rPr>
          <w:lang w:val="en-CA"/>
        </w:rPr>
        <w:t xml:space="preserve">SMEs that decided to </w:t>
      </w:r>
      <w:r w:rsidRPr="00364991">
        <w:rPr>
          <w:lang w:val="en-CA"/>
        </w:rPr>
        <w:t xml:space="preserve">withdraw from the project </w:t>
      </w:r>
      <w:r>
        <w:rPr>
          <w:lang w:val="en-CA"/>
        </w:rPr>
        <w:t xml:space="preserve">have </w:t>
      </w:r>
      <w:r w:rsidRPr="00364991">
        <w:rPr>
          <w:lang w:val="en-CA"/>
        </w:rPr>
        <w:t xml:space="preserve">limited technical capability and are therefore likely to benefit from assistance for conversion under the Multilateral Fund. Accordingly, the Secretariat inquired if </w:t>
      </w:r>
      <w:r w:rsidRPr="00797DDF">
        <w:t xml:space="preserve">consideration </w:t>
      </w:r>
      <w:r>
        <w:t xml:space="preserve">had </w:t>
      </w:r>
      <w:r w:rsidRPr="00797DDF">
        <w:t xml:space="preserve">been given to </w:t>
      </w:r>
      <w:r>
        <w:t xml:space="preserve">a limited </w:t>
      </w:r>
      <w:r w:rsidRPr="00797DDF">
        <w:t xml:space="preserve">delay </w:t>
      </w:r>
      <w:r>
        <w:t xml:space="preserve">so that the </w:t>
      </w:r>
      <w:r w:rsidRPr="00797DDF">
        <w:t>enterprises</w:t>
      </w:r>
      <w:r>
        <w:t xml:space="preserve"> could</w:t>
      </w:r>
      <w:bookmarkStart w:id="1" w:name="_Hlk71711737"/>
      <w:r w:rsidRPr="00797DDF">
        <w:t xml:space="preserve"> convert to low-GWP alternatives </w:t>
      </w:r>
      <w:bookmarkEnd w:id="1"/>
      <w:r w:rsidRPr="00797DDF">
        <w:t xml:space="preserve">and </w:t>
      </w:r>
      <w:r>
        <w:t>r</w:t>
      </w:r>
      <w:r w:rsidRPr="00797DDF">
        <w:t>eceive funding under the HPMP.</w:t>
      </w:r>
      <w:r>
        <w:t xml:space="preserve"> </w:t>
      </w:r>
      <w:r w:rsidRPr="00364991">
        <w:rPr>
          <w:lang w:val="en-CA"/>
        </w:rPr>
        <w:t xml:space="preserve">UNDP </w:t>
      </w:r>
      <w:r>
        <w:rPr>
          <w:lang w:val="en-CA"/>
        </w:rPr>
        <w:t xml:space="preserve">considered that </w:t>
      </w:r>
      <w:r w:rsidRPr="00364991">
        <w:rPr>
          <w:lang w:val="en-CA"/>
        </w:rPr>
        <w:t>the barriers for the conversion</w:t>
      </w:r>
      <w:r>
        <w:rPr>
          <w:lang w:val="en-CA"/>
        </w:rPr>
        <w:t xml:space="preserve"> of these enterprises were likely to persist in the near-term. Moreover, an eligible enterprise that was ready to convert to a low-GWP alternative had been identified and wished to participate in the HPMP. Accordingly, the Government wished to reallocate the savings associated with the withdrawal of the 15 enterprises for the conversion of </w:t>
      </w:r>
      <w:proofErr w:type="spellStart"/>
      <w:r>
        <w:rPr>
          <w:lang w:val="en-CA"/>
        </w:rPr>
        <w:t>Thermofoam</w:t>
      </w:r>
      <w:proofErr w:type="spellEnd"/>
      <w:r>
        <w:rPr>
          <w:lang w:val="en-CA"/>
        </w:rPr>
        <w:t xml:space="preserve"> Marketing </w:t>
      </w:r>
      <w:proofErr w:type="spellStart"/>
      <w:r>
        <w:rPr>
          <w:lang w:val="en-CA"/>
        </w:rPr>
        <w:t>Sdn</w:t>
      </w:r>
      <w:proofErr w:type="spellEnd"/>
      <w:r>
        <w:rPr>
          <w:lang w:val="en-CA"/>
        </w:rPr>
        <w:t xml:space="preserve"> </w:t>
      </w:r>
      <w:proofErr w:type="spellStart"/>
      <w:r>
        <w:rPr>
          <w:lang w:val="en-CA"/>
        </w:rPr>
        <w:t>Bhd</w:t>
      </w:r>
      <w:proofErr w:type="spellEnd"/>
      <w:r>
        <w:rPr>
          <w:lang w:val="en-CA"/>
        </w:rPr>
        <w:t>, and confirmed its understanding that those 15 enterprises would not be eligible for further funding fr</w:t>
      </w:r>
      <w:r w:rsidR="006538A6">
        <w:rPr>
          <w:lang w:val="en-CA"/>
        </w:rPr>
        <w:t>om the Multilateral Fund for the phase</w:t>
      </w:r>
      <w:r w:rsidR="006538A6">
        <w:rPr>
          <w:lang w:val="en-CA"/>
        </w:rPr>
        <w:noBreakHyphen/>
      </w:r>
      <w:r>
        <w:rPr>
          <w:lang w:val="en-CA"/>
        </w:rPr>
        <w:t xml:space="preserve">down of HFCs. </w:t>
      </w:r>
    </w:p>
    <w:p w14:paraId="31572F36" w14:textId="77777777" w:rsidR="009C7B62" w:rsidRPr="00797DDF" w:rsidRDefault="009C7B62" w:rsidP="009C7B62">
      <w:pPr>
        <w:pStyle w:val="Heading1"/>
        <w:rPr>
          <w:lang w:val="en-CA"/>
        </w:rPr>
      </w:pPr>
      <w:r>
        <w:rPr>
          <w:lang w:val="en-CA"/>
        </w:rPr>
        <w:t xml:space="preserve">UNDP </w:t>
      </w:r>
      <w:r w:rsidRPr="00797DDF">
        <w:rPr>
          <w:lang w:val="en-CA"/>
        </w:rPr>
        <w:t xml:space="preserve">confirmed </w:t>
      </w:r>
      <w:r>
        <w:rPr>
          <w:lang w:val="en-CA"/>
        </w:rPr>
        <w:t xml:space="preserve">that </w:t>
      </w:r>
      <w:proofErr w:type="spellStart"/>
      <w:r w:rsidRPr="00797DDF">
        <w:rPr>
          <w:lang w:val="en-CA"/>
        </w:rPr>
        <w:t>Thermofoam</w:t>
      </w:r>
      <w:proofErr w:type="spellEnd"/>
      <w:r w:rsidRPr="00797DDF">
        <w:rPr>
          <w:lang w:val="en-CA"/>
        </w:rPr>
        <w:t xml:space="preserve"> Marketing </w:t>
      </w:r>
      <w:proofErr w:type="spellStart"/>
      <w:r w:rsidRPr="00797DDF">
        <w:rPr>
          <w:lang w:val="en-CA"/>
        </w:rPr>
        <w:t>Sdn</w:t>
      </w:r>
      <w:proofErr w:type="spellEnd"/>
      <w:r w:rsidRPr="00797DDF">
        <w:rPr>
          <w:lang w:val="en-CA"/>
        </w:rPr>
        <w:t xml:space="preserve"> </w:t>
      </w:r>
      <w:proofErr w:type="spellStart"/>
      <w:r w:rsidRPr="00797DDF">
        <w:rPr>
          <w:lang w:val="en-CA"/>
        </w:rPr>
        <w:t>Bhd</w:t>
      </w:r>
      <w:proofErr w:type="spellEnd"/>
      <w:r w:rsidRPr="00797DDF">
        <w:rPr>
          <w:lang w:val="en-CA"/>
        </w:rPr>
        <w:t xml:space="preserve"> is </w:t>
      </w:r>
      <w:r>
        <w:rPr>
          <w:lang w:val="en-CA"/>
        </w:rPr>
        <w:t>fully</w:t>
      </w:r>
      <w:r w:rsidRPr="00797DDF">
        <w:rPr>
          <w:lang w:val="en-CA"/>
        </w:rPr>
        <w:t xml:space="preserve"> locally owned and consumed HCFC-141b prior to </w:t>
      </w:r>
      <w:r>
        <w:rPr>
          <w:lang w:val="en-CA"/>
        </w:rPr>
        <w:t xml:space="preserve">the eligibility cut-off date of </w:t>
      </w:r>
      <w:r w:rsidRPr="00797DDF">
        <w:rPr>
          <w:lang w:val="en-CA"/>
        </w:rPr>
        <w:t>21 September 200</w:t>
      </w:r>
      <w:r>
        <w:rPr>
          <w:lang w:val="en-CA"/>
        </w:rPr>
        <w:t xml:space="preserve">7. Accordingly, the </w:t>
      </w:r>
      <w:r w:rsidRPr="001F6E5D">
        <w:rPr>
          <w:lang w:val="en-CA"/>
        </w:rPr>
        <w:t xml:space="preserve">Secretariat undertook a detailed assessment of the eligible incremental costs to convert the </w:t>
      </w:r>
      <w:r>
        <w:rPr>
          <w:lang w:val="en-CA"/>
        </w:rPr>
        <w:t xml:space="preserve">enterprise. Consistent with the costs agreed for the other </w:t>
      </w:r>
      <w:r w:rsidR="002F02D2">
        <w:rPr>
          <w:lang w:val="en-CA"/>
        </w:rPr>
        <w:t>10</w:t>
      </w:r>
      <w:r>
        <w:rPr>
          <w:lang w:val="en-CA"/>
        </w:rPr>
        <w:t xml:space="preserve"> PU foam manufacturing enterprises with 2015 consumption above 20</w:t>
      </w:r>
      <w:r w:rsidRPr="00B62A97">
        <w:rPr>
          <w:lang w:val="en-CA"/>
        </w:rPr>
        <w:t> </w:t>
      </w:r>
      <w:r>
        <w:rPr>
          <w:lang w:val="en-CA"/>
        </w:rPr>
        <w:t xml:space="preserve">mt that had converted to </w:t>
      </w:r>
      <w:r w:rsidRPr="008235E5">
        <w:rPr>
          <w:lang w:val="en-CA"/>
        </w:rPr>
        <w:t xml:space="preserve">cyclopentane pure </w:t>
      </w:r>
      <w:r>
        <w:rPr>
          <w:lang w:val="en-CA"/>
        </w:rPr>
        <w:t xml:space="preserve">or </w:t>
      </w:r>
      <w:r w:rsidRPr="008235E5">
        <w:rPr>
          <w:lang w:val="en-CA"/>
        </w:rPr>
        <w:t>pre-blended, the enterprise would be eligible for up to US</w:t>
      </w:r>
      <w:r>
        <w:rPr>
          <w:lang w:val="en-CA"/>
        </w:rPr>
        <w:t> </w:t>
      </w:r>
      <w:r w:rsidRPr="008235E5">
        <w:rPr>
          <w:lang w:val="en-CA"/>
        </w:rPr>
        <w:t xml:space="preserve">$205,818. </w:t>
      </w:r>
      <w:r>
        <w:rPr>
          <w:lang w:val="en-CA"/>
        </w:rPr>
        <w:t xml:space="preserve">The Secretariat therefore recommended reallocating the </w:t>
      </w:r>
      <w:r>
        <w:rPr>
          <w:bCs/>
          <w:lang w:val="en-CA"/>
        </w:rPr>
        <w:t xml:space="preserve">US $169,281 from the withdrawal of the 15 SMEs included in Table </w:t>
      </w:r>
      <w:r w:rsidR="007C20AE">
        <w:rPr>
          <w:bCs/>
          <w:lang w:val="en-CA"/>
        </w:rPr>
        <w:t>6</w:t>
      </w:r>
      <w:r>
        <w:rPr>
          <w:bCs/>
          <w:lang w:val="en-CA"/>
        </w:rPr>
        <w:t xml:space="preserve"> to the conversion of </w:t>
      </w:r>
      <w:proofErr w:type="spellStart"/>
      <w:r w:rsidRPr="00797DDF">
        <w:rPr>
          <w:lang w:val="en-CA"/>
        </w:rPr>
        <w:t>Thermofoam</w:t>
      </w:r>
      <w:proofErr w:type="spellEnd"/>
      <w:r w:rsidRPr="00797DDF">
        <w:rPr>
          <w:lang w:val="en-CA"/>
        </w:rPr>
        <w:t xml:space="preserve"> Marketing </w:t>
      </w:r>
      <w:proofErr w:type="spellStart"/>
      <w:r w:rsidRPr="00797DDF">
        <w:rPr>
          <w:lang w:val="en-CA"/>
        </w:rPr>
        <w:t>Sdn</w:t>
      </w:r>
      <w:proofErr w:type="spellEnd"/>
      <w:r w:rsidRPr="00797DDF">
        <w:rPr>
          <w:lang w:val="en-CA"/>
        </w:rPr>
        <w:t xml:space="preserve"> </w:t>
      </w:r>
      <w:proofErr w:type="spellStart"/>
      <w:r w:rsidRPr="00797DDF">
        <w:rPr>
          <w:lang w:val="en-CA"/>
        </w:rPr>
        <w:t>Bhd</w:t>
      </w:r>
      <w:proofErr w:type="spellEnd"/>
      <w:r w:rsidRPr="008235E5">
        <w:rPr>
          <w:lang w:val="en-CA"/>
        </w:rPr>
        <w:t xml:space="preserve"> to pre-blended cyclopentane. </w:t>
      </w:r>
      <w:r w:rsidRPr="00C05279">
        <w:rPr>
          <w:lang w:val="en-CA"/>
        </w:rPr>
        <w:t>UNDP confirmed that the enterprise would co-finance</w:t>
      </w:r>
      <w:r>
        <w:rPr>
          <w:lang w:val="en-CA"/>
        </w:rPr>
        <w:t xml:space="preserve"> the US $36,537 (i.e., </w:t>
      </w:r>
      <w:r w:rsidRPr="008235E5">
        <w:rPr>
          <w:lang w:val="en-CA"/>
        </w:rPr>
        <w:t>US</w:t>
      </w:r>
      <w:r>
        <w:rPr>
          <w:lang w:val="en-CA"/>
        </w:rPr>
        <w:t> </w:t>
      </w:r>
      <w:r w:rsidRPr="008235E5">
        <w:rPr>
          <w:lang w:val="en-CA"/>
        </w:rPr>
        <w:t>$205,818</w:t>
      </w:r>
      <w:r>
        <w:rPr>
          <w:lang w:val="en-CA"/>
        </w:rPr>
        <w:t xml:space="preserve"> less </w:t>
      </w:r>
      <w:r>
        <w:rPr>
          <w:bCs/>
          <w:lang w:val="en-CA"/>
        </w:rPr>
        <w:t xml:space="preserve">US $169,281) </w:t>
      </w:r>
      <w:r>
        <w:rPr>
          <w:lang w:val="en-CA"/>
        </w:rPr>
        <w:t xml:space="preserve">that it would have been eligible to receive plus </w:t>
      </w:r>
      <w:r w:rsidRPr="00C05279">
        <w:rPr>
          <w:lang w:val="en-CA"/>
        </w:rPr>
        <w:t>any additional cost</w:t>
      </w:r>
      <w:r>
        <w:rPr>
          <w:lang w:val="en-CA"/>
        </w:rPr>
        <w:t>s</w:t>
      </w:r>
      <w:r w:rsidRPr="00C05279">
        <w:rPr>
          <w:lang w:val="en-CA"/>
        </w:rPr>
        <w:t xml:space="preserve"> associated with the conversion.</w:t>
      </w:r>
      <w:r>
        <w:rPr>
          <w:lang w:val="en-CA"/>
        </w:rPr>
        <w:t xml:space="preserve"> </w:t>
      </w:r>
    </w:p>
    <w:p w14:paraId="78BAF0F9" w14:textId="77777777" w:rsidR="009C7B62" w:rsidRPr="00234A52" w:rsidRDefault="009C7B62" w:rsidP="009C7B62">
      <w:pPr>
        <w:widowControl w:val="0"/>
        <w:spacing w:after="240"/>
        <w:rPr>
          <w:b/>
          <w:lang w:val="en-CA"/>
        </w:rPr>
      </w:pPr>
      <w:r w:rsidRPr="00234A52">
        <w:rPr>
          <w:b/>
          <w:lang w:val="en-CA"/>
        </w:rPr>
        <w:t>Recommendation</w:t>
      </w:r>
    </w:p>
    <w:p w14:paraId="36BB6FCD" w14:textId="77777777" w:rsidR="009C7B62" w:rsidRPr="00234A52" w:rsidRDefault="009C7B62" w:rsidP="009C7B62">
      <w:pPr>
        <w:widowControl w:val="0"/>
        <w:numPr>
          <w:ilvl w:val="0"/>
          <w:numId w:val="1"/>
        </w:numPr>
        <w:spacing w:after="240"/>
        <w:outlineLvl w:val="0"/>
        <w:rPr>
          <w:lang w:val="en-CA"/>
        </w:rPr>
      </w:pPr>
      <w:r w:rsidRPr="00234A52">
        <w:rPr>
          <w:lang w:val="en-CA"/>
        </w:rPr>
        <w:t>The Executive Committee may wish:</w:t>
      </w:r>
    </w:p>
    <w:p w14:paraId="4FBCE250" w14:textId="77777777" w:rsidR="009C7B62" w:rsidRDefault="009C7B62" w:rsidP="009C7B62">
      <w:pPr>
        <w:pStyle w:val="Heading2"/>
        <w:rPr>
          <w:lang w:val="en-CA"/>
        </w:rPr>
      </w:pPr>
      <w:r w:rsidRPr="00234A52">
        <w:rPr>
          <w:lang w:val="en-CA"/>
        </w:rPr>
        <w:t>To note the request</w:t>
      </w:r>
      <w:r>
        <w:rPr>
          <w:lang w:val="en-CA"/>
        </w:rPr>
        <w:t>s</w:t>
      </w:r>
      <w:r w:rsidRPr="00234A52">
        <w:rPr>
          <w:lang w:val="en-CA"/>
        </w:rPr>
        <w:t xml:space="preserve"> submitted by UNDP on behalf of the Government of Malaysia</w:t>
      </w:r>
      <w:r>
        <w:rPr>
          <w:lang w:val="en-CA"/>
        </w:rPr>
        <w:t xml:space="preserve"> for the </w:t>
      </w:r>
      <w:r w:rsidRPr="002D185F">
        <w:rPr>
          <w:lang w:val="en-CA"/>
        </w:rPr>
        <w:t xml:space="preserve">change in technology at nine </w:t>
      </w:r>
      <w:r>
        <w:rPr>
          <w:lang w:val="en-CA"/>
        </w:rPr>
        <w:t xml:space="preserve">foam </w:t>
      </w:r>
      <w:r w:rsidRPr="002D185F">
        <w:rPr>
          <w:lang w:val="en-CA"/>
        </w:rPr>
        <w:t xml:space="preserve">enterprises </w:t>
      </w:r>
      <w:r>
        <w:rPr>
          <w:lang w:val="en-CA"/>
        </w:rPr>
        <w:t xml:space="preserve">included in </w:t>
      </w:r>
      <w:r w:rsidRPr="00B62A97">
        <w:rPr>
          <w:lang w:val="en-CA"/>
        </w:rPr>
        <w:t>stage II of the HCFC phase-out management plan (HPMP)</w:t>
      </w:r>
      <w:r>
        <w:rPr>
          <w:lang w:val="en-CA"/>
        </w:rPr>
        <w:t xml:space="preserve"> </w:t>
      </w:r>
      <w:r w:rsidRPr="002D185F">
        <w:rPr>
          <w:lang w:val="en-CA"/>
        </w:rPr>
        <w:t xml:space="preserve">and </w:t>
      </w:r>
      <w:r>
        <w:rPr>
          <w:lang w:val="en-CA"/>
        </w:rPr>
        <w:t xml:space="preserve">the conversion of an additional foam enterprise that had not been included in stage II, and </w:t>
      </w:r>
      <w:r w:rsidRPr="00234A52">
        <w:rPr>
          <w:lang w:val="en-CA"/>
        </w:rPr>
        <w:t>contained in document UNEP/OzL.Pro/ExCom/</w:t>
      </w:r>
      <w:r>
        <w:rPr>
          <w:lang w:val="en-CA"/>
        </w:rPr>
        <w:t>87</w:t>
      </w:r>
      <w:r w:rsidRPr="00234A52">
        <w:rPr>
          <w:lang w:val="en-CA"/>
        </w:rPr>
        <w:t>/</w:t>
      </w:r>
      <w:r w:rsidR="00FF033E">
        <w:rPr>
          <w:lang w:val="en-CA"/>
        </w:rPr>
        <w:t>9</w:t>
      </w:r>
      <w:r>
        <w:rPr>
          <w:lang w:val="en-CA"/>
        </w:rPr>
        <w:t>;</w:t>
      </w:r>
    </w:p>
    <w:p w14:paraId="1C4304E9" w14:textId="77777777" w:rsidR="009C7B62" w:rsidRPr="002D185F" w:rsidRDefault="009C7B62" w:rsidP="009C7B62">
      <w:pPr>
        <w:pStyle w:val="Heading2"/>
        <w:rPr>
          <w:lang w:val="en-CA"/>
        </w:rPr>
      </w:pPr>
      <w:r>
        <w:rPr>
          <w:lang w:val="en-CA"/>
        </w:rPr>
        <w:t>To further note:</w:t>
      </w:r>
    </w:p>
    <w:p w14:paraId="52201D0F" w14:textId="77777777" w:rsidR="009C7B62" w:rsidRDefault="009C7B62" w:rsidP="009C7B62">
      <w:pPr>
        <w:pStyle w:val="Heading3"/>
        <w:rPr>
          <w:lang w:val="en-CA"/>
        </w:rPr>
      </w:pPr>
      <w:r>
        <w:rPr>
          <w:lang w:val="en-CA"/>
        </w:rPr>
        <w:t>T</w:t>
      </w:r>
      <w:r w:rsidRPr="00B62A97">
        <w:rPr>
          <w:lang w:val="en-CA"/>
        </w:rPr>
        <w:t xml:space="preserve">he change in technology </w:t>
      </w:r>
      <w:r>
        <w:rPr>
          <w:lang w:val="en-CA"/>
        </w:rPr>
        <w:t>of</w:t>
      </w:r>
      <w:r w:rsidRPr="00B62A97">
        <w:rPr>
          <w:lang w:val="en-CA"/>
        </w:rPr>
        <w:t xml:space="preserve"> </w:t>
      </w:r>
      <w:r w:rsidRPr="00076C42">
        <w:rPr>
          <w:lang w:val="en-CA"/>
        </w:rPr>
        <w:t>four enterprises to pre-blended cyclopentane and five enterprises to methylal</w:t>
      </w:r>
      <w:r>
        <w:rPr>
          <w:lang w:val="en-CA"/>
        </w:rPr>
        <w:t xml:space="preserve">, </w:t>
      </w:r>
      <w:r w:rsidRPr="00B62A97">
        <w:rPr>
          <w:lang w:val="en-CA"/>
        </w:rPr>
        <w:t>from hydrofluoroolefins (HFOs) in the context of stage II of the HPMP;</w:t>
      </w:r>
    </w:p>
    <w:p w14:paraId="3507AE0E" w14:textId="77777777" w:rsidR="009C7B62" w:rsidRDefault="009C7B62" w:rsidP="009C7B62">
      <w:pPr>
        <w:pStyle w:val="Heading3"/>
        <w:rPr>
          <w:lang w:val="en-CA"/>
        </w:rPr>
      </w:pPr>
      <w:r>
        <w:rPr>
          <w:lang w:val="en-CA"/>
        </w:rPr>
        <w:t>The</w:t>
      </w:r>
      <w:r w:rsidRPr="00B62A97">
        <w:rPr>
          <w:lang w:val="en-CA"/>
        </w:rPr>
        <w:t xml:space="preserve"> withdraw</w:t>
      </w:r>
      <w:r>
        <w:rPr>
          <w:lang w:val="en-CA"/>
        </w:rPr>
        <w:t>al of</w:t>
      </w:r>
      <w:r w:rsidRPr="00B62A97">
        <w:rPr>
          <w:lang w:val="en-CA"/>
        </w:rPr>
        <w:t xml:space="preserve"> 15 small-sized foam enterprises from stage II of the HPMP;</w:t>
      </w:r>
      <w:r>
        <w:rPr>
          <w:lang w:val="en-CA"/>
        </w:rPr>
        <w:t xml:space="preserve"> </w:t>
      </w:r>
    </w:p>
    <w:p w14:paraId="02AD0E41" w14:textId="77777777" w:rsidR="009C7B62" w:rsidRDefault="009C7B62" w:rsidP="009C7B62">
      <w:pPr>
        <w:pStyle w:val="Heading3"/>
        <w:rPr>
          <w:lang w:val="en-CA"/>
        </w:rPr>
      </w:pPr>
      <w:r>
        <w:rPr>
          <w:lang w:val="en-CA"/>
        </w:rPr>
        <w:t>The r</w:t>
      </w:r>
      <w:r w:rsidRPr="00B62A97">
        <w:rPr>
          <w:lang w:val="en-CA"/>
        </w:rPr>
        <w:t>eallocati</w:t>
      </w:r>
      <w:r>
        <w:rPr>
          <w:lang w:val="en-CA"/>
        </w:rPr>
        <w:t>on of</w:t>
      </w:r>
      <w:r w:rsidRPr="00B62A97">
        <w:rPr>
          <w:lang w:val="en-CA"/>
        </w:rPr>
        <w:t xml:space="preserve"> US</w:t>
      </w:r>
      <w:r>
        <w:rPr>
          <w:lang w:val="en-CA"/>
        </w:rPr>
        <w:t> </w:t>
      </w:r>
      <w:r w:rsidRPr="00B62A97">
        <w:rPr>
          <w:lang w:val="en-CA"/>
        </w:rPr>
        <w:t>$169,</w:t>
      </w:r>
      <w:r>
        <w:rPr>
          <w:lang w:val="en-CA"/>
        </w:rPr>
        <w:t>281</w:t>
      </w:r>
      <w:r w:rsidRPr="00B62A97">
        <w:rPr>
          <w:lang w:val="en-CA"/>
        </w:rPr>
        <w:t xml:space="preserve"> of savings from the withdraw</w:t>
      </w:r>
      <w:r>
        <w:rPr>
          <w:lang w:val="en-CA"/>
        </w:rPr>
        <w:t>al of the</w:t>
      </w:r>
      <w:r w:rsidRPr="00B62A97">
        <w:rPr>
          <w:lang w:val="en-CA"/>
        </w:rPr>
        <w:t xml:space="preserve"> </w:t>
      </w:r>
      <w:r>
        <w:rPr>
          <w:lang w:val="en-CA"/>
        </w:rPr>
        <w:t>15 </w:t>
      </w:r>
      <w:r w:rsidRPr="00B62A97">
        <w:rPr>
          <w:lang w:val="en-CA"/>
        </w:rPr>
        <w:t xml:space="preserve">enterprises </w:t>
      </w:r>
      <w:r>
        <w:rPr>
          <w:lang w:val="en-CA"/>
        </w:rPr>
        <w:t xml:space="preserve">referred to in sub-paragraph (b)(ii) above </w:t>
      </w:r>
      <w:r w:rsidRPr="00B62A97">
        <w:rPr>
          <w:lang w:val="en-CA"/>
        </w:rPr>
        <w:t xml:space="preserve">to the conversion of </w:t>
      </w:r>
      <w:proofErr w:type="spellStart"/>
      <w:r w:rsidRPr="00797DDF">
        <w:rPr>
          <w:lang w:val="en-CA"/>
        </w:rPr>
        <w:t>Thermofoam</w:t>
      </w:r>
      <w:proofErr w:type="spellEnd"/>
      <w:r w:rsidRPr="00797DDF">
        <w:rPr>
          <w:lang w:val="en-CA"/>
        </w:rPr>
        <w:t xml:space="preserve"> Marketing </w:t>
      </w:r>
      <w:proofErr w:type="spellStart"/>
      <w:r w:rsidRPr="00797DDF">
        <w:rPr>
          <w:lang w:val="en-CA"/>
        </w:rPr>
        <w:t>Sdn</w:t>
      </w:r>
      <w:proofErr w:type="spellEnd"/>
      <w:r w:rsidRPr="00797DDF">
        <w:rPr>
          <w:lang w:val="en-CA"/>
        </w:rPr>
        <w:t xml:space="preserve"> </w:t>
      </w:r>
      <w:proofErr w:type="spellStart"/>
      <w:r w:rsidRPr="00797DDF">
        <w:rPr>
          <w:lang w:val="en-CA"/>
        </w:rPr>
        <w:t>Bhd</w:t>
      </w:r>
      <w:proofErr w:type="spellEnd"/>
      <w:r>
        <w:rPr>
          <w:lang w:val="en-CA"/>
        </w:rPr>
        <w:t xml:space="preserve"> to pre-blended cyclopentane</w:t>
      </w:r>
      <w:r w:rsidRPr="00B62A97">
        <w:rPr>
          <w:lang w:val="en-CA"/>
        </w:rPr>
        <w:t xml:space="preserve">; </w:t>
      </w:r>
    </w:p>
    <w:p w14:paraId="44088BCF" w14:textId="77777777" w:rsidR="009C7B62" w:rsidRPr="00AC39E5" w:rsidRDefault="009C7B62" w:rsidP="009C7B62">
      <w:pPr>
        <w:pStyle w:val="Heading3"/>
        <w:rPr>
          <w:lang w:val="en-CA"/>
        </w:rPr>
      </w:pPr>
      <w:r>
        <w:rPr>
          <w:lang w:val="en-CA"/>
        </w:rPr>
        <w:t xml:space="preserve">That </w:t>
      </w:r>
      <w:r w:rsidRPr="00AC39E5">
        <w:rPr>
          <w:lang w:val="en-CA"/>
        </w:rPr>
        <w:t xml:space="preserve">UNDP would provide an update on the status of the </w:t>
      </w:r>
      <w:r w:rsidRPr="00234A52">
        <w:rPr>
          <w:lang w:val="en-CA"/>
        </w:rPr>
        <w:t xml:space="preserve">polyurethane </w:t>
      </w:r>
      <w:r w:rsidRPr="00AC39E5">
        <w:rPr>
          <w:lang w:val="en-CA"/>
        </w:rPr>
        <w:t>foam manufacturing conversions to the 88</w:t>
      </w:r>
      <w:r w:rsidRPr="00AC39E5">
        <w:rPr>
          <w:vertAlign w:val="superscript"/>
          <w:lang w:val="en-CA"/>
        </w:rPr>
        <w:t>th</w:t>
      </w:r>
      <w:r>
        <w:rPr>
          <w:lang w:val="en-CA"/>
        </w:rPr>
        <w:t xml:space="preserve"> </w:t>
      </w:r>
      <w:r w:rsidRPr="00AC39E5">
        <w:rPr>
          <w:lang w:val="en-CA"/>
        </w:rPr>
        <w:t>meeting as part of the request for the third tranche of stage II of the HPMP</w:t>
      </w:r>
      <w:r>
        <w:rPr>
          <w:lang w:val="en-CA"/>
        </w:rPr>
        <w:t xml:space="preserve">; </w:t>
      </w:r>
    </w:p>
    <w:p w14:paraId="16E866E3" w14:textId="77777777" w:rsidR="009C7B62" w:rsidRDefault="009C7B62" w:rsidP="009C7B62">
      <w:pPr>
        <w:keepNext/>
        <w:keepLines/>
        <w:widowControl w:val="0"/>
        <w:numPr>
          <w:ilvl w:val="1"/>
          <w:numId w:val="1"/>
        </w:numPr>
        <w:spacing w:after="240"/>
        <w:outlineLvl w:val="1"/>
        <w:rPr>
          <w:lang w:val="en-CA"/>
        </w:rPr>
      </w:pPr>
      <w:r w:rsidRPr="00234A52">
        <w:rPr>
          <w:lang w:val="en-CA"/>
        </w:rPr>
        <w:t>To approve</w:t>
      </w:r>
      <w:r>
        <w:rPr>
          <w:lang w:val="en-CA"/>
        </w:rPr>
        <w:t>:</w:t>
      </w:r>
    </w:p>
    <w:p w14:paraId="6CBFBF0B" w14:textId="77777777" w:rsidR="009C7B62" w:rsidRPr="00234A52" w:rsidRDefault="009C7B62" w:rsidP="009C7B62">
      <w:pPr>
        <w:pStyle w:val="Heading3"/>
        <w:rPr>
          <w:lang w:val="en-CA"/>
        </w:rPr>
      </w:pPr>
      <w:r>
        <w:rPr>
          <w:lang w:val="en-CA"/>
        </w:rPr>
        <w:t>T</w:t>
      </w:r>
      <w:r w:rsidRPr="00234A52">
        <w:rPr>
          <w:lang w:val="en-CA"/>
        </w:rPr>
        <w:t xml:space="preserve">he change in technology </w:t>
      </w:r>
      <w:r>
        <w:rPr>
          <w:lang w:val="en-CA"/>
        </w:rPr>
        <w:t>of</w:t>
      </w:r>
      <w:r w:rsidRPr="00234A52">
        <w:rPr>
          <w:lang w:val="en-CA"/>
        </w:rPr>
        <w:t xml:space="preserve"> </w:t>
      </w:r>
      <w:r w:rsidRPr="00076C42">
        <w:rPr>
          <w:lang w:val="en-CA"/>
        </w:rPr>
        <w:t>four enterprises to pre-blended cyclopentane and five enterprises to methylal</w:t>
      </w:r>
      <w:r>
        <w:rPr>
          <w:lang w:val="en-CA"/>
        </w:rPr>
        <w:t xml:space="preserve">, from HFOs </w:t>
      </w:r>
      <w:r w:rsidRPr="00234A52">
        <w:rPr>
          <w:lang w:val="en-CA"/>
        </w:rPr>
        <w:t>on the understanding that any additional costs would be covered by the enterprises</w:t>
      </w:r>
      <w:r>
        <w:rPr>
          <w:lang w:val="en-CA"/>
        </w:rPr>
        <w:t xml:space="preserve"> and that the date of completion of the conversion of the enterprise would not be delayed due to the change of technology; </w:t>
      </w:r>
      <w:r>
        <w:rPr>
          <w:lang w:val="en-CA"/>
        </w:rPr>
        <w:lastRenderedPageBreak/>
        <w:t>and</w:t>
      </w:r>
    </w:p>
    <w:p w14:paraId="13110C20" w14:textId="77777777" w:rsidR="009C7B62" w:rsidRDefault="009C7B62" w:rsidP="009C7B62">
      <w:pPr>
        <w:pStyle w:val="Heading3"/>
      </w:pPr>
      <w:r>
        <w:rPr>
          <w:lang w:val="en-CA"/>
        </w:rPr>
        <w:t>The reallocation of US </w:t>
      </w:r>
      <w:r w:rsidRPr="00150372">
        <w:rPr>
          <w:lang w:val="en-CA"/>
        </w:rPr>
        <w:t>$169,</w:t>
      </w:r>
      <w:r>
        <w:rPr>
          <w:lang w:val="en-CA"/>
        </w:rPr>
        <w:t>281</w:t>
      </w:r>
      <w:r w:rsidRPr="00150372">
        <w:rPr>
          <w:lang w:val="en-CA"/>
        </w:rPr>
        <w:t xml:space="preserve"> </w:t>
      </w:r>
      <w:r>
        <w:rPr>
          <w:lang w:val="en-CA"/>
        </w:rPr>
        <w:t>of savings from</w:t>
      </w:r>
      <w:r w:rsidRPr="00150372">
        <w:rPr>
          <w:lang w:val="en-CA"/>
        </w:rPr>
        <w:t xml:space="preserve"> </w:t>
      </w:r>
      <w:r>
        <w:rPr>
          <w:lang w:val="en-CA"/>
        </w:rPr>
        <w:t xml:space="preserve">the withdrawal of the 15 enterprises referred to in sub-paragraph (b)(ii) above to </w:t>
      </w:r>
      <w:r w:rsidRPr="00150372">
        <w:rPr>
          <w:lang w:val="en-CA"/>
        </w:rPr>
        <w:t xml:space="preserve">the conversion of </w:t>
      </w:r>
      <w:proofErr w:type="spellStart"/>
      <w:r w:rsidRPr="00150372">
        <w:rPr>
          <w:bCs/>
          <w:lang w:val="en-CA"/>
        </w:rPr>
        <w:t>Thermofoam</w:t>
      </w:r>
      <w:proofErr w:type="spellEnd"/>
      <w:r w:rsidRPr="00150372">
        <w:rPr>
          <w:bCs/>
          <w:lang w:val="en-CA"/>
        </w:rPr>
        <w:t xml:space="preserve"> Marketing </w:t>
      </w:r>
      <w:proofErr w:type="spellStart"/>
      <w:r w:rsidRPr="00150372">
        <w:rPr>
          <w:bCs/>
          <w:lang w:val="en-CA"/>
        </w:rPr>
        <w:t>Sdn</w:t>
      </w:r>
      <w:proofErr w:type="spellEnd"/>
      <w:r w:rsidRPr="00150372">
        <w:rPr>
          <w:bCs/>
          <w:lang w:val="en-CA"/>
        </w:rPr>
        <w:t xml:space="preserve"> </w:t>
      </w:r>
      <w:proofErr w:type="spellStart"/>
      <w:r w:rsidRPr="00150372">
        <w:rPr>
          <w:bCs/>
          <w:lang w:val="en-CA"/>
        </w:rPr>
        <w:t>Bhd</w:t>
      </w:r>
      <w:proofErr w:type="spellEnd"/>
      <w:r w:rsidRPr="00150372">
        <w:rPr>
          <w:bCs/>
          <w:lang w:val="en-CA"/>
        </w:rPr>
        <w:t xml:space="preserve"> to </w:t>
      </w:r>
      <w:r w:rsidRPr="00150372">
        <w:rPr>
          <w:lang w:val="en-CA"/>
        </w:rPr>
        <w:t>pre</w:t>
      </w:r>
      <w:r w:rsidRPr="00150372">
        <w:rPr>
          <w:lang w:val="en-CA"/>
        </w:rPr>
        <w:noBreakHyphen/>
        <w:t>blended cyclopentane</w:t>
      </w:r>
      <w:r>
        <w:rPr>
          <w:lang w:val="en-CA"/>
        </w:rPr>
        <w:t xml:space="preserve">, on the understanding that any additional </w:t>
      </w:r>
      <w:r w:rsidRPr="00150372">
        <w:rPr>
          <w:lang w:val="en-CA"/>
        </w:rPr>
        <w:t xml:space="preserve">costs </w:t>
      </w:r>
      <w:r>
        <w:rPr>
          <w:lang w:val="en-CA"/>
        </w:rPr>
        <w:t xml:space="preserve">for the conversion </w:t>
      </w:r>
      <w:r w:rsidRPr="00150372">
        <w:rPr>
          <w:lang w:val="en-CA"/>
        </w:rPr>
        <w:t>would be covered by the enterprise</w:t>
      </w:r>
      <w:r>
        <w:rPr>
          <w:lang w:val="en-CA"/>
        </w:rPr>
        <w:t xml:space="preserve"> and that the 15 enterprises referred to in sub-paragraph (b)(ii) above would not be </w:t>
      </w:r>
      <w:r w:rsidRPr="00686489">
        <w:rPr>
          <w:lang w:val="en-CA"/>
        </w:rPr>
        <w:t xml:space="preserve">eligible </w:t>
      </w:r>
      <w:r>
        <w:rPr>
          <w:lang w:val="en-CA"/>
        </w:rPr>
        <w:t xml:space="preserve">for future </w:t>
      </w:r>
      <w:r w:rsidRPr="00686489">
        <w:rPr>
          <w:lang w:val="en-CA"/>
        </w:rPr>
        <w:t>funding from the Multilateral Fund</w:t>
      </w:r>
      <w:r>
        <w:rPr>
          <w:lang w:val="en-CA"/>
        </w:rPr>
        <w:t xml:space="preserve"> to </w:t>
      </w:r>
      <w:r w:rsidRPr="00686489">
        <w:rPr>
          <w:lang w:val="en-CA"/>
        </w:rPr>
        <w:t>phase</w:t>
      </w:r>
      <w:r>
        <w:rPr>
          <w:lang w:val="en-CA"/>
        </w:rPr>
        <w:t xml:space="preserve"> </w:t>
      </w:r>
      <w:r w:rsidRPr="00686489">
        <w:rPr>
          <w:lang w:val="en-CA"/>
        </w:rPr>
        <w:t>down</w:t>
      </w:r>
      <w:r>
        <w:rPr>
          <w:lang w:val="en-CA"/>
        </w:rPr>
        <w:t xml:space="preserve"> HFCs</w:t>
      </w:r>
      <w:r w:rsidRPr="00150372">
        <w:rPr>
          <w:lang w:val="en-CA"/>
        </w:rPr>
        <w:t>.</w:t>
      </w:r>
    </w:p>
    <w:p w14:paraId="100AD64F" w14:textId="77777777" w:rsidR="009E4A04" w:rsidRPr="003A16D7" w:rsidRDefault="009E4A04" w:rsidP="009E4A04">
      <w:pPr>
        <w:keepNext/>
        <w:keepLines/>
        <w:spacing w:after="240"/>
      </w:pPr>
      <w:r w:rsidRPr="003A16D7">
        <w:rPr>
          <w:u w:val="single"/>
        </w:rPr>
        <w:t>Mexico: HCFC phase-out management plan (stage I - progress report)</w:t>
      </w:r>
      <w:r w:rsidRPr="003A16D7">
        <w:t xml:space="preserve"> (UNIDO and UNDP)</w:t>
      </w:r>
    </w:p>
    <w:p w14:paraId="0ACC4E66" w14:textId="77777777" w:rsidR="009E4A04" w:rsidRPr="009E4A04" w:rsidRDefault="009E4A04" w:rsidP="009E4A04">
      <w:pPr>
        <w:keepNext/>
        <w:keepLines/>
        <w:spacing w:after="240"/>
        <w:rPr>
          <w:b/>
        </w:rPr>
      </w:pPr>
      <w:r w:rsidRPr="003A16D7">
        <w:rPr>
          <w:b/>
        </w:rPr>
        <w:t>Background</w:t>
      </w:r>
    </w:p>
    <w:p w14:paraId="5AE84D49" w14:textId="77777777" w:rsidR="009E4A04" w:rsidRDefault="009E4A04" w:rsidP="009E4A04">
      <w:pPr>
        <w:pStyle w:val="Heading1"/>
      </w:pPr>
      <w:r w:rsidRPr="00101996">
        <w:t>At its 84</w:t>
      </w:r>
      <w:r w:rsidRPr="00101996">
        <w:rPr>
          <w:vertAlign w:val="superscript"/>
        </w:rPr>
        <w:t>th</w:t>
      </w:r>
      <w:r w:rsidRPr="00101996">
        <w:t xml:space="preserve"> meeting, the Executive Committee considered the last annual progress report on the implementation of the work programme associated with the fifth and final tranche of the HPMP for Mexico,</w:t>
      </w:r>
      <w:r w:rsidRPr="003A16D7">
        <w:rPr>
          <w:vertAlign w:val="superscript"/>
        </w:rPr>
        <w:footnoteReference w:id="27"/>
      </w:r>
      <w:r w:rsidRPr="00101996">
        <w:t xml:space="preserve"> in line with decision 75/29(a).</w:t>
      </w:r>
      <w:r w:rsidRPr="003A16D7">
        <w:rPr>
          <w:vertAlign w:val="superscript"/>
        </w:rPr>
        <w:footnoteReference w:id="28"/>
      </w:r>
      <w:r w:rsidRPr="00101996">
        <w:t xml:space="preserve"> </w:t>
      </w:r>
    </w:p>
    <w:p w14:paraId="1CE9C622" w14:textId="77777777" w:rsidR="009E4A04" w:rsidRPr="00143035" w:rsidRDefault="009E4A04" w:rsidP="009E4A04">
      <w:pPr>
        <w:pStyle w:val="Heading1"/>
      </w:pPr>
      <w:r w:rsidRPr="00101996">
        <w:t>The report indicated that</w:t>
      </w:r>
      <w:r>
        <w:t xml:space="preserve"> all investment activities had been completed, activities in the refrigeration servicing sector were about to be completed, the funds associated to one XPS foam enterprise (</w:t>
      </w:r>
      <w:proofErr w:type="spellStart"/>
      <w:r>
        <w:t>Plasticos</w:t>
      </w:r>
      <w:proofErr w:type="spellEnd"/>
      <w:r>
        <w:t xml:space="preserve"> </w:t>
      </w:r>
      <w:proofErr w:type="spellStart"/>
      <w:r>
        <w:t>Espumados</w:t>
      </w:r>
      <w:proofErr w:type="spellEnd"/>
      <w:r>
        <w:t xml:space="preserve">) that did not participate in the plan were going to be returned to the Fund, and that, </w:t>
      </w:r>
      <w:r w:rsidRPr="00101996">
        <w:t>in line with the Agreement between the Government and the Executive Committee</w:t>
      </w:r>
      <w:r>
        <w:t>,</w:t>
      </w:r>
      <w:r w:rsidRPr="00101996">
        <w:t xml:space="preserve"> stage</w:t>
      </w:r>
      <w:r>
        <w:t> </w:t>
      </w:r>
      <w:r w:rsidRPr="00101996">
        <w:t xml:space="preserve">I of the HPMP was going to be operationally completed by 31 December 2019, and the project completion report (PCR) </w:t>
      </w:r>
      <w:r>
        <w:t>wou</w:t>
      </w:r>
      <w:r w:rsidRPr="00101996">
        <w:t>ld be submitted no later than 30 June 2020</w:t>
      </w:r>
      <w:r>
        <w:t xml:space="preserve">, </w:t>
      </w:r>
      <w:r w:rsidRPr="00101996">
        <w:t>in line with decision 82/33(c)</w:t>
      </w:r>
      <w:r>
        <w:t>. A</w:t>
      </w:r>
      <w:r w:rsidRPr="00101996">
        <w:t>ccordingly, the Executive Committee</w:t>
      </w:r>
      <w:r>
        <w:t xml:space="preserve"> decided </w:t>
      </w:r>
      <w:r w:rsidRPr="00101996">
        <w:rPr>
          <w:i/>
        </w:rPr>
        <w:t>inter alia</w:t>
      </w:r>
      <w:r>
        <w:rPr>
          <w:i/>
        </w:rPr>
        <w:t xml:space="preserve"> </w:t>
      </w:r>
      <w:r w:rsidRPr="00143035">
        <w:t>to note:</w:t>
      </w:r>
    </w:p>
    <w:p w14:paraId="4F62CD4F" w14:textId="77777777" w:rsidR="009E4A04" w:rsidRPr="003A16D7" w:rsidRDefault="009E4A04" w:rsidP="009E4A04">
      <w:pPr>
        <w:widowControl w:val="0"/>
        <w:numPr>
          <w:ilvl w:val="1"/>
          <w:numId w:val="1"/>
        </w:numPr>
        <w:spacing w:after="240"/>
        <w:outlineLvl w:val="1"/>
      </w:pPr>
      <w:r w:rsidRPr="003A16D7">
        <w:t xml:space="preserve">That the enterprise </w:t>
      </w:r>
      <w:proofErr w:type="spellStart"/>
      <w:r w:rsidRPr="003A16D7">
        <w:t>Plasticos</w:t>
      </w:r>
      <w:proofErr w:type="spellEnd"/>
      <w:r w:rsidRPr="003A16D7">
        <w:t xml:space="preserve"> </w:t>
      </w:r>
      <w:proofErr w:type="spellStart"/>
      <w:r w:rsidRPr="003A16D7">
        <w:t>Espumados</w:t>
      </w:r>
      <w:proofErr w:type="spellEnd"/>
      <w:r w:rsidRPr="003A16D7">
        <w:t xml:space="preserve"> </w:t>
      </w:r>
      <w:r>
        <w:t>had</w:t>
      </w:r>
      <w:r w:rsidRPr="003A16D7">
        <w:t xml:space="preserve"> not participate</w:t>
      </w:r>
      <w:r>
        <w:t>d</w:t>
      </w:r>
      <w:r w:rsidRPr="003A16D7">
        <w:t xml:space="preserve"> in stage I of the HPMP and that the approved funds of </w:t>
      </w:r>
      <w:r>
        <w:t>US $</w:t>
      </w:r>
      <w:r w:rsidRPr="003A16D7">
        <w:t xml:space="preserve">683,300 </w:t>
      </w:r>
      <w:r>
        <w:t>would</w:t>
      </w:r>
      <w:r w:rsidRPr="003A16D7">
        <w:t xml:space="preserve"> be returned to the Fund at the 87</w:t>
      </w:r>
      <w:r w:rsidRPr="003A16D7">
        <w:rPr>
          <w:vertAlign w:val="superscript"/>
        </w:rPr>
        <w:t>th</w:t>
      </w:r>
      <w:r w:rsidRPr="003A16D7">
        <w:t> meeting upon financial completion of stage I of the HPMP;</w:t>
      </w:r>
    </w:p>
    <w:p w14:paraId="1C6B2A11" w14:textId="77777777" w:rsidR="009E4A04" w:rsidRPr="003A16D7" w:rsidRDefault="009E4A04" w:rsidP="009E4A04">
      <w:pPr>
        <w:widowControl w:val="0"/>
        <w:numPr>
          <w:ilvl w:val="1"/>
          <w:numId w:val="1"/>
        </w:numPr>
        <w:spacing w:after="240"/>
        <w:outlineLvl w:val="1"/>
      </w:pPr>
      <w:r>
        <w:t>The</w:t>
      </w:r>
      <w:r w:rsidRPr="003A16D7">
        <w:t xml:space="preserve"> balance of </w:t>
      </w:r>
      <w:r>
        <w:t>US $</w:t>
      </w:r>
      <w:r w:rsidRPr="003A16D7">
        <w:t>24</w:t>
      </w:r>
      <w:r>
        <w:t xml:space="preserve"> that</w:t>
      </w:r>
      <w:r w:rsidRPr="003A16D7">
        <w:t xml:space="preserve"> </w:t>
      </w:r>
      <w:r>
        <w:t>would</w:t>
      </w:r>
      <w:r w:rsidRPr="003A16D7">
        <w:t xml:space="preserve"> be returned by UNIDO at the 85</w:t>
      </w:r>
      <w:r w:rsidRPr="003A16D7">
        <w:rPr>
          <w:vertAlign w:val="superscript"/>
        </w:rPr>
        <w:t>th</w:t>
      </w:r>
      <w:r w:rsidRPr="003A16D7">
        <w:t xml:space="preserve"> meeting, and the estimated balance of </w:t>
      </w:r>
      <w:r>
        <w:t>US $</w:t>
      </w:r>
      <w:r w:rsidRPr="003A16D7">
        <w:t xml:space="preserve">300,000 and any remaining balance from the servicing sector, which </w:t>
      </w:r>
      <w:r>
        <w:t>would</w:t>
      </w:r>
      <w:r w:rsidRPr="003A16D7">
        <w:t xml:space="preserve"> be returned by UNDP and UNIDO, respectively, at the 87</w:t>
      </w:r>
      <w:r w:rsidRPr="003A16D7">
        <w:rPr>
          <w:vertAlign w:val="superscript"/>
        </w:rPr>
        <w:t>th</w:t>
      </w:r>
      <w:r w:rsidRPr="003A16D7">
        <w:t> meeting</w:t>
      </w:r>
      <w:r>
        <w:t>,</w:t>
      </w:r>
      <w:r w:rsidRPr="003A16D7">
        <w:t xml:space="preserve"> upon financial completion of stage I of the HPMP; and</w:t>
      </w:r>
    </w:p>
    <w:p w14:paraId="563983E6" w14:textId="77777777" w:rsidR="009E4A04" w:rsidRDefault="009E4A04" w:rsidP="009E4A04">
      <w:pPr>
        <w:pStyle w:val="Heading2"/>
      </w:pPr>
      <w:r w:rsidRPr="003A16D7">
        <w:t>That UNDP and UNIDO w</w:t>
      </w:r>
      <w:r>
        <w:t>ould</w:t>
      </w:r>
      <w:r w:rsidRPr="003A16D7">
        <w:t xml:space="preserve"> submit the </w:t>
      </w:r>
      <w:r>
        <w:t>final</w:t>
      </w:r>
      <w:r w:rsidRPr="003A16D7">
        <w:t xml:space="preserve"> report on completion of the remaining activities under stage I </w:t>
      </w:r>
      <w:r>
        <w:t xml:space="preserve">of the HPMP </w:t>
      </w:r>
      <w:r w:rsidRPr="003A16D7">
        <w:t xml:space="preserve">as part of the </w:t>
      </w:r>
      <w:r>
        <w:t>subsequent</w:t>
      </w:r>
      <w:r w:rsidRPr="003A16D7">
        <w:t xml:space="preserve"> progress report associated with stage II of the HPMP, and </w:t>
      </w:r>
      <w:r>
        <w:t xml:space="preserve">the </w:t>
      </w:r>
      <w:r w:rsidRPr="003A16D7">
        <w:t>stage I project completion report no later than 30 June 2020, in line with decision 82/33(c)</w:t>
      </w:r>
      <w:r>
        <w:t xml:space="preserve"> (d</w:t>
      </w:r>
      <w:r w:rsidRPr="00726EA1">
        <w:t>ecision</w:t>
      </w:r>
      <w:r>
        <w:t> </w:t>
      </w:r>
      <w:r w:rsidRPr="00726EA1">
        <w:t>84/22</w:t>
      </w:r>
      <w:r>
        <w:t>)</w:t>
      </w:r>
      <w:r w:rsidRPr="003A16D7">
        <w:t>.</w:t>
      </w:r>
    </w:p>
    <w:p w14:paraId="7785F175" w14:textId="77777777" w:rsidR="009E4A04" w:rsidRDefault="009E4A04" w:rsidP="009E4A04">
      <w:pPr>
        <w:pStyle w:val="Heading1"/>
      </w:pPr>
      <w:r>
        <w:t>In response to decision 84/22(b) and (c), UNIDO submitted th</w:t>
      </w:r>
      <w:r w:rsidRPr="007446E5">
        <w:t xml:space="preserve">e PCR for stage I of the HPMP </w:t>
      </w:r>
      <w:r>
        <w:t>on 3 </w:t>
      </w:r>
      <w:r w:rsidRPr="007446E5">
        <w:t>July</w:t>
      </w:r>
      <w:r>
        <w:t> </w:t>
      </w:r>
      <w:r w:rsidRPr="007446E5">
        <w:t xml:space="preserve">2020 and </w:t>
      </w:r>
      <w:r>
        <w:t>returned remaining balances from its foam and refrigeration servicing sector projects at the 86</w:t>
      </w:r>
      <w:r w:rsidRPr="007446E5">
        <w:rPr>
          <w:vertAlign w:val="superscript"/>
        </w:rPr>
        <w:t>th</w:t>
      </w:r>
      <w:r>
        <w:t> meeting,</w:t>
      </w:r>
      <w:r>
        <w:rPr>
          <w:rStyle w:val="FootnoteReference"/>
        </w:rPr>
        <w:footnoteReference w:id="29"/>
      </w:r>
      <w:r>
        <w:t xml:space="preserve"> consisting of US $</w:t>
      </w:r>
      <w:r w:rsidRPr="007913DB">
        <w:t>3,615</w:t>
      </w:r>
      <w:r>
        <w:t>,</w:t>
      </w:r>
      <w:r w:rsidRPr="007913DB">
        <w:t xml:space="preserve"> plus agency support costs of </w:t>
      </w:r>
      <w:r>
        <w:t>US $</w:t>
      </w:r>
      <w:r w:rsidRPr="007913DB">
        <w:t>271</w:t>
      </w:r>
      <w:r>
        <w:t>,</w:t>
      </w:r>
      <w:r w:rsidRPr="007913DB">
        <w:t xml:space="preserve"> from the first</w:t>
      </w:r>
      <w:r>
        <w:t> </w:t>
      </w:r>
      <w:r w:rsidRPr="007913DB">
        <w:t>tranche</w:t>
      </w:r>
      <w:r>
        <w:rPr>
          <w:rStyle w:val="FootnoteReference"/>
        </w:rPr>
        <w:footnoteReference w:id="30"/>
      </w:r>
      <w:r w:rsidRPr="007913DB">
        <w:t xml:space="preserve"> and </w:t>
      </w:r>
      <w:r>
        <w:lastRenderedPageBreak/>
        <w:t>US $</w:t>
      </w:r>
      <w:r w:rsidRPr="007913DB">
        <w:t>11,701, plus agen</w:t>
      </w:r>
      <w:r>
        <w:t>c</w:t>
      </w:r>
      <w:r w:rsidRPr="007913DB">
        <w:t xml:space="preserve">y support costs of </w:t>
      </w:r>
      <w:r>
        <w:t>US $</w:t>
      </w:r>
      <w:r w:rsidRPr="007913DB">
        <w:t>878</w:t>
      </w:r>
      <w:r>
        <w:t>,</w:t>
      </w:r>
      <w:r w:rsidRPr="007913DB">
        <w:t xml:space="preserve"> from the fifth</w:t>
      </w:r>
      <w:r>
        <w:t> tranche.</w:t>
      </w:r>
      <w:r>
        <w:rPr>
          <w:rStyle w:val="FootnoteReference"/>
        </w:rPr>
        <w:footnoteReference w:id="31"/>
      </w:r>
      <w:r>
        <w:t xml:space="preserve"> However, no information was received from UNDP.</w:t>
      </w:r>
    </w:p>
    <w:p w14:paraId="688D0CB6" w14:textId="77777777" w:rsidR="007C20AE" w:rsidRDefault="009E4A04" w:rsidP="007C20AE">
      <w:pPr>
        <w:keepNext/>
        <w:keepLines/>
        <w:spacing w:after="240"/>
        <w:outlineLvl w:val="0"/>
        <w:rPr>
          <w:b/>
        </w:rPr>
      </w:pPr>
      <w:r w:rsidRPr="007446E5">
        <w:rPr>
          <w:b/>
        </w:rPr>
        <w:t>Secretariat’s comments</w:t>
      </w:r>
    </w:p>
    <w:p w14:paraId="062DA206" w14:textId="77777777" w:rsidR="009E4A04" w:rsidRPr="003B5FC0" w:rsidRDefault="009E4A04" w:rsidP="00FB0484">
      <w:pPr>
        <w:pStyle w:val="Heading1"/>
      </w:pPr>
      <w:r w:rsidRPr="006C7AE9">
        <w:t>The</w:t>
      </w:r>
      <w:r w:rsidRPr="00117E48">
        <w:t xml:space="preserve"> Secretariat followed up with UNDP on the return of US $683,300 from the XPS foam enterprise </w:t>
      </w:r>
      <w:proofErr w:type="spellStart"/>
      <w:r w:rsidRPr="00117E48">
        <w:t>Plasticos</w:t>
      </w:r>
      <w:proofErr w:type="spellEnd"/>
      <w:r w:rsidRPr="00117E48">
        <w:t xml:space="preserve"> </w:t>
      </w:r>
      <w:proofErr w:type="spellStart"/>
      <w:r w:rsidRPr="00117E48">
        <w:t>Espumados</w:t>
      </w:r>
      <w:proofErr w:type="spellEnd"/>
      <w:r w:rsidRPr="00117E48">
        <w:t xml:space="preserve"> that did not participate in stage I of the HPMP; US $300,000 estimated as the balance from the polyurethane foam sector plan; and other balances from completed activities under stage I of the HPMP. </w:t>
      </w:r>
    </w:p>
    <w:p w14:paraId="1FAD75FB" w14:textId="77777777" w:rsidR="009E4A04" w:rsidRPr="00143035" w:rsidRDefault="009E4A04" w:rsidP="009E4A04">
      <w:pPr>
        <w:pStyle w:val="Heading1"/>
      </w:pPr>
      <w:r w:rsidRPr="00143035">
        <w:t xml:space="preserve">UNDP explained that the foam sector </w:t>
      </w:r>
      <w:r w:rsidRPr="00AA20D2">
        <w:t>plan was operationally completed by the end of 2019, as agreed. However, the on</w:t>
      </w:r>
      <w:r w:rsidRPr="00AA20D2">
        <w:noBreakHyphen/>
        <w:t>site verification to conduct the safety evaluation and authorize the last payment to the last converted foam enterprise, which was expected</w:t>
      </w:r>
      <w:r w:rsidRPr="00143035">
        <w:t xml:space="preserve"> to take place in December </w:t>
      </w:r>
      <w:r w:rsidRPr="00AA20D2">
        <w:t>2019,</w:t>
      </w:r>
      <w:r w:rsidRPr="00143035">
        <w:t xml:space="preserve"> </w:t>
      </w:r>
      <w:r>
        <w:t>had to be r</w:t>
      </w:r>
      <w:r w:rsidRPr="00143035">
        <w:t>eschedul</w:t>
      </w:r>
      <w:r>
        <w:t>ed</w:t>
      </w:r>
      <w:r w:rsidRPr="00143035">
        <w:t xml:space="preserve"> to early 2020</w:t>
      </w:r>
      <w:r>
        <w:t>, d</w:t>
      </w:r>
      <w:r w:rsidRPr="00143035">
        <w:t>ue to a fire in the neighbouring plant</w:t>
      </w:r>
      <w:r>
        <w:t>. Subsequently, due to the constraints associated with the</w:t>
      </w:r>
      <w:r w:rsidRPr="00143035">
        <w:t xml:space="preserve"> COVID</w:t>
      </w:r>
      <w:r w:rsidRPr="00143035">
        <w:noBreakHyphen/>
        <w:t>19 pandemic</w:t>
      </w:r>
      <w:r>
        <w:t xml:space="preserve">, </w:t>
      </w:r>
      <w:r w:rsidRPr="00143035">
        <w:t>UNDP was</w:t>
      </w:r>
      <w:r>
        <w:t xml:space="preserve"> only able to </w:t>
      </w:r>
      <w:r w:rsidRPr="00143035">
        <w:t xml:space="preserve">perform the final inspection </w:t>
      </w:r>
      <w:r>
        <w:t xml:space="preserve">and safety audit </w:t>
      </w:r>
      <w:r w:rsidRPr="00143035">
        <w:t xml:space="preserve">in early 2021. UNDP confirmed being in the process of financially completing the project </w:t>
      </w:r>
      <w:r>
        <w:t xml:space="preserve">and that </w:t>
      </w:r>
      <w:r w:rsidRPr="00143035">
        <w:t xml:space="preserve">the funds </w:t>
      </w:r>
      <w:r>
        <w:t xml:space="preserve">would be returned </w:t>
      </w:r>
      <w:r w:rsidRPr="00143035">
        <w:t>to the 88</w:t>
      </w:r>
      <w:r w:rsidRPr="00143035">
        <w:rPr>
          <w:vertAlign w:val="superscript"/>
        </w:rPr>
        <w:t>th</w:t>
      </w:r>
      <w:r>
        <w:t> </w:t>
      </w:r>
      <w:r w:rsidRPr="00143035">
        <w:t xml:space="preserve">meeting. </w:t>
      </w:r>
    </w:p>
    <w:p w14:paraId="5C93E1B1" w14:textId="77777777" w:rsidR="009E4A04" w:rsidRPr="005D6C66" w:rsidRDefault="009E4A04" w:rsidP="009E4A04">
      <w:pPr>
        <w:rPr>
          <w:b/>
        </w:rPr>
      </w:pPr>
      <w:r w:rsidRPr="005D6C66">
        <w:rPr>
          <w:b/>
        </w:rPr>
        <w:t>Recommendation</w:t>
      </w:r>
    </w:p>
    <w:p w14:paraId="30463664" w14:textId="77777777" w:rsidR="009E4A04" w:rsidRDefault="009E4A04" w:rsidP="009E4A04"/>
    <w:p w14:paraId="10A1742C" w14:textId="77777777" w:rsidR="009E4A04" w:rsidRDefault="009E4A04" w:rsidP="009E4A04">
      <w:pPr>
        <w:pStyle w:val="Heading1"/>
      </w:pPr>
      <w:r>
        <w:t xml:space="preserve">The Executive Committee may wish to note: </w:t>
      </w:r>
    </w:p>
    <w:p w14:paraId="1CF2674C" w14:textId="77777777" w:rsidR="009E4A04" w:rsidRDefault="009E4A04" w:rsidP="009E4A04">
      <w:pPr>
        <w:pStyle w:val="Heading2"/>
      </w:pPr>
      <w:r>
        <w:t>That UNDP was unable to financially complete stage I of the HCFC phase-out management plan (HPMP) for Mexico by 31 December 2020 and return balances at the 87</w:t>
      </w:r>
      <w:r w:rsidRPr="00726A40">
        <w:rPr>
          <w:vertAlign w:val="superscript"/>
        </w:rPr>
        <w:t>th</w:t>
      </w:r>
      <w:r>
        <w:t xml:space="preserve"> meeting as per decision 84/22(a) and (b) due to delays in the last verification of and payment to one enterprise because of restrictions imposed by the COVID-19 pandemic; and</w:t>
      </w:r>
    </w:p>
    <w:p w14:paraId="1A7181A3" w14:textId="77777777" w:rsidR="009C7B62" w:rsidRPr="009E4A04" w:rsidRDefault="009E4A04" w:rsidP="008C6183">
      <w:pPr>
        <w:pStyle w:val="Heading2"/>
      </w:pPr>
      <w:r w:rsidRPr="004E428D">
        <w:t xml:space="preserve">That </w:t>
      </w:r>
      <w:r>
        <w:t>UNDP will financially complete stage I of the HPMP for Mexico before the 88</w:t>
      </w:r>
      <w:r w:rsidRPr="00EF4342">
        <w:rPr>
          <w:vertAlign w:val="superscript"/>
        </w:rPr>
        <w:t>th</w:t>
      </w:r>
      <w:r>
        <w:t> meeting and will return to the Multilateral Fund the approved funds of U</w:t>
      </w:r>
      <w:r w:rsidRPr="004E428D">
        <w:t>S</w:t>
      </w:r>
      <w:r>
        <w:t> </w:t>
      </w:r>
      <w:r w:rsidRPr="004E428D">
        <w:t>$683,300</w:t>
      </w:r>
      <w:r>
        <w:t xml:space="preserve"> for the </w:t>
      </w:r>
      <w:r w:rsidRPr="004E428D">
        <w:t xml:space="preserve">enterprise </w:t>
      </w:r>
      <w:proofErr w:type="spellStart"/>
      <w:r w:rsidRPr="004E428D">
        <w:t>Plasticos</w:t>
      </w:r>
      <w:proofErr w:type="spellEnd"/>
      <w:r w:rsidRPr="004E428D">
        <w:t xml:space="preserve"> </w:t>
      </w:r>
      <w:proofErr w:type="spellStart"/>
      <w:r w:rsidRPr="004E428D">
        <w:t>Espumados</w:t>
      </w:r>
      <w:proofErr w:type="spellEnd"/>
      <w:r w:rsidRPr="004E428D">
        <w:t xml:space="preserve"> </w:t>
      </w:r>
      <w:r>
        <w:t xml:space="preserve">that did not </w:t>
      </w:r>
      <w:r w:rsidRPr="004E428D">
        <w:t>participate in stage I of the HPMP</w:t>
      </w:r>
      <w:r>
        <w:t>, as well as the estimated balance of US $300,000 and any remaining balances from stage I of the HPMP</w:t>
      </w:r>
      <w:r w:rsidRPr="004E428D">
        <w:t xml:space="preserve"> at the 8</w:t>
      </w:r>
      <w:r>
        <w:t>8</w:t>
      </w:r>
      <w:r w:rsidRPr="00EF4342">
        <w:rPr>
          <w:vertAlign w:val="superscript"/>
        </w:rPr>
        <w:t>th</w:t>
      </w:r>
      <w:r>
        <w:t> meeting.</w:t>
      </w:r>
    </w:p>
    <w:p w14:paraId="0F871871" w14:textId="77777777" w:rsidR="006C5006" w:rsidRPr="00234A52" w:rsidRDefault="006C5006" w:rsidP="006C5006">
      <w:pPr>
        <w:keepNext/>
        <w:spacing w:after="240"/>
        <w:rPr>
          <w:lang w:val="en-CA"/>
        </w:rPr>
      </w:pPr>
      <w:r>
        <w:rPr>
          <w:u w:val="single"/>
          <w:lang w:val="en-CA"/>
        </w:rPr>
        <w:t>Morocco</w:t>
      </w:r>
      <w:r w:rsidRPr="00234A52">
        <w:rPr>
          <w:u w:val="single"/>
          <w:lang w:val="en-CA"/>
        </w:rPr>
        <w:t xml:space="preserve">: HCFC phase-out management plan </w:t>
      </w:r>
      <w:r>
        <w:rPr>
          <w:u w:val="single"/>
          <w:lang w:val="en-CA"/>
        </w:rPr>
        <w:t>(stage I – final progress report)</w:t>
      </w:r>
      <w:r w:rsidRPr="007C20AE">
        <w:rPr>
          <w:lang w:val="en-CA"/>
        </w:rPr>
        <w:t xml:space="preserve"> </w:t>
      </w:r>
      <w:r w:rsidRPr="00234A52">
        <w:rPr>
          <w:lang w:val="en-CA"/>
        </w:rPr>
        <w:t>(UN</w:t>
      </w:r>
      <w:r>
        <w:rPr>
          <w:lang w:val="en-CA"/>
        </w:rPr>
        <w:t>IDO</w:t>
      </w:r>
      <w:r w:rsidRPr="00234A52">
        <w:rPr>
          <w:lang w:val="en-CA"/>
        </w:rPr>
        <w:t>)</w:t>
      </w:r>
    </w:p>
    <w:p w14:paraId="4CC172CE" w14:textId="77777777" w:rsidR="006C5006" w:rsidRPr="00234A52" w:rsidRDefault="006C5006" w:rsidP="006C5006">
      <w:pPr>
        <w:keepNext/>
        <w:spacing w:after="240"/>
        <w:rPr>
          <w:b/>
          <w:lang w:val="en-CA"/>
        </w:rPr>
      </w:pPr>
      <w:r w:rsidRPr="00234A52">
        <w:rPr>
          <w:b/>
          <w:lang w:val="en-CA"/>
        </w:rPr>
        <w:t>Background</w:t>
      </w:r>
    </w:p>
    <w:p w14:paraId="345E14D0" w14:textId="77777777" w:rsidR="006C5006" w:rsidRDefault="006C5006" w:rsidP="006C5006">
      <w:pPr>
        <w:pStyle w:val="Heading1"/>
        <w:rPr>
          <w:lang w:val="en-CA"/>
        </w:rPr>
      </w:pPr>
      <w:r w:rsidRPr="00234A52">
        <w:rPr>
          <w:lang w:val="en-CA"/>
        </w:rPr>
        <w:t xml:space="preserve">On behalf of the Government of </w:t>
      </w:r>
      <w:r>
        <w:rPr>
          <w:lang w:val="en-CA"/>
        </w:rPr>
        <w:t>Morocco</w:t>
      </w:r>
      <w:r w:rsidRPr="00234A52">
        <w:rPr>
          <w:lang w:val="en-CA"/>
        </w:rPr>
        <w:t>, UN</w:t>
      </w:r>
      <w:r>
        <w:rPr>
          <w:lang w:val="en-CA"/>
        </w:rPr>
        <w:t>IDO</w:t>
      </w:r>
      <w:r w:rsidRPr="00234A52">
        <w:rPr>
          <w:lang w:val="en-CA"/>
        </w:rPr>
        <w:t xml:space="preserve"> as the lead implementing agency has submitted </w:t>
      </w:r>
      <w:r>
        <w:rPr>
          <w:lang w:val="en-CA"/>
        </w:rPr>
        <w:t xml:space="preserve">the final progress report on the </w:t>
      </w:r>
      <w:r w:rsidRPr="00234A52">
        <w:rPr>
          <w:lang w:val="en-CA"/>
        </w:rPr>
        <w:t>implementation of stage I of the HPMP</w:t>
      </w:r>
      <w:r>
        <w:rPr>
          <w:lang w:val="en-CA"/>
        </w:rPr>
        <w:t>,</w:t>
      </w:r>
      <w:r>
        <w:rPr>
          <w:rStyle w:val="FootnoteReference"/>
          <w:lang w:val="en-CA"/>
        </w:rPr>
        <w:footnoteReference w:id="32"/>
      </w:r>
      <w:r>
        <w:rPr>
          <w:lang w:val="en-CA"/>
        </w:rPr>
        <w:t xml:space="preserve"> in line with decision 83/57(d).</w:t>
      </w:r>
      <w:r>
        <w:rPr>
          <w:rStyle w:val="FootnoteReference"/>
          <w:lang w:val="en-CA"/>
        </w:rPr>
        <w:footnoteReference w:id="33"/>
      </w:r>
    </w:p>
    <w:p w14:paraId="18515073" w14:textId="77777777" w:rsidR="006C5006" w:rsidRPr="00234A52" w:rsidRDefault="006C5006" w:rsidP="006C5006">
      <w:pPr>
        <w:spacing w:after="240"/>
        <w:rPr>
          <w:i/>
          <w:lang w:val="en-CA"/>
        </w:rPr>
      </w:pPr>
      <w:r w:rsidRPr="00234A52">
        <w:rPr>
          <w:i/>
          <w:lang w:val="en-CA"/>
        </w:rPr>
        <w:t xml:space="preserve">HCFC consumption </w:t>
      </w:r>
    </w:p>
    <w:p w14:paraId="0287F9F0" w14:textId="77777777" w:rsidR="006C5006" w:rsidRPr="00FD35F5" w:rsidRDefault="006C5006" w:rsidP="006C5006">
      <w:pPr>
        <w:pStyle w:val="Heading1"/>
        <w:rPr>
          <w:lang w:val="en-CA"/>
        </w:rPr>
      </w:pPr>
      <w:r w:rsidRPr="00FD35F5">
        <w:rPr>
          <w:lang w:val="en-CA"/>
        </w:rPr>
        <w:t xml:space="preserve">The Government of </w:t>
      </w:r>
      <w:r>
        <w:rPr>
          <w:lang w:val="en-CA"/>
        </w:rPr>
        <w:t>Morocco</w:t>
      </w:r>
      <w:r w:rsidRPr="00FD35F5">
        <w:rPr>
          <w:lang w:val="en-CA"/>
        </w:rPr>
        <w:t xml:space="preserve"> </w:t>
      </w:r>
      <w:r>
        <w:rPr>
          <w:lang w:val="en-CA"/>
        </w:rPr>
        <w:t xml:space="preserve">reported under Article 7 of the Montreal Protocol </w:t>
      </w:r>
      <w:r w:rsidRPr="00FD35F5">
        <w:rPr>
          <w:lang w:val="en-CA"/>
        </w:rPr>
        <w:t xml:space="preserve">a consumption of </w:t>
      </w:r>
      <w:r>
        <w:rPr>
          <w:lang w:val="en-CA"/>
        </w:rPr>
        <w:t>25.23</w:t>
      </w:r>
      <w:r w:rsidRPr="00FD35F5">
        <w:rPr>
          <w:lang w:val="en-CA"/>
        </w:rPr>
        <w:t xml:space="preserve"> ODP tonnes of HCFCs in 2020, which is </w:t>
      </w:r>
      <w:r>
        <w:rPr>
          <w:lang w:val="en-CA"/>
        </w:rPr>
        <w:t>24</w:t>
      </w:r>
      <w:r w:rsidRPr="00FD35F5">
        <w:rPr>
          <w:lang w:val="en-CA"/>
        </w:rPr>
        <w:t xml:space="preserve"> per cent below the </w:t>
      </w:r>
      <w:r>
        <w:rPr>
          <w:lang w:val="en-CA"/>
        </w:rPr>
        <w:t xml:space="preserve">Montreal Protocol control </w:t>
      </w:r>
      <w:r w:rsidRPr="00FD35F5">
        <w:rPr>
          <w:lang w:val="en-CA"/>
        </w:rPr>
        <w:t xml:space="preserve">target of </w:t>
      </w:r>
      <w:r>
        <w:rPr>
          <w:lang w:val="en-CA"/>
        </w:rPr>
        <w:t>33.38</w:t>
      </w:r>
      <w:r w:rsidRPr="00FD35F5">
        <w:rPr>
          <w:lang w:val="en-CA"/>
        </w:rPr>
        <w:t xml:space="preserve"> ODP tonnes for </w:t>
      </w:r>
      <w:r>
        <w:rPr>
          <w:lang w:val="en-CA"/>
        </w:rPr>
        <w:t>that year</w:t>
      </w:r>
      <w:r w:rsidRPr="00FD35F5">
        <w:rPr>
          <w:lang w:val="en-CA"/>
        </w:rPr>
        <w:t xml:space="preserve">, and </w:t>
      </w:r>
      <w:r>
        <w:rPr>
          <w:lang w:val="en-CA"/>
        </w:rPr>
        <w:t>51</w:t>
      </w:r>
      <w:r w:rsidRPr="00FD35F5">
        <w:rPr>
          <w:lang w:val="en-CA"/>
        </w:rPr>
        <w:t xml:space="preserve"> per cent </w:t>
      </w:r>
      <w:r>
        <w:rPr>
          <w:lang w:val="en-CA"/>
        </w:rPr>
        <w:t>below</w:t>
      </w:r>
      <w:r w:rsidRPr="00FD35F5">
        <w:rPr>
          <w:lang w:val="en-CA"/>
        </w:rPr>
        <w:t xml:space="preserve"> the established baseline of </w:t>
      </w:r>
      <w:r>
        <w:rPr>
          <w:lang w:val="en-CA"/>
        </w:rPr>
        <w:t>51.35</w:t>
      </w:r>
      <w:r w:rsidRPr="00FD35F5">
        <w:rPr>
          <w:lang w:val="en-CA"/>
        </w:rPr>
        <w:t xml:space="preserve"> ODP tonnes. </w:t>
      </w:r>
    </w:p>
    <w:p w14:paraId="358C1B78" w14:textId="77777777" w:rsidR="006C5006" w:rsidRPr="00234A52" w:rsidRDefault="006C5006" w:rsidP="006C5006">
      <w:pPr>
        <w:numPr>
          <w:ilvl w:val="0"/>
          <w:numId w:val="1"/>
        </w:numPr>
        <w:spacing w:after="240"/>
        <w:outlineLvl w:val="0"/>
        <w:rPr>
          <w:lang w:val="en-CA"/>
        </w:rPr>
      </w:pPr>
      <w:r w:rsidRPr="00234A52">
        <w:rPr>
          <w:lang w:val="en-CA"/>
        </w:rPr>
        <w:lastRenderedPageBreak/>
        <w:t>The Government submitted sector</w:t>
      </w:r>
      <w:r>
        <w:rPr>
          <w:lang w:val="en-CA"/>
        </w:rPr>
        <w:t xml:space="preserve"> consumption data under the </w:t>
      </w:r>
      <w:r w:rsidRPr="004F329C">
        <w:rPr>
          <w:lang w:val="en-CA"/>
        </w:rPr>
        <w:t>20</w:t>
      </w:r>
      <w:r>
        <w:rPr>
          <w:lang w:val="en-CA"/>
        </w:rPr>
        <w:t>19</w:t>
      </w:r>
      <w:r w:rsidRPr="00234A52">
        <w:rPr>
          <w:lang w:val="en-CA"/>
        </w:rPr>
        <w:t xml:space="preserve"> country programme implementation report consistent with the data reported under Article 7 of the Montreal Protocol. </w:t>
      </w:r>
    </w:p>
    <w:p w14:paraId="5B0695AC" w14:textId="77777777" w:rsidR="006C5006" w:rsidRPr="00234A52" w:rsidRDefault="006C5006" w:rsidP="007C20AE">
      <w:pPr>
        <w:keepNext/>
        <w:keepLines/>
        <w:spacing w:after="240"/>
        <w:rPr>
          <w:b/>
          <w:lang w:val="en-CA"/>
        </w:rPr>
      </w:pPr>
      <w:r w:rsidRPr="00234A52">
        <w:rPr>
          <w:b/>
          <w:lang w:val="en-CA"/>
        </w:rPr>
        <w:t xml:space="preserve">Progress report on the implementation of </w:t>
      </w:r>
      <w:r>
        <w:rPr>
          <w:b/>
          <w:lang w:val="en-CA"/>
        </w:rPr>
        <w:t xml:space="preserve">stage I </w:t>
      </w:r>
    </w:p>
    <w:p w14:paraId="26A8D87A" w14:textId="77777777" w:rsidR="006C5006" w:rsidRDefault="006C5006" w:rsidP="006C5006">
      <w:pPr>
        <w:pStyle w:val="Heading1"/>
        <w:rPr>
          <w:lang w:val="en-CA"/>
        </w:rPr>
      </w:pPr>
      <w:r w:rsidRPr="00742EAA">
        <w:rPr>
          <w:lang w:val="en-CA"/>
        </w:rPr>
        <w:t>The country has been implementing the licensing and quota system to control the import of HCFCs. An electronic licensing system was launched in 2014 and implement</w:t>
      </w:r>
      <w:r>
        <w:rPr>
          <w:lang w:val="en-CA"/>
        </w:rPr>
        <w:t>ed in 2015, and a ban on pure HCFC</w:t>
      </w:r>
      <w:r>
        <w:rPr>
          <w:lang w:val="en-CA"/>
        </w:rPr>
        <w:noBreakHyphen/>
      </w:r>
      <w:r w:rsidRPr="00742EAA">
        <w:rPr>
          <w:lang w:val="en-CA"/>
        </w:rPr>
        <w:t xml:space="preserve">141b was implemented on </w:t>
      </w:r>
      <w:r>
        <w:rPr>
          <w:lang w:val="en-CA"/>
        </w:rPr>
        <w:t xml:space="preserve">1 </w:t>
      </w:r>
      <w:r w:rsidRPr="00742EAA">
        <w:rPr>
          <w:lang w:val="en-CA"/>
        </w:rPr>
        <w:t>January 2015</w:t>
      </w:r>
      <w:r>
        <w:rPr>
          <w:lang w:val="en-CA"/>
        </w:rPr>
        <w:t xml:space="preserve"> after completion of the foam conversion project at</w:t>
      </w:r>
      <w:r w:rsidRPr="00D650AD">
        <w:t xml:space="preserve"> </w:t>
      </w:r>
      <w:proofErr w:type="spellStart"/>
      <w:r w:rsidRPr="00714429">
        <w:t>Manar</w:t>
      </w:r>
      <w:proofErr w:type="spellEnd"/>
      <w:r w:rsidRPr="00714429">
        <w:t xml:space="preserve"> Company</w:t>
      </w:r>
      <w:r w:rsidRPr="00742EAA">
        <w:rPr>
          <w:lang w:val="en-CA"/>
        </w:rPr>
        <w:t xml:space="preserve">. Morocco is preparing to </w:t>
      </w:r>
      <w:r>
        <w:rPr>
          <w:lang w:val="en-CA"/>
        </w:rPr>
        <w:t>include</w:t>
      </w:r>
      <w:r w:rsidRPr="00742EAA">
        <w:rPr>
          <w:lang w:val="en-CA"/>
        </w:rPr>
        <w:t xml:space="preserve"> HFC</w:t>
      </w:r>
      <w:r>
        <w:rPr>
          <w:lang w:val="en-CA"/>
        </w:rPr>
        <w:t>s</w:t>
      </w:r>
      <w:r w:rsidRPr="00742EAA">
        <w:rPr>
          <w:lang w:val="en-CA"/>
        </w:rPr>
        <w:t xml:space="preserve"> </w:t>
      </w:r>
      <w:r>
        <w:rPr>
          <w:lang w:val="en-CA"/>
        </w:rPr>
        <w:t>in</w:t>
      </w:r>
      <w:r w:rsidRPr="00742EAA">
        <w:rPr>
          <w:lang w:val="en-CA"/>
        </w:rPr>
        <w:t xml:space="preserve"> the licensing system </w:t>
      </w:r>
      <w:r>
        <w:rPr>
          <w:lang w:val="en-CA"/>
        </w:rPr>
        <w:t xml:space="preserve">under </w:t>
      </w:r>
      <w:r w:rsidRPr="00742EAA">
        <w:rPr>
          <w:lang w:val="en-CA"/>
        </w:rPr>
        <w:t xml:space="preserve">the Kigali </w:t>
      </w:r>
      <w:r>
        <w:rPr>
          <w:lang w:val="en-CA"/>
        </w:rPr>
        <w:t xml:space="preserve">Amendment. </w:t>
      </w:r>
    </w:p>
    <w:p w14:paraId="368596DD" w14:textId="77777777" w:rsidR="006C5006" w:rsidRPr="00523DD0" w:rsidRDefault="006C5006" w:rsidP="006C5006">
      <w:pPr>
        <w:pStyle w:val="Heading1"/>
        <w:rPr>
          <w:lang w:val="en-CA"/>
        </w:rPr>
      </w:pPr>
      <w:r w:rsidRPr="00523DD0">
        <w:rPr>
          <w:lang w:val="en-CA"/>
        </w:rPr>
        <w:t>The implementation of the third tranche is progressing according to plan. Refrigeration and air</w:t>
      </w:r>
      <w:r w:rsidRPr="00523DD0">
        <w:rPr>
          <w:lang w:val="en-CA"/>
        </w:rPr>
        <w:noBreakHyphen/>
        <w:t>conditioning servic</w:t>
      </w:r>
      <w:r>
        <w:rPr>
          <w:lang w:val="en-CA"/>
        </w:rPr>
        <w:t>ing</w:t>
      </w:r>
      <w:r w:rsidRPr="00523DD0">
        <w:rPr>
          <w:lang w:val="en-CA"/>
        </w:rPr>
        <w:t xml:space="preserve"> tools have been procured and delivered to the National Ozone Unit. Training of technicians on </w:t>
      </w:r>
      <w:r>
        <w:rPr>
          <w:lang w:val="en-CA"/>
        </w:rPr>
        <w:t xml:space="preserve">good servicing </w:t>
      </w:r>
      <w:r w:rsidRPr="00523DD0">
        <w:rPr>
          <w:lang w:val="en-CA"/>
        </w:rPr>
        <w:t>practices</w:t>
      </w:r>
      <w:r>
        <w:rPr>
          <w:lang w:val="en-CA"/>
        </w:rPr>
        <w:t>,</w:t>
      </w:r>
      <w:r w:rsidRPr="00523DD0">
        <w:rPr>
          <w:lang w:val="en-CA"/>
        </w:rPr>
        <w:t xml:space="preserve"> new </w:t>
      </w:r>
      <w:r>
        <w:rPr>
          <w:lang w:val="en-CA"/>
        </w:rPr>
        <w:t>alternative technologies</w:t>
      </w:r>
      <w:r w:rsidRPr="00523DD0">
        <w:rPr>
          <w:lang w:val="en-CA"/>
        </w:rPr>
        <w:t>, safety issues</w:t>
      </w:r>
      <w:r>
        <w:rPr>
          <w:lang w:val="en-CA"/>
        </w:rPr>
        <w:t xml:space="preserve"> and proper management of the </w:t>
      </w:r>
      <w:r w:rsidRPr="00523DD0">
        <w:rPr>
          <w:lang w:val="en-CA"/>
        </w:rPr>
        <w:t xml:space="preserve">flammability of refrigerants during maintenance has been planned and will be conducted once the restrictions on meetings and travel induced by the COVID-19 </w:t>
      </w:r>
      <w:r>
        <w:rPr>
          <w:lang w:val="en-CA"/>
        </w:rPr>
        <w:t xml:space="preserve">pandemic </w:t>
      </w:r>
      <w:r w:rsidRPr="00523DD0">
        <w:rPr>
          <w:lang w:val="en-CA"/>
        </w:rPr>
        <w:t xml:space="preserve">are lifted. </w:t>
      </w:r>
    </w:p>
    <w:p w14:paraId="3DF96E42" w14:textId="77777777" w:rsidR="006C5006" w:rsidRPr="00523DD0" w:rsidRDefault="006C5006" w:rsidP="006C5006">
      <w:pPr>
        <w:pStyle w:val="Heading1"/>
        <w:widowControl w:val="0"/>
        <w:rPr>
          <w:lang w:val="en-CA"/>
        </w:rPr>
      </w:pPr>
      <w:r w:rsidRPr="00523DD0">
        <w:rPr>
          <w:lang w:val="en-CA"/>
        </w:rPr>
        <w:t>A</w:t>
      </w:r>
      <w:r>
        <w:rPr>
          <w:lang w:val="en-CA"/>
        </w:rPr>
        <w:t>n a</w:t>
      </w:r>
      <w:r w:rsidRPr="00523DD0">
        <w:rPr>
          <w:lang w:val="en-CA"/>
        </w:rPr>
        <w:t xml:space="preserve">dditional 16 refrigerant identifiers </w:t>
      </w:r>
      <w:r>
        <w:rPr>
          <w:lang w:val="en-CA"/>
        </w:rPr>
        <w:t>were</w:t>
      </w:r>
      <w:r w:rsidRPr="00523DD0">
        <w:rPr>
          <w:lang w:val="en-CA"/>
        </w:rPr>
        <w:t xml:space="preserve"> procured and delivered </w:t>
      </w:r>
      <w:r>
        <w:rPr>
          <w:lang w:val="en-CA"/>
        </w:rPr>
        <w:t xml:space="preserve">to the country </w:t>
      </w:r>
      <w:r w:rsidRPr="00523DD0">
        <w:rPr>
          <w:lang w:val="en-CA"/>
        </w:rPr>
        <w:t xml:space="preserve">in 2020. These refrigerant identifiers will cover the needs of the customs authorities, assist the Refrigeration Association </w:t>
      </w:r>
      <w:r>
        <w:rPr>
          <w:lang w:val="en-CA"/>
        </w:rPr>
        <w:t>in</w:t>
      </w:r>
      <w:r w:rsidRPr="00523DD0">
        <w:rPr>
          <w:lang w:val="en-CA"/>
        </w:rPr>
        <w:t xml:space="preserve"> combat</w:t>
      </w:r>
      <w:r>
        <w:rPr>
          <w:lang w:val="en-CA"/>
        </w:rPr>
        <w:t>ing</w:t>
      </w:r>
      <w:r w:rsidRPr="00523DD0">
        <w:rPr>
          <w:lang w:val="en-CA"/>
        </w:rPr>
        <w:t xml:space="preserve"> counterfeit</w:t>
      </w:r>
      <w:r>
        <w:rPr>
          <w:lang w:val="en-CA"/>
        </w:rPr>
        <w:t xml:space="preserve"> refrigerant</w:t>
      </w:r>
      <w:r w:rsidRPr="00523DD0">
        <w:rPr>
          <w:lang w:val="en-CA"/>
        </w:rPr>
        <w:t xml:space="preserve"> and support the </w:t>
      </w:r>
      <w:r>
        <w:rPr>
          <w:lang w:val="en-CA"/>
        </w:rPr>
        <w:t>institute (</w:t>
      </w:r>
      <w:proofErr w:type="spellStart"/>
      <w:r w:rsidRPr="00523DD0">
        <w:rPr>
          <w:lang w:val="en-CA"/>
        </w:rPr>
        <w:t>Institut</w:t>
      </w:r>
      <w:proofErr w:type="spellEnd"/>
      <w:r w:rsidRPr="00523DD0">
        <w:rPr>
          <w:lang w:val="en-CA"/>
        </w:rPr>
        <w:t xml:space="preserve"> </w:t>
      </w:r>
      <w:proofErr w:type="spellStart"/>
      <w:r w:rsidRPr="00523DD0">
        <w:rPr>
          <w:lang w:val="en-CA"/>
        </w:rPr>
        <w:t>Spécialisé</w:t>
      </w:r>
      <w:proofErr w:type="spellEnd"/>
      <w:r w:rsidRPr="00523DD0">
        <w:rPr>
          <w:lang w:val="en-CA"/>
        </w:rPr>
        <w:t xml:space="preserve"> du </w:t>
      </w:r>
      <w:proofErr w:type="spellStart"/>
      <w:r w:rsidRPr="00523DD0">
        <w:rPr>
          <w:lang w:val="en-CA"/>
        </w:rPr>
        <w:t>Génie</w:t>
      </w:r>
      <w:proofErr w:type="spellEnd"/>
      <w:r w:rsidRPr="00523DD0">
        <w:rPr>
          <w:lang w:val="en-CA"/>
        </w:rPr>
        <w:t xml:space="preserve"> </w:t>
      </w:r>
      <w:proofErr w:type="spellStart"/>
      <w:r w:rsidRPr="00523DD0">
        <w:rPr>
          <w:lang w:val="en-CA"/>
        </w:rPr>
        <w:t>Thermique</w:t>
      </w:r>
      <w:proofErr w:type="spellEnd"/>
      <w:r w:rsidRPr="00523DD0">
        <w:rPr>
          <w:lang w:val="en-CA"/>
        </w:rPr>
        <w:t xml:space="preserve"> et du </w:t>
      </w:r>
      <w:proofErr w:type="spellStart"/>
      <w:r w:rsidRPr="00523DD0">
        <w:rPr>
          <w:lang w:val="en-CA"/>
        </w:rPr>
        <w:t>Froid</w:t>
      </w:r>
      <w:proofErr w:type="spellEnd"/>
      <w:r w:rsidRPr="00523DD0">
        <w:rPr>
          <w:lang w:val="en-CA"/>
        </w:rPr>
        <w:t xml:space="preserve">) in training customs officers. </w:t>
      </w:r>
    </w:p>
    <w:p w14:paraId="2507A8E1" w14:textId="77777777" w:rsidR="006C5006" w:rsidRPr="002953D9" w:rsidRDefault="006C5006" w:rsidP="006C5006">
      <w:pPr>
        <w:pStyle w:val="Heading1"/>
        <w:rPr>
          <w:lang w:val="en-CA"/>
        </w:rPr>
      </w:pPr>
      <w:r>
        <w:rPr>
          <w:lang w:val="en-CA"/>
        </w:rPr>
        <w:t xml:space="preserve">Training </w:t>
      </w:r>
      <w:r w:rsidRPr="002953D9">
        <w:rPr>
          <w:lang w:val="en-CA"/>
        </w:rPr>
        <w:t>material</w:t>
      </w:r>
      <w:r>
        <w:rPr>
          <w:lang w:val="en-CA"/>
        </w:rPr>
        <w:t>s</w:t>
      </w:r>
      <w:r w:rsidRPr="002953D9">
        <w:rPr>
          <w:lang w:val="en-CA"/>
        </w:rPr>
        <w:t xml:space="preserve"> </w:t>
      </w:r>
      <w:r>
        <w:rPr>
          <w:lang w:val="en-CA"/>
        </w:rPr>
        <w:t>on the</w:t>
      </w:r>
      <w:r w:rsidRPr="002953D9">
        <w:rPr>
          <w:lang w:val="en-CA"/>
        </w:rPr>
        <w:t xml:space="preserve"> quality of refrigerants has been updated and translated</w:t>
      </w:r>
      <w:r>
        <w:rPr>
          <w:lang w:val="en-CA"/>
        </w:rPr>
        <w:t xml:space="preserve"> into </w:t>
      </w:r>
      <w:r w:rsidRPr="002953D9">
        <w:rPr>
          <w:lang w:val="en-CA"/>
        </w:rPr>
        <w:t>Arabic and French</w:t>
      </w:r>
      <w:r>
        <w:rPr>
          <w:lang w:val="en-CA"/>
        </w:rPr>
        <w:t xml:space="preserve">. Copies of the materials were </w:t>
      </w:r>
      <w:r w:rsidRPr="002953D9">
        <w:rPr>
          <w:lang w:val="en-CA"/>
        </w:rPr>
        <w:t>provided to the Refrigeration Association</w:t>
      </w:r>
      <w:r>
        <w:rPr>
          <w:lang w:val="en-CA"/>
        </w:rPr>
        <w:t xml:space="preserve"> for use in training. </w:t>
      </w:r>
    </w:p>
    <w:p w14:paraId="31E67D7B" w14:textId="77777777" w:rsidR="006C5006" w:rsidRPr="00AB6BDC" w:rsidRDefault="006C5006" w:rsidP="006C5006">
      <w:pPr>
        <w:spacing w:after="240"/>
        <w:outlineLvl w:val="0"/>
        <w:rPr>
          <w:lang w:val="en-CA"/>
        </w:rPr>
      </w:pPr>
      <w:r w:rsidRPr="00AB6BDC">
        <w:rPr>
          <w:u w:val="single"/>
          <w:lang w:val="en-CA"/>
        </w:rPr>
        <w:t>Level of fund disbursement</w:t>
      </w:r>
    </w:p>
    <w:p w14:paraId="7268A4EF" w14:textId="77777777" w:rsidR="006C5006" w:rsidRDefault="006C5006" w:rsidP="006C5006">
      <w:pPr>
        <w:pStyle w:val="Heading1"/>
        <w:rPr>
          <w:lang w:val="en-CA"/>
        </w:rPr>
      </w:pPr>
      <w:r w:rsidRPr="00234A52">
        <w:rPr>
          <w:lang w:val="en-CA"/>
        </w:rPr>
        <w:t>As of</w:t>
      </w:r>
      <w:r>
        <w:rPr>
          <w:lang w:val="en-CA"/>
        </w:rPr>
        <w:t xml:space="preserve"> April 2021</w:t>
      </w:r>
      <w:r w:rsidRPr="00234A52">
        <w:rPr>
          <w:lang w:val="en-CA"/>
        </w:rPr>
        <w:t>, of the US $</w:t>
      </w:r>
      <w:r>
        <w:rPr>
          <w:lang w:val="en-CA"/>
        </w:rPr>
        <w:t>335,000</w:t>
      </w:r>
      <w:r w:rsidRPr="00234A52">
        <w:rPr>
          <w:lang w:val="en-CA"/>
        </w:rPr>
        <w:t xml:space="preserve"> approved so far, US $</w:t>
      </w:r>
      <w:r>
        <w:rPr>
          <w:lang w:val="en-CA"/>
        </w:rPr>
        <w:t>316,886</w:t>
      </w:r>
      <w:r w:rsidRPr="00234A52">
        <w:rPr>
          <w:lang w:val="en-CA"/>
        </w:rPr>
        <w:t xml:space="preserve"> had been disbursed</w:t>
      </w:r>
      <w:r>
        <w:rPr>
          <w:lang w:val="en-CA"/>
        </w:rPr>
        <w:t xml:space="preserve"> (95 per cent)</w:t>
      </w:r>
      <w:r w:rsidRPr="00234A52">
        <w:rPr>
          <w:lang w:val="en-CA"/>
        </w:rPr>
        <w:t>.</w:t>
      </w:r>
      <w:r>
        <w:rPr>
          <w:lang w:val="en-CA"/>
        </w:rPr>
        <w:t xml:space="preserve"> The remaining US $18,114 will be disbursed in 2021.  </w:t>
      </w:r>
    </w:p>
    <w:p w14:paraId="338C4914" w14:textId="77777777" w:rsidR="006C5006" w:rsidRPr="00B1423F" w:rsidRDefault="006C5006" w:rsidP="006C5006">
      <w:pPr>
        <w:rPr>
          <w:u w:val="single"/>
          <w:lang w:val="en-CA"/>
        </w:rPr>
      </w:pPr>
      <w:r w:rsidRPr="00B1423F">
        <w:rPr>
          <w:u w:val="single"/>
          <w:lang w:val="en-CA"/>
        </w:rPr>
        <w:t>Completion of stage I</w:t>
      </w:r>
    </w:p>
    <w:p w14:paraId="27DC5F9B" w14:textId="77777777" w:rsidR="006C5006" w:rsidRDefault="006C5006" w:rsidP="006C5006">
      <w:pPr>
        <w:rPr>
          <w:lang w:val="en-CA"/>
        </w:rPr>
      </w:pPr>
    </w:p>
    <w:p w14:paraId="4C4C80E5" w14:textId="77777777" w:rsidR="006C5006" w:rsidRPr="00B1423F" w:rsidRDefault="006C5006" w:rsidP="006C5006">
      <w:pPr>
        <w:pStyle w:val="Heading1"/>
        <w:rPr>
          <w:lang w:val="en-CA"/>
        </w:rPr>
      </w:pPr>
      <w:r>
        <w:rPr>
          <w:lang w:val="en-CA"/>
        </w:rPr>
        <w:t xml:space="preserve">UNIDO reported that stage I of the HPMP for Morocco will be completed by the end of 2021, in line with paragraph 14 of the Agreement. </w:t>
      </w:r>
    </w:p>
    <w:p w14:paraId="2DF9A4E3" w14:textId="77777777" w:rsidR="006C5006" w:rsidRPr="00234A52" w:rsidRDefault="006C5006" w:rsidP="006C5006">
      <w:pPr>
        <w:keepNext/>
        <w:spacing w:after="240"/>
        <w:rPr>
          <w:b/>
          <w:lang w:val="en-CA"/>
        </w:rPr>
      </w:pPr>
      <w:r w:rsidRPr="00234A52">
        <w:rPr>
          <w:b/>
          <w:lang w:val="en-CA"/>
        </w:rPr>
        <w:t>Secretariat’s comments</w:t>
      </w:r>
    </w:p>
    <w:p w14:paraId="5D376E2E" w14:textId="77777777" w:rsidR="006C5006" w:rsidRPr="00EF058C" w:rsidRDefault="006C5006" w:rsidP="006C5006">
      <w:pPr>
        <w:keepNext/>
        <w:numPr>
          <w:ilvl w:val="0"/>
          <w:numId w:val="1"/>
        </w:numPr>
        <w:spacing w:after="240"/>
        <w:outlineLvl w:val="0"/>
        <w:rPr>
          <w:lang w:val="en-CA"/>
        </w:rPr>
      </w:pPr>
      <w:r>
        <w:rPr>
          <w:lang w:val="en-CA"/>
        </w:rPr>
        <w:t xml:space="preserve">The </w:t>
      </w:r>
      <w:r w:rsidR="005E54FF">
        <w:rPr>
          <w:lang w:val="en-CA"/>
        </w:rPr>
        <w:t>Secretariat noted with concern</w:t>
      </w:r>
      <w:r>
        <w:rPr>
          <w:lang w:val="en-CA"/>
        </w:rPr>
        <w:t xml:space="preserve"> that </w:t>
      </w:r>
      <w:r w:rsidRPr="00EF058C">
        <w:rPr>
          <w:lang w:val="en-CA"/>
        </w:rPr>
        <w:t>the verification of 2020 consumption</w:t>
      </w:r>
      <w:r>
        <w:rPr>
          <w:lang w:val="en-CA"/>
        </w:rPr>
        <w:t xml:space="preserve"> was not submitted.</w:t>
      </w:r>
      <w:r w:rsidRPr="00EF058C">
        <w:rPr>
          <w:lang w:val="en-CA"/>
        </w:rPr>
        <w:t xml:space="preserve"> UNIDO explained that it </w:t>
      </w:r>
      <w:r>
        <w:rPr>
          <w:lang w:val="en-CA"/>
        </w:rPr>
        <w:t>had been</w:t>
      </w:r>
      <w:r w:rsidRPr="00EF058C">
        <w:rPr>
          <w:lang w:val="en-CA"/>
        </w:rPr>
        <w:t xml:space="preserve"> plan</w:t>
      </w:r>
      <w:r>
        <w:rPr>
          <w:lang w:val="en-CA"/>
        </w:rPr>
        <w:t>n</w:t>
      </w:r>
      <w:r w:rsidRPr="00EF058C">
        <w:rPr>
          <w:lang w:val="en-CA"/>
        </w:rPr>
        <w:t xml:space="preserve">ed to recruit a national consultant to carry out the verification. </w:t>
      </w:r>
      <w:r>
        <w:rPr>
          <w:lang w:val="en-CA"/>
        </w:rPr>
        <w:t xml:space="preserve">Due to the lack of </w:t>
      </w:r>
      <w:r>
        <w:rPr>
          <w:bCs/>
        </w:rPr>
        <w:t>available local consultants</w:t>
      </w:r>
      <w:r w:rsidRPr="00EF058C">
        <w:rPr>
          <w:bCs/>
        </w:rPr>
        <w:t>, this could not be done in the first quarter of 2021. The verification report will be submitted to the 88</w:t>
      </w:r>
      <w:r w:rsidRPr="00EF058C">
        <w:rPr>
          <w:bCs/>
          <w:vertAlign w:val="superscript"/>
        </w:rPr>
        <w:t>th</w:t>
      </w:r>
      <w:r>
        <w:rPr>
          <w:bCs/>
        </w:rPr>
        <w:t> </w:t>
      </w:r>
      <w:r w:rsidRPr="00EF058C">
        <w:rPr>
          <w:bCs/>
        </w:rPr>
        <w:t>meeting</w:t>
      </w:r>
      <w:r>
        <w:rPr>
          <w:bCs/>
        </w:rPr>
        <w:t xml:space="preserve"> </w:t>
      </w:r>
      <w:r w:rsidRPr="00EF058C">
        <w:rPr>
          <w:bCs/>
        </w:rPr>
        <w:t xml:space="preserve">together with the </w:t>
      </w:r>
      <w:r>
        <w:rPr>
          <w:bCs/>
        </w:rPr>
        <w:t>request for s</w:t>
      </w:r>
      <w:r w:rsidRPr="00EF058C">
        <w:rPr>
          <w:bCs/>
        </w:rPr>
        <w:t xml:space="preserve">tage II </w:t>
      </w:r>
      <w:r>
        <w:rPr>
          <w:bCs/>
        </w:rPr>
        <w:t>of the HPMP</w:t>
      </w:r>
      <w:r w:rsidRPr="00EF058C">
        <w:rPr>
          <w:bCs/>
        </w:rPr>
        <w:t xml:space="preserve">. </w:t>
      </w:r>
      <w:r>
        <w:rPr>
          <w:bCs/>
        </w:rPr>
        <w:t>The Secretariat considers important to have verified 2020 consumption data when considering stage II of the HPMP. Therefore, if the versification report is not submitted to the 88</w:t>
      </w:r>
      <w:r w:rsidRPr="00E41B01">
        <w:rPr>
          <w:bCs/>
          <w:vertAlign w:val="superscript"/>
        </w:rPr>
        <w:t>th</w:t>
      </w:r>
      <w:r>
        <w:rPr>
          <w:bCs/>
        </w:rPr>
        <w:t xml:space="preserve"> meeting, stage II of the HPMP should not be considered.</w:t>
      </w:r>
    </w:p>
    <w:p w14:paraId="328AD31F" w14:textId="77777777" w:rsidR="006C5006" w:rsidRDefault="006C5006" w:rsidP="006C5006">
      <w:pPr>
        <w:pStyle w:val="Heading1"/>
        <w:rPr>
          <w:lang w:val="en-CA"/>
        </w:rPr>
      </w:pPr>
      <w:r>
        <w:rPr>
          <w:lang w:val="en-CA"/>
        </w:rPr>
        <w:t>While reviewing the progress report of stage I, the Secretariat noted an oversight in the revised Agreement between the Government of Morocco and the Executive Committee. The targets for 2020 in Appendix 2-A of the Agreement were higher than those required by the Montreal Protocol phase-out schedule. This was discussed with the Government through UNIDO and it was agreed to adjust Appendix 2</w:t>
      </w:r>
      <w:r>
        <w:rPr>
          <w:lang w:val="en-CA"/>
        </w:rPr>
        <w:noBreakHyphen/>
        <w:t xml:space="preserve">A of the updated Agreement as contained in Annex X of </w:t>
      </w:r>
      <w:r w:rsidRPr="00067D46">
        <w:rPr>
          <w:lang w:val="en-CA"/>
        </w:rPr>
        <w:t>document UNEP/OzL.Pro/ExCom/83/48</w:t>
      </w:r>
      <w:r>
        <w:rPr>
          <w:lang w:val="en-CA"/>
        </w:rPr>
        <w:t>,</w:t>
      </w:r>
      <w:r>
        <w:rPr>
          <w:rStyle w:val="FootnoteReference"/>
          <w:lang w:val="en-CA"/>
        </w:rPr>
        <w:footnoteReference w:id="34"/>
      </w:r>
      <w:r>
        <w:rPr>
          <w:lang w:val="en-CA"/>
        </w:rPr>
        <w:t xml:space="preserve"> as follows</w:t>
      </w:r>
      <w:r>
        <w:rPr>
          <w:rStyle w:val="FootnoteReference"/>
          <w:lang w:val="en-CA"/>
        </w:rPr>
        <w:footnoteReference w:id="35"/>
      </w:r>
      <w:r>
        <w:rPr>
          <w:lang w:val="en-CA"/>
        </w:rPr>
        <w:t>:</w:t>
      </w:r>
    </w:p>
    <w:p w14:paraId="12D22222" w14:textId="77777777" w:rsidR="006C5006" w:rsidRDefault="006C5006" w:rsidP="006C5006">
      <w:pPr>
        <w:pStyle w:val="Heading2"/>
        <w:rPr>
          <w:lang w:val="en-CA"/>
        </w:rPr>
      </w:pPr>
      <w:r>
        <w:rPr>
          <w:lang w:val="en-CA"/>
        </w:rPr>
        <w:lastRenderedPageBreak/>
        <w:t xml:space="preserve">To replace the figures of 43.33 ODP tonnes and 41.08 ODP tonnes in row 1.1 and row 1.2, respectively with 33.38 ODP tonnes for 2020; </w:t>
      </w:r>
    </w:p>
    <w:p w14:paraId="22742BF9" w14:textId="77777777" w:rsidR="006C5006" w:rsidRDefault="006C5006" w:rsidP="006C5006">
      <w:pPr>
        <w:pStyle w:val="Heading2"/>
        <w:rPr>
          <w:lang w:val="en-CA"/>
        </w:rPr>
      </w:pPr>
      <w:r>
        <w:rPr>
          <w:lang w:val="en-CA"/>
        </w:rPr>
        <w:t xml:space="preserve">To replace the figure </w:t>
      </w:r>
      <w:r w:rsidRPr="008C0FEE">
        <w:rPr>
          <w:lang w:val="en-CA"/>
        </w:rPr>
        <w:t>of 2.57</w:t>
      </w:r>
      <w:r>
        <w:rPr>
          <w:lang w:val="en-CA"/>
        </w:rPr>
        <w:t xml:space="preserve"> ODP tonnes in row 4.1.1 with 12.50 ODP tonnes; </w:t>
      </w:r>
    </w:p>
    <w:p w14:paraId="5DC7BD15" w14:textId="77777777" w:rsidR="006C5006" w:rsidRDefault="006C5006" w:rsidP="006C5006">
      <w:pPr>
        <w:pStyle w:val="Heading2"/>
        <w:rPr>
          <w:lang w:val="en-CA"/>
        </w:rPr>
      </w:pPr>
      <w:r>
        <w:rPr>
          <w:lang w:val="en-CA"/>
        </w:rPr>
        <w:t>To replace the figure of 43.31 ODP tonnes in row 4.1.3 with 33.38 ODP tonnes; and</w:t>
      </w:r>
    </w:p>
    <w:p w14:paraId="52ADAF5C" w14:textId="77777777" w:rsidR="006C5006" w:rsidRDefault="006C5006" w:rsidP="006C5006">
      <w:pPr>
        <w:pStyle w:val="Heading2"/>
        <w:rPr>
          <w:lang w:val="en-CA"/>
        </w:rPr>
      </w:pPr>
      <w:r>
        <w:rPr>
          <w:lang w:val="en-CA"/>
        </w:rPr>
        <w:t xml:space="preserve">To replace the figure of 8.10 ODP tonnes in row 4.3.3 with 7.90 ODP tonnes. </w:t>
      </w:r>
    </w:p>
    <w:p w14:paraId="6C2D495E" w14:textId="77777777" w:rsidR="006C5006" w:rsidRPr="00234A52" w:rsidRDefault="006C5006" w:rsidP="00E50F23">
      <w:pPr>
        <w:keepNext/>
        <w:keepLines/>
        <w:spacing w:after="240"/>
        <w:outlineLvl w:val="0"/>
        <w:rPr>
          <w:b/>
          <w:lang w:val="en-CA"/>
        </w:rPr>
      </w:pPr>
      <w:r w:rsidRPr="00234A52">
        <w:rPr>
          <w:b/>
          <w:lang w:val="en-CA"/>
        </w:rPr>
        <w:t>Recommendation</w:t>
      </w:r>
    </w:p>
    <w:p w14:paraId="20647909" w14:textId="77777777" w:rsidR="006C5006" w:rsidRPr="00234A52" w:rsidRDefault="006C5006" w:rsidP="006C5006">
      <w:pPr>
        <w:numPr>
          <w:ilvl w:val="0"/>
          <w:numId w:val="1"/>
        </w:numPr>
        <w:spacing w:after="240"/>
        <w:outlineLvl w:val="0"/>
        <w:rPr>
          <w:lang w:val="en-CA"/>
        </w:rPr>
      </w:pPr>
      <w:r w:rsidRPr="00234A52">
        <w:rPr>
          <w:lang w:val="en-CA"/>
        </w:rPr>
        <w:t>The Executive Committee may wish</w:t>
      </w:r>
      <w:r>
        <w:rPr>
          <w:lang w:val="en-CA"/>
        </w:rPr>
        <w:t xml:space="preserve"> to note</w:t>
      </w:r>
      <w:r w:rsidRPr="00234A52">
        <w:rPr>
          <w:lang w:val="en-CA"/>
        </w:rPr>
        <w:t>:</w:t>
      </w:r>
    </w:p>
    <w:p w14:paraId="498418AC" w14:textId="77777777" w:rsidR="006C5006" w:rsidRDefault="006C5006" w:rsidP="006C5006">
      <w:pPr>
        <w:widowControl w:val="0"/>
        <w:numPr>
          <w:ilvl w:val="1"/>
          <w:numId w:val="1"/>
        </w:numPr>
        <w:tabs>
          <w:tab w:val="num" w:pos="557"/>
        </w:tabs>
        <w:spacing w:after="240"/>
        <w:outlineLvl w:val="1"/>
        <w:rPr>
          <w:lang w:val="en-CA"/>
        </w:rPr>
      </w:pPr>
      <w:r>
        <w:rPr>
          <w:lang w:val="en-CA"/>
        </w:rPr>
        <w:t>T</w:t>
      </w:r>
      <w:r w:rsidRPr="00234A52">
        <w:rPr>
          <w:lang w:val="en-CA"/>
        </w:rPr>
        <w:t xml:space="preserve">he </w:t>
      </w:r>
      <w:r>
        <w:rPr>
          <w:lang w:val="en-CA"/>
        </w:rPr>
        <w:t xml:space="preserve">final </w:t>
      </w:r>
      <w:r w:rsidRPr="00234A52">
        <w:rPr>
          <w:lang w:val="en-CA"/>
        </w:rPr>
        <w:t xml:space="preserve">progress report on the implementation of </w:t>
      </w:r>
      <w:r>
        <w:t>the work programme associated with the third and final tranche</w:t>
      </w:r>
      <w:r w:rsidRPr="00234A52">
        <w:rPr>
          <w:lang w:val="en-CA"/>
        </w:rPr>
        <w:t xml:space="preserve"> </w:t>
      </w:r>
      <w:r>
        <w:rPr>
          <w:lang w:val="en-CA"/>
        </w:rPr>
        <w:t xml:space="preserve">of </w:t>
      </w:r>
      <w:r w:rsidRPr="00234A52">
        <w:rPr>
          <w:lang w:val="en-CA"/>
        </w:rPr>
        <w:t xml:space="preserve">stage I of the HCFC phase-out management plan (HPMP) for </w:t>
      </w:r>
      <w:r>
        <w:rPr>
          <w:lang w:val="en-CA"/>
        </w:rPr>
        <w:t xml:space="preserve">Morocco, submitted by UNIDO and </w:t>
      </w:r>
      <w:r w:rsidRPr="00234A52">
        <w:rPr>
          <w:lang w:val="en-CA"/>
        </w:rPr>
        <w:t xml:space="preserve">contained in </w:t>
      </w:r>
      <w:r>
        <w:rPr>
          <w:lang w:val="en-CA"/>
        </w:rPr>
        <w:t>document </w:t>
      </w:r>
      <w:r w:rsidRPr="00234A52">
        <w:rPr>
          <w:lang w:val="en-CA"/>
        </w:rPr>
        <w:t>UNEP/OzL.Pro/ExCom/8</w:t>
      </w:r>
      <w:r>
        <w:rPr>
          <w:lang w:val="en-CA"/>
        </w:rPr>
        <w:t>7</w:t>
      </w:r>
      <w:r w:rsidRPr="00234A52">
        <w:rPr>
          <w:lang w:val="en-CA"/>
        </w:rPr>
        <w:t>/</w:t>
      </w:r>
      <w:r>
        <w:rPr>
          <w:lang w:val="en-CA"/>
        </w:rPr>
        <w:t>9</w:t>
      </w:r>
      <w:r w:rsidRPr="00234A52">
        <w:rPr>
          <w:lang w:val="en-CA"/>
        </w:rPr>
        <w:t>;</w:t>
      </w:r>
      <w:r>
        <w:rPr>
          <w:lang w:val="en-CA"/>
        </w:rPr>
        <w:t xml:space="preserve"> and</w:t>
      </w:r>
    </w:p>
    <w:p w14:paraId="6BB3667C" w14:textId="77777777" w:rsidR="006C5006" w:rsidRPr="00234A52" w:rsidRDefault="006C5006" w:rsidP="006C5006">
      <w:pPr>
        <w:pStyle w:val="Heading2"/>
        <w:rPr>
          <w:lang w:val="en-CA"/>
        </w:rPr>
      </w:pPr>
      <w:r>
        <w:rPr>
          <w:lang w:val="en-CA"/>
        </w:rPr>
        <w:t>That UNIDO will submit the verification report requested by decision 83/57(d) to the 88</w:t>
      </w:r>
      <w:r w:rsidRPr="00EF2F6A">
        <w:rPr>
          <w:vertAlign w:val="superscript"/>
          <w:lang w:val="en-CA"/>
        </w:rPr>
        <w:t>th</w:t>
      </w:r>
      <w:r>
        <w:rPr>
          <w:lang w:val="en-CA"/>
        </w:rPr>
        <w:t> meeting; in the absence of such report, stage II of th</w:t>
      </w:r>
      <w:r w:rsidRPr="00007E5A">
        <w:rPr>
          <w:lang w:val="en-CA"/>
        </w:rPr>
        <w:t xml:space="preserve">e HPMP would </w:t>
      </w:r>
      <w:r>
        <w:rPr>
          <w:lang w:val="en-CA"/>
        </w:rPr>
        <w:t xml:space="preserve">not be </w:t>
      </w:r>
      <w:r w:rsidRPr="00007E5A">
        <w:rPr>
          <w:lang w:val="en-CA"/>
        </w:rPr>
        <w:t xml:space="preserve">considered </w:t>
      </w:r>
      <w:r>
        <w:rPr>
          <w:lang w:val="en-CA"/>
        </w:rPr>
        <w:t>by the Executive Committee.</w:t>
      </w:r>
    </w:p>
    <w:p w14:paraId="5C6F8161" w14:textId="77777777" w:rsidR="00176809" w:rsidRPr="00E75881" w:rsidRDefault="00176809" w:rsidP="00176809">
      <w:pPr>
        <w:keepNext/>
        <w:spacing w:after="240"/>
        <w:rPr>
          <w:lang w:val="en-CA"/>
        </w:rPr>
      </w:pPr>
      <w:r>
        <w:rPr>
          <w:u w:val="single"/>
          <w:lang w:val="en-CA"/>
        </w:rPr>
        <w:t>Nepal</w:t>
      </w:r>
      <w:r w:rsidRPr="00234A52">
        <w:rPr>
          <w:u w:val="single"/>
          <w:lang w:val="en-CA"/>
        </w:rPr>
        <w:t>: HCFC phase-out management plan</w:t>
      </w:r>
      <w:r w:rsidRPr="001A5142">
        <w:rPr>
          <w:u w:val="single"/>
          <w:lang w:val="en-CA"/>
        </w:rPr>
        <w:t xml:space="preserve"> </w:t>
      </w:r>
      <w:r>
        <w:rPr>
          <w:u w:val="single"/>
          <w:lang w:val="en-CA"/>
        </w:rPr>
        <w:t xml:space="preserve">(stage I </w:t>
      </w:r>
      <w:r>
        <w:rPr>
          <w:u w:val="single"/>
          <w:lang w:val="en-CA"/>
        </w:rPr>
        <w:noBreakHyphen/>
        <w:t xml:space="preserve"> request for extension</w:t>
      </w:r>
      <w:r w:rsidRPr="00EA58A2">
        <w:rPr>
          <w:u w:val="single"/>
          <w:lang w:val="en-CA"/>
        </w:rPr>
        <w:t>)</w:t>
      </w:r>
      <w:r w:rsidRPr="00057D57">
        <w:rPr>
          <w:lang w:val="en-CA"/>
        </w:rPr>
        <w:t xml:space="preserve"> (UNEP and UNDP)</w:t>
      </w:r>
    </w:p>
    <w:p w14:paraId="3CC35A74" w14:textId="77777777" w:rsidR="00176809" w:rsidRPr="00E75881" w:rsidRDefault="00176809" w:rsidP="00176809">
      <w:pPr>
        <w:keepNext/>
        <w:spacing w:after="240"/>
        <w:rPr>
          <w:b/>
          <w:lang w:val="en-CA"/>
        </w:rPr>
      </w:pPr>
      <w:r w:rsidRPr="00E75881">
        <w:rPr>
          <w:b/>
          <w:lang w:val="en-CA"/>
        </w:rPr>
        <w:t>Background</w:t>
      </w:r>
    </w:p>
    <w:p w14:paraId="2D71E36B" w14:textId="77777777" w:rsidR="00176809" w:rsidRPr="00024F75" w:rsidRDefault="00176809" w:rsidP="00176809">
      <w:pPr>
        <w:numPr>
          <w:ilvl w:val="0"/>
          <w:numId w:val="1"/>
        </w:numPr>
        <w:spacing w:after="240"/>
        <w:outlineLvl w:val="0"/>
        <w:rPr>
          <w:lang w:val="en-CA"/>
        </w:rPr>
      </w:pPr>
      <w:r w:rsidRPr="00E75881">
        <w:rPr>
          <w:lang w:val="en-CA"/>
        </w:rPr>
        <w:t xml:space="preserve">On behalf of the Government of the Nepal, UNEP as the lead implementing agency has submitted a request </w:t>
      </w:r>
      <w:r w:rsidRPr="00024F75">
        <w:rPr>
          <w:lang w:val="en-CA"/>
        </w:rPr>
        <w:t xml:space="preserve">for extension of the implementation of stage I of the </w:t>
      </w:r>
      <w:r w:rsidR="006538A6">
        <w:rPr>
          <w:lang w:val="en-CA"/>
        </w:rPr>
        <w:t>HPMP</w:t>
      </w:r>
      <w:r w:rsidRPr="00024F75">
        <w:rPr>
          <w:lang w:val="en-CA"/>
        </w:rPr>
        <w:t>.</w:t>
      </w:r>
    </w:p>
    <w:p w14:paraId="052E3A18" w14:textId="77777777" w:rsidR="00176809" w:rsidRPr="00024F75" w:rsidRDefault="00176809" w:rsidP="00176809">
      <w:pPr>
        <w:pStyle w:val="Heading1"/>
        <w:autoSpaceDE w:val="0"/>
        <w:autoSpaceDN w:val="0"/>
        <w:adjustRightInd w:val="0"/>
        <w:rPr>
          <w:lang w:val="en-CA"/>
        </w:rPr>
      </w:pPr>
      <w:r w:rsidRPr="00024F75">
        <w:rPr>
          <w:lang w:val="en-CA"/>
        </w:rPr>
        <w:t>Stage I of the HPMP was approved at the 62</w:t>
      </w:r>
      <w:r w:rsidRPr="00024F75">
        <w:rPr>
          <w:vertAlign w:val="superscript"/>
          <w:lang w:val="en-CA"/>
        </w:rPr>
        <w:t>nd</w:t>
      </w:r>
      <w:r w:rsidRPr="00024F75">
        <w:rPr>
          <w:lang w:val="en-CA"/>
        </w:rPr>
        <w:t xml:space="preserve"> meeting</w:t>
      </w:r>
      <w:r>
        <w:rPr>
          <w:lang w:val="en-CA"/>
        </w:rPr>
        <w:t>,</w:t>
      </w:r>
      <w:r w:rsidRPr="00024F75">
        <w:rPr>
          <w:rStyle w:val="FootnoteReference"/>
          <w:lang w:val="en-CA"/>
        </w:rPr>
        <w:footnoteReference w:id="36"/>
      </w:r>
      <w:r w:rsidRPr="00024F75">
        <w:rPr>
          <w:lang w:val="en-CA"/>
        </w:rPr>
        <w:t xml:space="preserve"> to meet the 35 per cent reduction from the baseline by 2020, at a total funding level of US $</w:t>
      </w:r>
      <w:r>
        <w:rPr>
          <w:lang w:val="en-CA"/>
        </w:rPr>
        <w:t>21</w:t>
      </w:r>
      <w:r w:rsidRPr="00024F75">
        <w:rPr>
          <w:lang w:val="en-CA"/>
        </w:rPr>
        <w:t>0,000, plus agency support costs to phase out 0.</w:t>
      </w:r>
      <w:r>
        <w:rPr>
          <w:lang w:val="en-CA"/>
        </w:rPr>
        <w:t>64</w:t>
      </w:r>
      <w:r w:rsidRPr="00024F75">
        <w:rPr>
          <w:lang w:val="en-CA"/>
        </w:rPr>
        <w:t xml:space="preserve"> ODP tonnes of HCFCs used in the </w:t>
      </w:r>
      <w:r w:rsidR="006538A6">
        <w:rPr>
          <w:lang w:val="en-CA"/>
        </w:rPr>
        <w:t>RAC</w:t>
      </w:r>
      <w:r w:rsidRPr="00024F75">
        <w:rPr>
          <w:lang w:val="en-CA"/>
        </w:rPr>
        <w:t xml:space="preserve"> servicing sector. All three tranches planned in stage I have been approved, with the last tranche approved under the intersessional approval process for the 86</w:t>
      </w:r>
      <w:r w:rsidRPr="00024F75">
        <w:rPr>
          <w:vertAlign w:val="superscript"/>
          <w:lang w:val="en-CA"/>
        </w:rPr>
        <w:t>th</w:t>
      </w:r>
      <w:r w:rsidRPr="00024F75">
        <w:rPr>
          <w:lang w:val="en-CA"/>
        </w:rPr>
        <w:t> meeting</w:t>
      </w:r>
      <w:r w:rsidRPr="00024F75">
        <w:rPr>
          <w:rStyle w:val="FootnoteReference"/>
          <w:lang w:val="en-CA"/>
        </w:rPr>
        <w:footnoteReference w:id="37"/>
      </w:r>
      <w:r w:rsidRPr="00024F75">
        <w:rPr>
          <w:lang w:val="en-CA"/>
        </w:rPr>
        <w:t xml:space="preserve"> in October 2020. In accordance with </w:t>
      </w:r>
      <w:r w:rsidRPr="00801C46">
        <w:rPr>
          <w:lang w:val="en-CA"/>
        </w:rPr>
        <w:t xml:space="preserve">paragraph 14 of </w:t>
      </w:r>
      <w:r w:rsidRPr="00024F75">
        <w:rPr>
          <w:lang w:val="en-CA"/>
        </w:rPr>
        <w:t xml:space="preserve">the Agreement between the Government </w:t>
      </w:r>
      <w:r>
        <w:rPr>
          <w:lang w:val="en-CA"/>
        </w:rPr>
        <w:t xml:space="preserve">of Nepal </w:t>
      </w:r>
      <w:r w:rsidRPr="00024F75">
        <w:rPr>
          <w:lang w:val="en-CA"/>
        </w:rPr>
        <w:t xml:space="preserve">and the Executive Committee, the project is to be completed by </w:t>
      </w:r>
      <w:r>
        <w:rPr>
          <w:lang w:val="en-CA"/>
        </w:rPr>
        <w:t xml:space="preserve">31 December </w:t>
      </w:r>
      <w:r w:rsidRPr="00024F75">
        <w:rPr>
          <w:lang w:val="en-CA"/>
        </w:rPr>
        <w:t>2021.</w:t>
      </w:r>
    </w:p>
    <w:p w14:paraId="5977635D" w14:textId="77777777" w:rsidR="00176809" w:rsidRPr="0070755F" w:rsidRDefault="00176809" w:rsidP="00176809">
      <w:pPr>
        <w:pStyle w:val="Heading1"/>
      </w:pPr>
      <w:r w:rsidRPr="00024F75">
        <w:rPr>
          <w:lang w:val="en-US"/>
        </w:rPr>
        <w:t>The implementation of stage I is progressing. The first tranche has been completed</w:t>
      </w:r>
      <w:r>
        <w:rPr>
          <w:lang w:val="en-US"/>
        </w:rPr>
        <w:t xml:space="preserve"> and</w:t>
      </w:r>
      <w:r w:rsidRPr="00024F75">
        <w:rPr>
          <w:lang w:val="en-US"/>
        </w:rPr>
        <w:t xml:space="preserve"> most </w:t>
      </w:r>
      <w:r>
        <w:rPr>
          <w:lang w:val="en-US"/>
        </w:rPr>
        <w:t xml:space="preserve">of the proposed </w:t>
      </w:r>
      <w:r w:rsidRPr="00024F75">
        <w:rPr>
          <w:lang w:val="en-US"/>
        </w:rPr>
        <w:t xml:space="preserve">activities in the second tranche have been implemented. However, </w:t>
      </w:r>
      <w:r w:rsidRPr="00024F75">
        <w:t>due to the impact of the COVID-19 pandemic, the implementation of some activities, especially</w:t>
      </w:r>
      <w:r w:rsidRPr="00024F75">
        <w:rPr>
          <w:lang w:val="en-US"/>
        </w:rPr>
        <w:t xml:space="preserve"> training workshops for customs and enforcement officers</w:t>
      </w:r>
      <w:r>
        <w:rPr>
          <w:lang w:val="en-US"/>
        </w:rPr>
        <w:t xml:space="preserve"> and </w:t>
      </w:r>
      <w:r w:rsidRPr="00024F75">
        <w:rPr>
          <w:lang w:val="en-US"/>
        </w:rPr>
        <w:t xml:space="preserve">RAC </w:t>
      </w:r>
      <w:r>
        <w:rPr>
          <w:lang w:val="en-US"/>
        </w:rPr>
        <w:t xml:space="preserve">servicing </w:t>
      </w:r>
      <w:r w:rsidRPr="00024F75">
        <w:rPr>
          <w:lang w:val="en-US"/>
        </w:rPr>
        <w:t xml:space="preserve">technicians, </w:t>
      </w:r>
      <w:r>
        <w:rPr>
          <w:lang w:val="en-US"/>
        </w:rPr>
        <w:t xml:space="preserve">the </w:t>
      </w:r>
      <w:r w:rsidRPr="00024F75">
        <w:rPr>
          <w:rFonts w:ascii="TimesNewRomanPSMT" w:eastAsiaTheme="minorHAnsi" w:hAnsi="TimesNewRomanPSMT" w:cs="TimesNewRomanPSMT"/>
          <w:lang w:val="en-US"/>
        </w:rPr>
        <w:t xml:space="preserve">incentive </w:t>
      </w:r>
      <w:proofErr w:type="spellStart"/>
      <w:r w:rsidRPr="00024F75">
        <w:rPr>
          <w:rFonts w:ascii="TimesNewRomanPSMT" w:eastAsiaTheme="minorHAnsi" w:hAnsi="TimesNewRomanPSMT" w:cs="TimesNewRomanPSMT"/>
          <w:lang w:val="en-US"/>
        </w:rPr>
        <w:t>programme</w:t>
      </w:r>
      <w:proofErr w:type="spellEnd"/>
      <w:r w:rsidRPr="00024F75">
        <w:rPr>
          <w:rFonts w:ascii="TimesNewRomanPSMT" w:eastAsiaTheme="minorHAnsi" w:hAnsi="TimesNewRomanPSMT" w:cs="TimesNewRomanPSMT"/>
          <w:lang w:val="en-US"/>
        </w:rPr>
        <w:t>, workshop</w:t>
      </w:r>
      <w:r>
        <w:rPr>
          <w:rFonts w:ascii="TimesNewRomanPSMT" w:eastAsiaTheme="minorHAnsi" w:hAnsi="TimesNewRomanPSMT" w:cs="TimesNewRomanPSMT"/>
          <w:lang w:val="en-US"/>
        </w:rPr>
        <w:t>s</w:t>
      </w:r>
      <w:r w:rsidRPr="00024F75">
        <w:rPr>
          <w:rFonts w:ascii="TimesNewRomanPSMT" w:eastAsiaTheme="minorHAnsi" w:hAnsi="TimesNewRomanPSMT" w:cs="TimesNewRomanPSMT"/>
          <w:lang w:val="en-US"/>
        </w:rPr>
        <w:t xml:space="preserve"> to promote </w:t>
      </w:r>
      <w:r>
        <w:rPr>
          <w:rFonts w:ascii="TimesNewRomanPSMT" w:eastAsiaTheme="minorHAnsi" w:hAnsi="TimesNewRomanPSMT" w:cs="TimesNewRomanPSMT"/>
          <w:lang w:val="en-US"/>
        </w:rPr>
        <w:t xml:space="preserve">refrigerant </w:t>
      </w:r>
      <w:r w:rsidRPr="00024F75">
        <w:rPr>
          <w:rFonts w:ascii="TimesNewRomanPSMT" w:eastAsiaTheme="minorHAnsi" w:hAnsi="TimesNewRomanPSMT" w:cs="TimesNewRomanPSMT"/>
          <w:lang w:val="en-US"/>
        </w:rPr>
        <w:t>recovery/reuse</w:t>
      </w:r>
      <w:r>
        <w:rPr>
          <w:rFonts w:ascii="TimesNewRomanPSMT" w:eastAsiaTheme="minorHAnsi" w:hAnsi="TimesNewRomanPSMT" w:cs="TimesNewRomanPSMT"/>
          <w:lang w:val="en-US"/>
        </w:rPr>
        <w:t>,</w:t>
      </w:r>
      <w:r w:rsidRPr="00024F75">
        <w:rPr>
          <w:rFonts w:ascii="TimesNewRomanPSMT" w:eastAsiaTheme="minorHAnsi" w:hAnsi="TimesNewRomanPSMT" w:cs="TimesNewRomanPSMT"/>
          <w:lang w:val="en-US"/>
        </w:rPr>
        <w:t xml:space="preserve"> and procurement of refrigerant identifiers </w:t>
      </w:r>
      <w:r w:rsidRPr="00024F75">
        <w:t xml:space="preserve">have been delayed. Given the </w:t>
      </w:r>
      <w:r>
        <w:t>uncertain timing of post-</w:t>
      </w:r>
      <w:r w:rsidRPr="00024F75">
        <w:t>COVID</w:t>
      </w:r>
      <w:r w:rsidRPr="00024F75">
        <w:noBreakHyphen/>
        <w:t>19</w:t>
      </w:r>
      <w:r>
        <w:t xml:space="preserve"> recovery</w:t>
      </w:r>
      <w:r w:rsidRPr="00024F75">
        <w:t>, the Government is requesting</w:t>
      </w:r>
      <w:r w:rsidRPr="0070755F">
        <w:t xml:space="preserve"> an extension of the implementation of stage I until 31 December 2022.</w:t>
      </w:r>
    </w:p>
    <w:p w14:paraId="542BCCE9" w14:textId="77777777" w:rsidR="00176809" w:rsidRPr="00234A52" w:rsidRDefault="00176809" w:rsidP="00176809">
      <w:pPr>
        <w:spacing w:after="240"/>
        <w:rPr>
          <w:i/>
          <w:lang w:val="en-CA"/>
        </w:rPr>
      </w:pPr>
      <w:r w:rsidRPr="00234A52">
        <w:rPr>
          <w:i/>
          <w:lang w:val="en-CA"/>
        </w:rPr>
        <w:t xml:space="preserve">HCFC consumption </w:t>
      </w:r>
    </w:p>
    <w:p w14:paraId="2F60F697" w14:textId="77777777" w:rsidR="00176809" w:rsidRDefault="00176809" w:rsidP="00176809">
      <w:pPr>
        <w:pStyle w:val="Heading1"/>
        <w:rPr>
          <w:lang w:val="en-CA"/>
        </w:rPr>
      </w:pPr>
      <w:r>
        <w:rPr>
          <w:lang w:val="en-CA"/>
        </w:rPr>
        <w:t>T</w:t>
      </w:r>
      <w:r w:rsidRPr="00D21D59">
        <w:t xml:space="preserve">he country programme </w:t>
      </w:r>
      <w:r>
        <w:t xml:space="preserve">implementation </w:t>
      </w:r>
      <w:r w:rsidRPr="00D21D59">
        <w:t xml:space="preserve">report </w:t>
      </w:r>
      <w:r>
        <w:t xml:space="preserve">submitted by the Government of Nepal </w:t>
      </w:r>
      <w:r w:rsidRPr="00D21D59">
        <w:t>shows a consumption of 0</w:t>
      </w:r>
      <w:r w:rsidRPr="00D21D59">
        <w:rPr>
          <w:lang w:val="en-CA"/>
        </w:rPr>
        <w:t>.41 ODP tonnes of HCFCs in 2020, which is 43 per cent below the 0.72 ODP tonnes</w:t>
      </w:r>
      <w:r>
        <w:rPr>
          <w:lang w:val="en-CA"/>
        </w:rPr>
        <w:t xml:space="preserve"> under the Agreement with the Executive Committee,</w:t>
      </w:r>
      <w:r w:rsidRPr="00D21D59">
        <w:rPr>
          <w:lang w:val="en-CA"/>
        </w:rPr>
        <w:t xml:space="preserve"> and 63 per cent lower than the baseline of </w:t>
      </w:r>
      <w:r w:rsidRPr="00D21D59">
        <w:rPr>
          <w:shd w:val="clear" w:color="auto" w:fill="FFFFFF"/>
        </w:rPr>
        <w:t>1.1</w:t>
      </w:r>
      <w:r w:rsidRPr="00D21D59">
        <w:rPr>
          <w:rFonts w:ascii="Helvetica" w:hAnsi="Helvetica"/>
          <w:sz w:val="18"/>
          <w:szCs w:val="18"/>
          <w:shd w:val="clear" w:color="auto" w:fill="FFFFFF"/>
        </w:rPr>
        <w:t xml:space="preserve"> </w:t>
      </w:r>
      <w:r w:rsidRPr="00D21D59">
        <w:rPr>
          <w:lang w:val="en-CA"/>
        </w:rPr>
        <w:t xml:space="preserve">ODP tonnes. </w:t>
      </w:r>
    </w:p>
    <w:p w14:paraId="35E0C092" w14:textId="77777777" w:rsidR="00176809" w:rsidRPr="00576CCE" w:rsidRDefault="00176809" w:rsidP="00176809">
      <w:pPr>
        <w:spacing w:after="240"/>
        <w:rPr>
          <w:b/>
          <w:color w:val="000000" w:themeColor="text1"/>
          <w:lang w:val="en-CA"/>
        </w:rPr>
      </w:pPr>
      <w:r w:rsidRPr="00576CCE">
        <w:rPr>
          <w:b/>
          <w:lang w:val="en-CA"/>
        </w:rPr>
        <w:lastRenderedPageBreak/>
        <w:t xml:space="preserve">Progress report on the implementation of </w:t>
      </w:r>
      <w:r w:rsidRPr="00576CCE">
        <w:rPr>
          <w:b/>
          <w:color w:val="000000" w:themeColor="text1"/>
          <w:lang w:val="en-CA"/>
        </w:rPr>
        <w:t xml:space="preserve">stage I </w:t>
      </w:r>
    </w:p>
    <w:p w14:paraId="0A485FFC" w14:textId="77777777" w:rsidR="00176809" w:rsidRPr="00AF5D18" w:rsidRDefault="00176809" w:rsidP="00176809">
      <w:pPr>
        <w:pStyle w:val="Heading1"/>
        <w:rPr>
          <w:lang w:val="en-CA"/>
        </w:rPr>
      </w:pPr>
      <w:r w:rsidRPr="00894465">
        <w:rPr>
          <w:color w:val="000000" w:themeColor="text1"/>
          <w:lang w:val="en-CA"/>
        </w:rPr>
        <w:t xml:space="preserve">The country has been enforcing the licensing and quota system to control the import of HCFCs and </w:t>
      </w:r>
      <w:r w:rsidRPr="00894465">
        <w:rPr>
          <w:color w:val="000000" w:themeColor="text1"/>
        </w:rPr>
        <w:t xml:space="preserve">there is a licensing requirement to import HFCs and </w:t>
      </w:r>
      <w:r>
        <w:rPr>
          <w:color w:val="000000" w:themeColor="text1"/>
        </w:rPr>
        <w:t>HFC-</w:t>
      </w:r>
      <w:r w:rsidRPr="00894465">
        <w:rPr>
          <w:color w:val="000000" w:themeColor="text1"/>
        </w:rPr>
        <w:t>blends</w:t>
      </w:r>
      <w:r>
        <w:rPr>
          <w:color w:val="000000" w:themeColor="text1"/>
        </w:rPr>
        <w:t>. The i</w:t>
      </w:r>
      <w:r w:rsidRPr="00894465">
        <w:rPr>
          <w:color w:val="000000" w:themeColor="text1"/>
        </w:rPr>
        <w:t>mport</w:t>
      </w:r>
      <w:r>
        <w:rPr>
          <w:color w:val="000000" w:themeColor="text1"/>
        </w:rPr>
        <w:t xml:space="preserve"> of ODS other than HCFCs has</w:t>
      </w:r>
      <w:r w:rsidRPr="00894465">
        <w:rPr>
          <w:color w:val="000000" w:themeColor="text1"/>
        </w:rPr>
        <w:t xml:space="preserve"> been banned since 2010 and the </w:t>
      </w:r>
      <w:r w:rsidRPr="00894465">
        <w:rPr>
          <w:color w:val="000000" w:themeColor="text1"/>
          <w:lang w:val="en-US"/>
        </w:rPr>
        <w:t xml:space="preserve">import of HCFC-based equipment </w:t>
      </w:r>
      <w:r>
        <w:rPr>
          <w:color w:val="000000" w:themeColor="text1"/>
          <w:lang w:val="en-US"/>
        </w:rPr>
        <w:t>has been</w:t>
      </w:r>
      <w:r w:rsidRPr="00894465">
        <w:rPr>
          <w:color w:val="000000" w:themeColor="text1"/>
          <w:lang w:val="en-US"/>
        </w:rPr>
        <w:t xml:space="preserve"> banned since 1 January 2017. A total of </w:t>
      </w:r>
      <w:r w:rsidRPr="00894465">
        <w:rPr>
          <w:color w:val="000000" w:themeColor="text1"/>
        </w:rPr>
        <w:t xml:space="preserve">210 customs and enforcement officers </w:t>
      </w:r>
      <w:r>
        <w:rPr>
          <w:color w:val="000000" w:themeColor="text1"/>
        </w:rPr>
        <w:t xml:space="preserve">have been </w:t>
      </w:r>
      <w:r w:rsidRPr="00894465">
        <w:rPr>
          <w:color w:val="000000" w:themeColor="text1"/>
        </w:rPr>
        <w:t xml:space="preserve">trained </w:t>
      </w:r>
      <w:r>
        <w:rPr>
          <w:color w:val="000000" w:themeColor="text1"/>
          <w:lang w:bidi="lo-LA"/>
        </w:rPr>
        <w:t>i</w:t>
      </w:r>
      <w:r w:rsidRPr="00894465">
        <w:rPr>
          <w:color w:val="000000" w:themeColor="text1"/>
          <w:lang w:bidi="lo-LA"/>
        </w:rPr>
        <w:t xml:space="preserve">n </w:t>
      </w:r>
      <w:r w:rsidRPr="00894465">
        <w:rPr>
          <w:color w:val="000000" w:themeColor="text1"/>
        </w:rPr>
        <w:t>pr</w:t>
      </w:r>
      <w:r>
        <w:rPr>
          <w:color w:val="000000" w:themeColor="text1"/>
        </w:rPr>
        <w:t>ocedures for ODS import control</w:t>
      </w:r>
      <w:r w:rsidRPr="00894465">
        <w:rPr>
          <w:color w:val="000000" w:themeColor="text1"/>
        </w:rPr>
        <w:t xml:space="preserve">. The manual on the national regulations and the import and export licensing system was amended in 2015 and the country began implementing the </w:t>
      </w:r>
      <w:r>
        <w:rPr>
          <w:color w:val="000000" w:themeColor="text1"/>
        </w:rPr>
        <w:t>HS</w:t>
      </w:r>
      <w:r w:rsidRPr="00894465">
        <w:rPr>
          <w:color w:val="000000" w:themeColor="text1"/>
        </w:rPr>
        <w:t xml:space="preserve"> Codes for identification of HCFC and HFC blends in May 2020. Two regional border dialogues were conducted with neighbouring countries (</w:t>
      </w:r>
      <w:r>
        <w:rPr>
          <w:color w:val="000000" w:themeColor="text1"/>
        </w:rPr>
        <w:t xml:space="preserve">e.g., </w:t>
      </w:r>
      <w:r w:rsidRPr="00894465">
        <w:rPr>
          <w:color w:val="000000" w:themeColor="text1"/>
        </w:rPr>
        <w:t xml:space="preserve">Bangladesh, Bhutan, China, India and Myanmar). Two refrigerant identifiers were provided, one to the Customs Department and the other to the NOU. </w:t>
      </w:r>
      <w:r>
        <w:rPr>
          <w:color w:val="000000" w:themeColor="text1"/>
        </w:rPr>
        <w:t>Eighty-six</w:t>
      </w:r>
      <w:r w:rsidRPr="00894465">
        <w:rPr>
          <w:color w:val="000000" w:themeColor="text1"/>
        </w:rPr>
        <w:t xml:space="preserve"> unit</w:t>
      </w:r>
      <w:r>
        <w:rPr>
          <w:color w:val="000000" w:themeColor="text1"/>
        </w:rPr>
        <w:t>s of residential HCFC</w:t>
      </w:r>
      <w:r>
        <w:rPr>
          <w:color w:val="000000" w:themeColor="text1"/>
        </w:rPr>
        <w:noBreakHyphen/>
        <w:t>based air</w:t>
      </w:r>
      <w:r>
        <w:rPr>
          <w:color w:val="000000" w:themeColor="text1"/>
        </w:rPr>
        <w:noBreakHyphen/>
      </w:r>
      <w:r w:rsidRPr="00894465">
        <w:rPr>
          <w:color w:val="000000" w:themeColor="text1"/>
        </w:rPr>
        <w:t xml:space="preserve">conditioners were replaced with HFC-32-based and R-290-based equipment. </w:t>
      </w:r>
      <w:r w:rsidRPr="00894465">
        <w:rPr>
          <w:color w:val="000000" w:themeColor="text1"/>
          <w:lang w:val="en-CA"/>
        </w:rPr>
        <w:t xml:space="preserve">Equipment and tools were distributed to 30 servicing workshops/technicians and </w:t>
      </w:r>
      <w:r>
        <w:rPr>
          <w:color w:val="000000" w:themeColor="text1"/>
          <w:lang w:val="en-CA"/>
        </w:rPr>
        <w:t xml:space="preserve">to </w:t>
      </w:r>
      <w:r w:rsidRPr="00894465">
        <w:rPr>
          <w:color w:val="000000" w:themeColor="text1"/>
          <w:lang w:val="en-CA"/>
        </w:rPr>
        <w:t xml:space="preserve">technical training institutes in eight </w:t>
      </w:r>
      <w:r w:rsidRPr="00AF5D18">
        <w:rPr>
          <w:color w:val="000000" w:themeColor="text1"/>
          <w:lang w:val="en-CA"/>
        </w:rPr>
        <w:t>provinces.</w:t>
      </w:r>
    </w:p>
    <w:p w14:paraId="1596E9D7" w14:textId="77777777" w:rsidR="00176809" w:rsidRPr="00AF5D18" w:rsidRDefault="00176809" w:rsidP="00176809">
      <w:pPr>
        <w:numPr>
          <w:ilvl w:val="0"/>
          <w:numId w:val="1"/>
        </w:numPr>
        <w:spacing w:after="240"/>
        <w:outlineLvl w:val="0"/>
        <w:rPr>
          <w:lang w:val="en-CA"/>
        </w:rPr>
      </w:pPr>
      <w:r w:rsidRPr="00AF5D18">
        <w:rPr>
          <w:lang w:val="en-CA"/>
        </w:rPr>
        <w:t>Since the approval of the third tranche</w:t>
      </w:r>
      <w:r>
        <w:rPr>
          <w:lang w:val="en-CA"/>
        </w:rPr>
        <w:t xml:space="preserve"> of stage I</w:t>
      </w:r>
      <w:r w:rsidRPr="00AF5D18">
        <w:rPr>
          <w:lang w:val="en-CA"/>
        </w:rPr>
        <w:t xml:space="preserve">, a </w:t>
      </w:r>
      <w:r w:rsidRPr="00AF5D18">
        <w:t xml:space="preserve">small-scale funding agreement </w:t>
      </w:r>
      <w:r w:rsidRPr="00AF5D18">
        <w:rPr>
          <w:lang w:val="en-CA"/>
        </w:rPr>
        <w:t xml:space="preserve">between the Government and UNEP and a Letter of Agreement between the Government and UNDP were signed </w:t>
      </w:r>
      <w:r w:rsidRPr="00AF5D18">
        <w:t>to specify responsibilities for activity implementation</w:t>
      </w:r>
      <w:r>
        <w:t xml:space="preserve"> and reporting</w:t>
      </w:r>
      <w:r w:rsidRPr="00AF5D18">
        <w:t xml:space="preserve">, </w:t>
      </w:r>
      <w:r w:rsidRPr="00AF5D18">
        <w:rPr>
          <w:lang w:val="en-CA"/>
        </w:rPr>
        <w:t xml:space="preserve">and the first payment </w:t>
      </w:r>
      <w:r>
        <w:rPr>
          <w:lang w:val="en-CA"/>
        </w:rPr>
        <w:t>under</w:t>
      </w:r>
      <w:r w:rsidRPr="00AF5D18">
        <w:rPr>
          <w:lang w:val="en-CA"/>
        </w:rPr>
        <w:t xml:space="preserve"> each agreement is expected in June 2021. </w:t>
      </w:r>
      <w:r>
        <w:rPr>
          <w:lang w:val="en-CA"/>
        </w:rPr>
        <w:t>Furthermore, agreements signed to complete activities in the second tranche were extended up to 31 December 2021.</w:t>
      </w:r>
    </w:p>
    <w:p w14:paraId="5995A5C9" w14:textId="77777777" w:rsidR="00176809" w:rsidRPr="00846059" w:rsidRDefault="00176809" w:rsidP="00176809">
      <w:pPr>
        <w:keepNext/>
        <w:spacing w:after="240"/>
        <w:outlineLvl w:val="0"/>
        <w:rPr>
          <w:u w:val="single"/>
          <w:lang w:val="en-CA"/>
        </w:rPr>
      </w:pPr>
      <w:r w:rsidRPr="00846059">
        <w:rPr>
          <w:u w:val="single"/>
          <w:lang w:val="en-CA"/>
        </w:rPr>
        <w:t>Level of fund disbursement</w:t>
      </w:r>
    </w:p>
    <w:p w14:paraId="5D05F133" w14:textId="77777777" w:rsidR="00176809" w:rsidRPr="00801C46" w:rsidRDefault="00176809" w:rsidP="00176809">
      <w:pPr>
        <w:keepNext/>
        <w:numPr>
          <w:ilvl w:val="0"/>
          <w:numId w:val="1"/>
        </w:numPr>
        <w:spacing w:after="240"/>
        <w:outlineLvl w:val="0"/>
        <w:rPr>
          <w:lang w:val="en-CA"/>
        </w:rPr>
      </w:pPr>
      <w:r w:rsidRPr="00801C46">
        <w:rPr>
          <w:lang w:val="en-CA"/>
        </w:rPr>
        <w:t xml:space="preserve">As of April 2020, of </w:t>
      </w:r>
      <w:r w:rsidRPr="003A3A04">
        <w:rPr>
          <w:lang w:val="en-CA"/>
        </w:rPr>
        <w:t>the US $210,000 approved so far, US $</w:t>
      </w:r>
      <w:r w:rsidRPr="003A3A04">
        <w:rPr>
          <w:rFonts w:eastAsia="SimSun"/>
          <w:lang w:eastAsia="zh-CN"/>
        </w:rPr>
        <w:t xml:space="preserve">103,900 </w:t>
      </w:r>
      <w:r w:rsidRPr="003A3A04">
        <w:rPr>
          <w:lang w:val="en-CA"/>
        </w:rPr>
        <w:t>had been disbursed by UNEP and US</w:t>
      </w:r>
      <w:r>
        <w:rPr>
          <w:lang w:val="en-CA"/>
        </w:rPr>
        <w:t> </w:t>
      </w:r>
      <w:r w:rsidRPr="003A3A04">
        <w:rPr>
          <w:lang w:val="en-CA"/>
        </w:rPr>
        <w:t>$</w:t>
      </w:r>
      <w:r>
        <w:rPr>
          <w:lang w:val="en-CA"/>
        </w:rPr>
        <w:t xml:space="preserve">64,516 </w:t>
      </w:r>
      <w:r w:rsidRPr="003A3A04">
        <w:rPr>
          <w:lang w:val="en-CA"/>
        </w:rPr>
        <w:t>by UNDP</w:t>
      </w:r>
      <w:r>
        <w:rPr>
          <w:lang w:val="en-CA"/>
        </w:rPr>
        <w:t xml:space="preserve">; in addition, </w:t>
      </w:r>
      <w:r w:rsidRPr="003A3A04">
        <w:rPr>
          <w:rFonts w:cstheme="minorHAnsi"/>
        </w:rPr>
        <w:t>US</w:t>
      </w:r>
      <w:r>
        <w:rPr>
          <w:rFonts w:cstheme="minorHAnsi"/>
        </w:rPr>
        <w:t> </w:t>
      </w:r>
      <w:r w:rsidRPr="003A3A04">
        <w:rPr>
          <w:rFonts w:cstheme="minorHAnsi"/>
        </w:rPr>
        <w:t>$9,500 from UNEP and US</w:t>
      </w:r>
      <w:r>
        <w:rPr>
          <w:rFonts w:cstheme="minorHAnsi"/>
        </w:rPr>
        <w:t> </w:t>
      </w:r>
      <w:r w:rsidRPr="003A3A04">
        <w:rPr>
          <w:rFonts w:cstheme="minorHAnsi"/>
        </w:rPr>
        <w:t xml:space="preserve">$11,084 from UNDP </w:t>
      </w:r>
      <w:r>
        <w:rPr>
          <w:rFonts w:cstheme="minorHAnsi"/>
        </w:rPr>
        <w:t>have been</w:t>
      </w:r>
      <w:r w:rsidRPr="003A3A04">
        <w:rPr>
          <w:rFonts w:cstheme="minorHAnsi"/>
        </w:rPr>
        <w:t xml:space="preserve"> committed to complete the second tranche implementation</w:t>
      </w:r>
      <w:r>
        <w:rPr>
          <w:rFonts w:cstheme="minorHAnsi"/>
        </w:rPr>
        <w:t>.</w:t>
      </w:r>
    </w:p>
    <w:p w14:paraId="480321EB" w14:textId="77777777" w:rsidR="00176809" w:rsidRPr="00CB7319" w:rsidRDefault="00176809" w:rsidP="00176809">
      <w:pPr>
        <w:keepNext/>
        <w:spacing w:after="240"/>
        <w:rPr>
          <w:b/>
          <w:lang w:val="en-CA"/>
        </w:rPr>
      </w:pPr>
      <w:r w:rsidRPr="00CB7319">
        <w:rPr>
          <w:b/>
          <w:lang w:val="en-CA"/>
        </w:rPr>
        <w:t>Secretariat’s comments</w:t>
      </w:r>
    </w:p>
    <w:p w14:paraId="3B391FE5" w14:textId="77777777" w:rsidR="00176809" w:rsidRPr="00CB7319" w:rsidRDefault="00176809" w:rsidP="00176809">
      <w:pPr>
        <w:numPr>
          <w:ilvl w:val="0"/>
          <w:numId w:val="1"/>
        </w:numPr>
        <w:spacing w:after="240"/>
        <w:outlineLvl w:val="0"/>
        <w:rPr>
          <w:lang w:val="en-CA"/>
        </w:rPr>
      </w:pPr>
      <w:r w:rsidRPr="00CB7319">
        <w:rPr>
          <w:lang w:val="en-CA"/>
        </w:rPr>
        <w:t xml:space="preserve">The Secretariat notes the efforts undertaken by the Government of Nepal, UNEP and UNDP to complete the activities planned in the </w:t>
      </w:r>
      <w:r>
        <w:rPr>
          <w:lang w:val="en-CA"/>
        </w:rPr>
        <w:t xml:space="preserve">second and </w:t>
      </w:r>
      <w:r w:rsidRPr="00CB7319">
        <w:rPr>
          <w:lang w:val="en-CA"/>
        </w:rPr>
        <w:t>third tranche</w:t>
      </w:r>
      <w:r>
        <w:rPr>
          <w:lang w:val="en-CA"/>
        </w:rPr>
        <w:t>s</w:t>
      </w:r>
      <w:r w:rsidRPr="00CB7319">
        <w:rPr>
          <w:lang w:val="en-CA"/>
        </w:rPr>
        <w:t xml:space="preserve"> of stage I </w:t>
      </w:r>
      <w:r w:rsidRPr="00801C46">
        <w:rPr>
          <w:lang w:val="en-CA"/>
        </w:rPr>
        <w:t xml:space="preserve">by 31 December 2021. Notwithstanding those efforts, it is anticipated that the project will not be completed by the end of 2021 due to delays associated with the COVID-19 pandemic. </w:t>
      </w:r>
      <w:r w:rsidRPr="00801C46">
        <w:rPr>
          <w:bdr w:val="none" w:sz="0" w:space="0" w:color="auto" w:frame="1"/>
          <w:lang w:val="en-CA"/>
        </w:rPr>
        <w:t xml:space="preserve">The country expects that working in the office and organizing physical meetings would be authorized in September 2021. </w:t>
      </w:r>
      <w:r w:rsidRPr="00801C46">
        <w:rPr>
          <w:lang w:val="en-CA"/>
        </w:rPr>
        <w:t>T</w:t>
      </w:r>
      <w:r w:rsidRPr="00801C46">
        <w:t>he</w:t>
      </w:r>
      <w:r w:rsidRPr="00801C46">
        <w:rPr>
          <w:lang w:val="en-US"/>
        </w:rPr>
        <w:t xml:space="preserve"> respective agreement</w:t>
      </w:r>
      <w:r>
        <w:rPr>
          <w:lang w:val="en-US"/>
        </w:rPr>
        <w:t>s</w:t>
      </w:r>
      <w:r w:rsidRPr="00801C46">
        <w:rPr>
          <w:lang w:val="en-US"/>
        </w:rPr>
        <w:t xml:space="preserve"> between the </w:t>
      </w:r>
      <w:r>
        <w:rPr>
          <w:lang w:val="en-US"/>
        </w:rPr>
        <w:t>i</w:t>
      </w:r>
      <w:r w:rsidRPr="00801C46">
        <w:rPr>
          <w:lang w:val="en-US"/>
        </w:rPr>
        <w:t xml:space="preserve">mplementing </w:t>
      </w:r>
      <w:r>
        <w:rPr>
          <w:lang w:val="en-US"/>
        </w:rPr>
        <w:t>a</w:t>
      </w:r>
      <w:r w:rsidRPr="00801C46">
        <w:rPr>
          <w:lang w:val="en-US"/>
        </w:rPr>
        <w:t>gencies and the Government to implement the</w:t>
      </w:r>
      <w:r>
        <w:rPr>
          <w:lang w:val="en-US"/>
        </w:rPr>
        <w:t xml:space="preserve"> second tranche have been renewed, and agreements for the</w:t>
      </w:r>
      <w:r w:rsidRPr="00801C46">
        <w:rPr>
          <w:lang w:val="en-US"/>
        </w:rPr>
        <w:t xml:space="preserve"> third tranche were recently signe</w:t>
      </w:r>
      <w:r>
        <w:rPr>
          <w:lang w:val="en-US"/>
        </w:rPr>
        <w:t>d, with the</w:t>
      </w:r>
      <w:r w:rsidRPr="00801C46">
        <w:rPr>
          <w:lang w:val="en-US"/>
        </w:rPr>
        <w:t xml:space="preserve"> first disbursement</w:t>
      </w:r>
      <w:r>
        <w:rPr>
          <w:lang w:val="en-US"/>
        </w:rPr>
        <w:t xml:space="preserve">s </w:t>
      </w:r>
      <w:r w:rsidRPr="00801C46">
        <w:rPr>
          <w:lang w:val="en-US"/>
        </w:rPr>
        <w:t>expected in June 2021</w:t>
      </w:r>
      <w:r w:rsidRPr="00801C46">
        <w:t xml:space="preserve">. </w:t>
      </w:r>
      <w:r w:rsidRPr="00801C46">
        <w:rPr>
          <w:lang w:val="en-CA"/>
        </w:rPr>
        <w:t xml:space="preserve">The extension of one additional year would allow the Government, UNEP and UNDP to complete the remaining activities in the third tranche. </w:t>
      </w:r>
    </w:p>
    <w:p w14:paraId="198960C5" w14:textId="77777777" w:rsidR="00176809" w:rsidRPr="00D21D59" w:rsidRDefault="00176809" w:rsidP="00176809">
      <w:pPr>
        <w:spacing w:after="240"/>
        <w:rPr>
          <w:b/>
          <w:lang w:val="en-CA"/>
        </w:rPr>
      </w:pPr>
      <w:r w:rsidRPr="00D21D59">
        <w:rPr>
          <w:b/>
          <w:lang w:val="en-CA"/>
        </w:rPr>
        <w:t>Recommendation</w:t>
      </w:r>
    </w:p>
    <w:p w14:paraId="46523178" w14:textId="77777777" w:rsidR="00176809" w:rsidRPr="00D21D59" w:rsidRDefault="00176809" w:rsidP="00176809">
      <w:pPr>
        <w:numPr>
          <w:ilvl w:val="0"/>
          <w:numId w:val="1"/>
        </w:numPr>
        <w:spacing w:after="240"/>
        <w:outlineLvl w:val="0"/>
        <w:rPr>
          <w:lang w:val="en-CA"/>
        </w:rPr>
      </w:pPr>
      <w:r w:rsidRPr="00D21D59">
        <w:rPr>
          <w:lang w:val="en-CA"/>
        </w:rPr>
        <w:t>The Executive Committee may wish:</w:t>
      </w:r>
    </w:p>
    <w:p w14:paraId="5A40A282" w14:textId="77777777" w:rsidR="00176809" w:rsidRPr="00D21D59" w:rsidRDefault="00176809" w:rsidP="00C17492">
      <w:pPr>
        <w:widowControl w:val="0"/>
        <w:numPr>
          <w:ilvl w:val="1"/>
          <w:numId w:val="1"/>
        </w:numPr>
        <w:tabs>
          <w:tab w:val="num" w:pos="720"/>
        </w:tabs>
        <w:spacing w:after="240"/>
        <w:outlineLvl w:val="1"/>
        <w:rPr>
          <w:lang w:val="en-CA"/>
        </w:rPr>
      </w:pPr>
      <w:r w:rsidRPr="00D21D59">
        <w:rPr>
          <w:lang w:val="en-CA"/>
        </w:rPr>
        <w:t>To note the progress report on the implementation of the work programme associated with stage I of the HCFC phase-out management plan (HPMP) for Nepal and the request for extension submitted by UNEP, contained in document UNEP/OzL.Pro/ExCom/87/</w:t>
      </w:r>
      <w:r>
        <w:rPr>
          <w:lang w:val="en-CA"/>
        </w:rPr>
        <w:t>9</w:t>
      </w:r>
      <w:r w:rsidRPr="00D21D59">
        <w:rPr>
          <w:lang w:val="en-CA"/>
        </w:rPr>
        <w:t>;</w:t>
      </w:r>
    </w:p>
    <w:p w14:paraId="7CA72DDD" w14:textId="77777777" w:rsidR="00176809" w:rsidRPr="00D21D59" w:rsidRDefault="00176809" w:rsidP="00176809">
      <w:pPr>
        <w:pStyle w:val="Heading2"/>
        <w:rPr>
          <w:lang w:val="en-CA"/>
        </w:rPr>
      </w:pPr>
      <w:r w:rsidRPr="00D21D59">
        <w:rPr>
          <w:lang w:val="en-CA"/>
        </w:rPr>
        <w:t xml:space="preserve">To extend, </w:t>
      </w:r>
      <w:r w:rsidRPr="00D21D59">
        <w:t xml:space="preserve">on an exceptional basis due to the delays imposed by the COVID-19 pandemic, </w:t>
      </w:r>
      <w:r w:rsidRPr="00D21D59">
        <w:rPr>
          <w:lang w:val="en-CA"/>
        </w:rPr>
        <w:t>the completion date of stage I of the HPMP for Nepal until 31 </w:t>
      </w:r>
      <w:r w:rsidRPr="00D21D59">
        <w:t>December 2022</w:t>
      </w:r>
      <w:r>
        <w:t xml:space="preserve"> </w:t>
      </w:r>
      <w:r w:rsidRPr="003F27DE">
        <w:t>noting that no further extension would be requested</w:t>
      </w:r>
      <w:r w:rsidRPr="00D21D59">
        <w:rPr>
          <w:lang w:val="en-CA"/>
        </w:rPr>
        <w:t xml:space="preserve">; and </w:t>
      </w:r>
    </w:p>
    <w:p w14:paraId="349772EB" w14:textId="77777777" w:rsidR="00176809" w:rsidRPr="00D21D59" w:rsidRDefault="00176809" w:rsidP="00176809">
      <w:pPr>
        <w:widowControl w:val="0"/>
        <w:numPr>
          <w:ilvl w:val="1"/>
          <w:numId w:val="1"/>
        </w:numPr>
        <w:tabs>
          <w:tab w:val="num" w:pos="557"/>
        </w:tabs>
        <w:spacing w:after="240"/>
        <w:outlineLvl w:val="1"/>
        <w:rPr>
          <w:lang w:val="en-CA"/>
        </w:rPr>
      </w:pPr>
      <w:r w:rsidRPr="00D21D59">
        <w:rPr>
          <w:lang w:val="en-CA"/>
        </w:rPr>
        <w:t>To request the Government of Nepal, UNEP and UNDP to submit a project completion report to the first meeting of 2023.</w:t>
      </w:r>
    </w:p>
    <w:p w14:paraId="3120701F" w14:textId="77777777" w:rsidR="00226D17" w:rsidRPr="00050966" w:rsidRDefault="00226D17" w:rsidP="007C20AE">
      <w:pPr>
        <w:pStyle w:val="Heading1"/>
        <w:keepNext/>
        <w:keepLines/>
        <w:numPr>
          <w:ilvl w:val="0"/>
          <w:numId w:val="0"/>
        </w:numPr>
      </w:pPr>
      <w:r>
        <w:rPr>
          <w:u w:val="single"/>
          <w:lang w:val="en-CA"/>
        </w:rPr>
        <w:lastRenderedPageBreak/>
        <w:t>The Pacific Island Countries (PICs)</w:t>
      </w:r>
      <w:r w:rsidRPr="00050966">
        <w:rPr>
          <w:u w:val="single"/>
          <w:lang w:val="en-CA"/>
        </w:rPr>
        <w:t>: HCFC phase</w:t>
      </w:r>
      <w:r w:rsidRPr="00050966">
        <w:rPr>
          <w:u w:val="single"/>
          <w:lang w:val="en-CA"/>
        </w:rPr>
        <w:noBreakHyphen/>
        <w:t>out management plan (stage I –</w:t>
      </w:r>
      <w:r>
        <w:rPr>
          <w:u w:val="single"/>
        </w:rPr>
        <w:t>request for extension of the completion date for the third (and final) tranche for the 12 PICs</w:t>
      </w:r>
      <w:r w:rsidRPr="00050966">
        <w:rPr>
          <w:u w:val="single"/>
          <w:lang w:val="en-CA"/>
        </w:rPr>
        <w:t>)</w:t>
      </w:r>
      <w:r w:rsidRPr="00050966">
        <w:rPr>
          <w:lang w:val="en-CA"/>
        </w:rPr>
        <w:t xml:space="preserve"> (UNEP)</w:t>
      </w:r>
    </w:p>
    <w:p w14:paraId="447A2B6E" w14:textId="77777777" w:rsidR="00226D17" w:rsidRDefault="00226D17" w:rsidP="007C20AE">
      <w:pPr>
        <w:keepNext/>
        <w:keepLines/>
        <w:spacing w:after="240"/>
        <w:rPr>
          <w:b/>
          <w:lang w:val="en-CA"/>
        </w:rPr>
      </w:pPr>
      <w:r w:rsidRPr="00A24506">
        <w:rPr>
          <w:b/>
          <w:lang w:val="en-CA"/>
        </w:rPr>
        <w:t>Background</w:t>
      </w:r>
    </w:p>
    <w:p w14:paraId="1DE0F075" w14:textId="77777777" w:rsidR="00226D17" w:rsidRPr="007C46C9" w:rsidRDefault="00226D17" w:rsidP="00226D17">
      <w:pPr>
        <w:pStyle w:val="Heading1"/>
        <w:rPr>
          <w:b/>
          <w:lang w:val="en-US"/>
        </w:rPr>
      </w:pPr>
      <w:r w:rsidRPr="00234A52">
        <w:rPr>
          <w:lang w:val="en-CA"/>
        </w:rPr>
        <w:t>On behalf of the Gover</w:t>
      </w:r>
      <w:r w:rsidRPr="007C46C9">
        <w:rPr>
          <w:lang w:val="en-CA"/>
        </w:rPr>
        <w:t>nments of the Cook Islands, Kiribati, the Marshall Islands, the Federated States of Micronesia, Nauru, Niue, Palau, Samoa, Solomon Islands, Tonga, Tuvalu and Vanuatu (hereinafter referred to as the Pacific Island Countries (PICs)), UNEP as the designated implementing agency has submitted a request for extension of the implementation of stage I of the HPMP.</w:t>
      </w:r>
    </w:p>
    <w:p w14:paraId="597575A5" w14:textId="77777777" w:rsidR="00226D17" w:rsidRPr="007C46C9" w:rsidRDefault="00226D17" w:rsidP="00226D17">
      <w:pPr>
        <w:pStyle w:val="Heading1"/>
        <w:rPr>
          <w:lang w:val="en-US"/>
        </w:rPr>
      </w:pPr>
      <w:r w:rsidRPr="007C46C9">
        <w:rPr>
          <w:rFonts w:eastAsia="MS Mincho"/>
          <w:lang w:val="en-US"/>
        </w:rPr>
        <w:t xml:space="preserve">Stage I of the </w:t>
      </w:r>
      <w:r w:rsidRPr="007C46C9">
        <w:t>HPMP for</w:t>
      </w:r>
      <w:r w:rsidRPr="007C46C9">
        <w:rPr>
          <w:lang w:val="en-US"/>
        </w:rPr>
        <w:t xml:space="preserve"> </w:t>
      </w:r>
      <w:r w:rsidRPr="007C46C9">
        <w:rPr>
          <w:lang w:val="en-CA"/>
        </w:rPr>
        <w:t xml:space="preserve">the PICs, </w:t>
      </w:r>
      <w:r w:rsidRPr="007C46C9">
        <w:t xml:space="preserve">was approved at the </w:t>
      </w:r>
      <w:r w:rsidRPr="007C46C9">
        <w:rPr>
          <w:lang w:val="en-US"/>
        </w:rPr>
        <w:t>63</w:t>
      </w:r>
      <w:r w:rsidRPr="007C46C9">
        <w:rPr>
          <w:vertAlign w:val="superscript"/>
          <w:lang w:val="en-US"/>
        </w:rPr>
        <w:t>rd</w:t>
      </w:r>
      <w:r w:rsidRPr="007C46C9">
        <w:rPr>
          <w:lang w:val="en-US"/>
        </w:rPr>
        <w:t xml:space="preserve"> meeting,</w:t>
      </w:r>
      <w:r w:rsidRPr="007C46C9">
        <w:rPr>
          <w:rStyle w:val="FootnoteReference"/>
          <w:lang w:val="en-US"/>
        </w:rPr>
        <w:footnoteReference w:id="38"/>
      </w:r>
      <w:r w:rsidRPr="007C46C9">
        <w:rPr>
          <w:lang w:val="en-CA"/>
        </w:rPr>
        <w:t xml:space="preserve"> to meet the 35 per cent reduction </w:t>
      </w:r>
      <w:r w:rsidRPr="007C46C9">
        <w:rPr>
          <w:rFonts w:eastAsia="MS Mincho"/>
          <w:lang w:val="en-US"/>
        </w:rPr>
        <w:t xml:space="preserve">for the implementation period 2011 to 2020, at a total cost </w:t>
      </w:r>
      <w:r w:rsidRPr="007C46C9">
        <w:rPr>
          <w:lang w:val="en-US"/>
        </w:rPr>
        <w:t>of US $1,696,000 plus agency support costs</w:t>
      </w:r>
      <w:r w:rsidRPr="007C46C9">
        <w:rPr>
          <w:lang w:val="en-CA"/>
        </w:rPr>
        <w:t>.</w:t>
      </w:r>
      <w:r w:rsidRPr="007C46C9">
        <w:rPr>
          <w:lang w:val="en-US"/>
        </w:rPr>
        <w:t xml:space="preserve"> </w:t>
      </w:r>
    </w:p>
    <w:p w14:paraId="0A2F1D2D" w14:textId="77777777" w:rsidR="00226D17" w:rsidRPr="007C46C9" w:rsidRDefault="00226D17" w:rsidP="00226D17">
      <w:pPr>
        <w:pStyle w:val="Heading1"/>
        <w:rPr>
          <w:lang w:val="en-US"/>
        </w:rPr>
      </w:pPr>
      <w:r w:rsidRPr="007C46C9">
        <w:rPr>
          <w:lang w:val="en-US"/>
        </w:rPr>
        <w:t>Stage I of the HPMP includes the following:</w:t>
      </w:r>
    </w:p>
    <w:p w14:paraId="4C7EFFD8" w14:textId="77777777" w:rsidR="00226D17" w:rsidRPr="007C46C9" w:rsidRDefault="00226D17" w:rsidP="00226D17">
      <w:pPr>
        <w:widowControl w:val="0"/>
        <w:numPr>
          <w:ilvl w:val="1"/>
          <w:numId w:val="1"/>
        </w:numPr>
        <w:spacing w:after="240"/>
        <w:outlineLvl w:val="1"/>
      </w:pPr>
      <w:r w:rsidRPr="007C46C9">
        <w:rPr>
          <w:i/>
        </w:rPr>
        <w:t>Regional component:</w:t>
      </w:r>
      <w:r w:rsidRPr="007C46C9">
        <w:t xml:space="preserve"> Standardized activities in all 12 PICs such as the provision of policy advice and development of legislation/regulations, capacity building of customs officers and RAC master trainers, and HCFC phase-out awareness and outreach; and</w:t>
      </w:r>
    </w:p>
    <w:p w14:paraId="3F29D9A9" w14:textId="77777777" w:rsidR="00226D17" w:rsidRPr="007C46C9" w:rsidRDefault="00226D17" w:rsidP="00226D17">
      <w:pPr>
        <w:widowControl w:val="0"/>
        <w:numPr>
          <w:ilvl w:val="1"/>
          <w:numId w:val="1"/>
        </w:numPr>
        <w:spacing w:after="240"/>
        <w:outlineLvl w:val="1"/>
      </w:pPr>
      <w:r w:rsidRPr="007C46C9">
        <w:rPr>
          <w:i/>
        </w:rPr>
        <w:t>National component:</w:t>
      </w:r>
      <w:r w:rsidRPr="007C46C9">
        <w:t xml:space="preserve"> Specific activities in each PIC to control the supply and demand of HCFCs, create an enabling environment for the phase</w:t>
      </w:r>
      <w:r w:rsidRPr="007C46C9">
        <w:noBreakHyphen/>
        <w:t>out of HCFCs and the introduction of alternatives and the management, coordination and monitoring of HPMP implementation.</w:t>
      </w:r>
    </w:p>
    <w:p w14:paraId="438FFA37" w14:textId="77777777" w:rsidR="00226D17" w:rsidRPr="007C46C9" w:rsidRDefault="00226D17" w:rsidP="00226D17">
      <w:pPr>
        <w:pStyle w:val="Heading1"/>
        <w:rPr>
          <w:lang w:val="en-US"/>
        </w:rPr>
      </w:pPr>
      <w:r w:rsidRPr="007C46C9">
        <w:rPr>
          <w:rFonts w:eastAsia="MS Mincho"/>
          <w:lang w:val="en-US"/>
        </w:rPr>
        <w:t>The third and final tranche, at the amount of US $</w:t>
      </w:r>
      <w:r w:rsidRPr="007C46C9">
        <w:rPr>
          <w:lang w:val="en-CA"/>
        </w:rPr>
        <w:t xml:space="preserve">186,100, </w:t>
      </w:r>
      <w:r w:rsidRPr="007C46C9">
        <w:rPr>
          <w:rFonts w:eastAsia="MS Mincho"/>
          <w:lang w:val="en-US"/>
        </w:rPr>
        <w:t>and</w:t>
      </w:r>
      <w:r w:rsidRPr="007C46C9">
        <w:rPr>
          <w:lang w:val="en-CA"/>
        </w:rPr>
        <w:t xml:space="preserve"> the corresponding 2020-2021 tranche implementation plan</w:t>
      </w:r>
      <w:r w:rsidRPr="007C46C9">
        <w:rPr>
          <w:rFonts w:eastAsia="MS Mincho"/>
          <w:lang w:val="en-US"/>
        </w:rPr>
        <w:t xml:space="preserve"> were </w:t>
      </w:r>
      <w:r w:rsidRPr="007C46C9">
        <w:rPr>
          <w:lang w:val="en-US"/>
        </w:rPr>
        <w:t xml:space="preserve">approved under </w:t>
      </w:r>
      <w:r w:rsidRPr="007C46C9">
        <w:rPr>
          <w:lang w:val="en-CA"/>
        </w:rPr>
        <w:t>the intersessional approval process for the 85</w:t>
      </w:r>
      <w:r w:rsidRPr="007C46C9">
        <w:rPr>
          <w:vertAlign w:val="superscript"/>
          <w:lang w:val="en-CA"/>
        </w:rPr>
        <w:t>th</w:t>
      </w:r>
      <w:r w:rsidRPr="007C46C9">
        <w:rPr>
          <w:lang w:val="en-CA"/>
        </w:rPr>
        <w:t xml:space="preserve"> meeting</w:t>
      </w:r>
      <w:r w:rsidRPr="007C46C9">
        <w:rPr>
          <w:rStyle w:val="FootnoteReference"/>
          <w:lang w:val="en-CA"/>
        </w:rPr>
        <w:footnoteReference w:id="39"/>
      </w:r>
      <w:r w:rsidRPr="007C46C9">
        <w:rPr>
          <w:lang w:val="en-CA"/>
        </w:rPr>
        <w:t xml:space="preserve"> in May 2020. In accordance with paragraph 14 of the Agreement between the Governments and the Executive Committee, stage I is to be completed by the end of 2021. </w:t>
      </w:r>
      <w:r w:rsidRPr="007C46C9">
        <w:rPr>
          <w:lang w:val="en-US"/>
        </w:rPr>
        <w:t xml:space="preserve">Stage II of the HPMP for the complete phase-out of HCFCs was approved under </w:t>
      </w:r>
      <w:r w:rsidRPr="007C46C9">
        <w:rPr>
          <w:lang w:val="en-CA"/>
        </w:rPr>
        <w:t>the intersessional approval process for the 86</w:t>
      </w:r>
      <w:r w:rsidRPr="007C46C9">
        <w:rPr>
          <w:vertAlign w:val="superscript"/>
          <w:lang w:val="en-CA"/>
        </w:rPr>
        <w:t>th</w:t>
      </w:r>
      <w:r w:rsidRPr="007C46C9">
        <w:rPr>
          <w:lang w:val="en-CA"/>
        </w:rPr>
        <w:t xml:space="preserve"> meeting</w:t>
      </w:r>
      <w:r w:rsidRPr="007C46C9">
        <w:rPr>
          <w:rStyle w:val="FootnoteReference"/>
          <w:lang w:val="en-CA"/>
        </w:rPr>
        <w:footnoteReference w:id="40"/>
      </w:r>
      <w:r w:rsidRPr="007C46C9">
        <w:rPr>
          <w:lang w:val="en-CA"/>
        </w:rPr>
        <w:t xml:space="preserve"> </w:t>
      </w:r>
      <w:r w:rsidRPr="007C46C9">
        <w:rPr>
          <w:rFonts w:eastAsia="MS Mincho"/>
          <w:lang w:val="en-US"/>
        </w:rPr>
        <w:t>in December 2020</w:t>
      </w:r>
      <w:r w:rsidRPr="007C46C9">
        <w:rPr>
          <w:lang w:val="en-CA"/>
        </w:rPr>
        <w:t xml:space="preserve">. </w:t>
      </w:r>
    </w:p>
    <w:p w14:paraId="057EF74F" w14:textId="77777777" w:rsidR="00226D17" w:rsidRPr="007C46C9" w:rsidRDefault="00226D17" w:rsidP="00226D17">
      <w:pPr>
        <w:pStyle w:val="Heading1"/>
        <w:rPr>
          <w:rFonts w:eastAsia="MS Mincho"/>
          <w:lang w:val="en-US"/>
        </w:rPr>
      </w:pPr>
      <w:r w:rsidRPr="007C46C9">
        <w:rPr>
          <w:rFonts w:eastAsia="MS Mincho"/>
          <w:lang w:val="en-US"/>
        </w:rPr>
        <w:t>In the progress report on stage I implementation submitted with the stage II proposal, UNEP reported that the activities for the third and final tranche had not yet started, as of August 2020 the PICs were still under a state of emergency due to the COVID-19 pandemic. It was anticipated that stage I would be completed by 31 December 2021, barring further delays that may be due to the pandemic.</w:t>
      </w:r>
    </w:p>
    <w:p w14:paraId="72E257AE" w14:textId="77777777" w:rsidR="00226D17" w:rsidRPr="007C46C9" w:rsidRDefault="00226D17" w:rsidP="00226D17">
      <w:pPr>
        <w:pStyle w:val="Heading1"/>
        <w:numPr>
          <w:ilvl w:val="0"/>
          <w:numId w:val="0"/>
        </w:numPr>
        <w:rPr>
          <w:i/>
          <w:lang w:val="en-CA"/>
        </w:rPr>
      </w:pPr>
      <w:r w:rsidRPr="007C46C9">
        <w:rPr>
          <w:i/>
          <w:lang w:val="en-CA"/>
        </w:rPr>
        <w:t xml:space="preserve">HCFC consumption </w:t>
      </w:r>
    </w:p>
    <w:p w14:paraId="704AA113" w14:textId="77777777" w:rsidR="00226D17" w:rsidRPr="007C46C9" w:rsidRDefault="00226D17" w:rsidP="00226D17">
      <w:pPr>
        <w:pStyle w:val="Heading1"/>
        <w:spacing w:after="120"/>
        <w:rPr>
          <w:lang w:val="en-CA"/>
        </w:rPr>
      </w:pPr>
      <w:r w:rsidRPr="007C46C9">
        <w:t>The Governments of the PICs re</w:t>
      </w:r>
      <w:r w:rsidR="000A23A6">
        <w:t xml:space="preserve">ported under </w:t>
      </w:r>
      <w:r w:rsidR="007C20AE">
        <w:t xml:space="preserve">CP </w:t>
      </w:r>
      <w:r w:rsidRPr="007C46C9">
        <w:t>implementation report a consumption of 0.14 ODP tonnes of HCFC in 2020, which is 96 per cent below the HCFC baseline for compliance and</w:t>
      </w:r>
      <w:r w:rsidRPr="007C46C9">
        <w:rPr>
          <w:rFonts w:eastAsia="SimSun"/>
          <w:lang w:eastAsia="zh-CN"/>
        </w:rPr>
        <w:t xml:space="preserve"> 94 per cent below the allowable level of consumption in the Agreement with the Executive Committee.</w:t>
      </w:r>
      <w:r w:rsidRPr="007C46C9">
        <w:rPr>
          <w:lang w:val="en-CA"/>
        </w:rPr>
        <w:t xml:space="preserve"> The Article 7 data for 2020 has not been reported by a number of PICs yet. The 2016-2020 HCFC consumption is shown in </w:t>
      </w:r>
      <w:r w:rsidR="007C20AE" w:rsidRPr="007C20AE">
        <w:rPr>
          <w:lang w:val="en-CA"/>
        </w:rPr>
        <w:t>Table 7</w:t>
      </w:r>
      <w:r w:rsidRPr="007C20AE">
        <w:rPr>
          <w:lang w:val="en-CA"/>
        </w:rPr>
        <w:t>.</w:t>
      </w:r>
      <w:r w:rsidRPr="007C46C9">
        <w:rPr>
          <w:lang w:val="en-CA"/>
        </w:rPr>
        <w:t xml:space="preserve"> </w:t>
      </w:r>
    </w:p>
    <w:p w14:paraId="7A124145" w14:textId="77777777" w:rsidR="00226D17" w:rsidRPr="007B4A50" w:rsidRDefault="00226D17" w:rsidP="00226D17">
      <w:pPr>
        <w:keepNext/>
        <w:keepLines/>
        <w:rPr>
          <w:b/>
          <w:lang w:val="en-CA"/>
        </w:rPr>
      </w:pPr>
      <w:r w:rsidRPr="007C46C9">
        <w:rPr>
          <w:b/>
          <w:lang w:val="en-CA"/>
        </w:rPr>
        <w:lastRenderedPageBreak/>
        <w:t>Table </w:t>
      </w:r>
      <w:r w:rsidR="007C20AE" w:rsidRPr="007C20AE">
        <w:rPr>
          <w:b/>
          <w:lang w:val="en-CA"/>
        </w:rPr>
        <w:t>7</w:t>
      </w:r>
      <w:r w:rsidRPr="007C46C9">
        <w:rPr>
          <w:b/>
          <w:lang w:val="en-CA"/>
        </w:rPr>
        <w:t>. HCFC consumption in the PICs (2016-2020 Article 7 data)</w:t>
      </w:r>
      <w:r>
        <w:rPr>
          <w:b/>
          <w:lang w:val="en-CA"/>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824"/>
        <w:gridCol w:w="1089"/>
        <w:gridCol w:w="1091"/>
        <w:gridCol w:w="1089"/>
        <w:gridCol w:w="1089"/>
        <w:gridCol w:w="1089"/>
        <w:gridCol w:w="1083"/>
      </w:tblGrid>
      <w:tr w:rsidR="00226D17" w:rsidRPr="007B4A50" w14:paraId="31DF94B0" w14:textId="77777777" w:rsidTr="00F63AF8">
        <w:trPr>
          <w:tblHeader/>
        </w:trPr>
        <w:tc>
          <w:tcPr>
            <w:tcW w:w="1510" w:type="pct"/>
            <w:shd w:val="clear" w:color="auto" w:fill="auto"/>
            <w:noWrap/>
            <w:tcMar>
              <w:left w:w="43" w:type="dxa"/>
              <w:right w:w="43" w:type="dxa"/>
            </w:tcMar>
            <w:vAlign w:val="center"/>
            <w:hideMark/>
          </w:tcPr>
          <w:p w14:paraId="295EFF82" w14:textId="77777777" w:rsidR="00226D17" w:rsidRPr="007B4A50" w:rsidRDefault="00226D17" w:rsidP="00F63AF8">
            <w:pPr>
              <w:keepNext/>
              <w:keepLines/>
              <w:jc w:val="left"/>
              <w:rPr>
                <w:b/>
                <w:bCs/>
                <w:color w:val="000000"/>
                <w:sz w:val="20"/>
                <w:szCs w:val="20"/>
                <w:lang w:val="en-CA"/>
              </w:rPr>
            </w:pPr>
            <w:r w:rsidRPr="007B4A50">
              <w:rPr>
                <w:b/>
                <w:bCs/>
                <w:color w:val="000000"/>
                <w:sz w:val="20"/>
                <w:szCs w:val="20"/>
                <w:lang w:val="en-CA"/>
              </w:rPr>
              <w:t>HCFC</w:t>
            </w:r>
            <w:r w:rsidRPr="007B4A50">
              <w:rPr>
                <w:b/>
                <w:bCs/>
                <w:color w:val="000000"/>
                <w:sz w:val="20"/>
                <w:szCs w:val="20"/>
                <w:lang w:val="en-CA"/>
              </w:rPr>
              <w:noBreakHyphen/>
              <w:t>22</w:t>
            </w:r>
          </w:p>
        </w:tc>
        <w:tc>
          <w:tcPr>
            <w:tcW w:w="582" w:type="pct"/>
            <w:shd w:val="clear" w:color="auto" w:fill="auto"/>
            <w:noWrap/>
            <w:tcMar>
              <w:left w:w="0" w:type="dxa"/>
              <w:right w:w="173" w:type="dxa"/>
            </w:tcMar>
            <w:vAlign w:val="center"/>
          </w:tcPr>
          <w:p w14:paraId="3C7CF96A" w14:textId="77777777" w:rsidR="00226D17" w:rsidRPr="007B4A50" w:rsidRDefault="00226D17" w:rsidP="00F63AF8">
            <w:pPr>
              <w:keepNext/>
              <w:keepLines/>
              <w:jc w:val="center"/>
              <w:rPr>
                <w:b/>
                <w:bCs/>
                <w:color w:val="000000"/>
                <w:sz w:val="20"/>
                <w:szCs w:val="20"/>
                <w:lang w:val="en-CA"/>
              </w:rPr>
            </w:pPr>
            <w:r w:rsidRPr="007B4A50">
              <w:rPr>
                <w:b/>
                <w:bCs/>
                <w:color w:val="000000"/>
                <w:sz w:val="20"/>
                <w:szCs w:val="20"/>
                <w:lang w:val="en-CA"/>
              </w:rPr>
              <w:t>2016</w:t>
            </w:r>
          </w:p>
        </w:tc>
        <w:tc>
          <w:tcPr>
            <w:tcW w:w="583" w:type="pct"/>
            <w:shd w:val="clear" w:color="auto" w:fill="auto"/>
            <w:noWrap/>
            <w:tcMar>
              <w:left w:w="0" w:type="dxa"/>
              <w:right w:w="173" w:type="dxa"/>
            </w:tcMar>
            <w:vAlign w:val="center"/>
          </w:tcPr>
          <w:p w14:paraId="21793386" w14:textId="77777777" w:rsidR="00226D17" w:rsidRPr="007B4A50" w:rsidRDefault="00226D17" w:rsidP="00F63AF8">
            <w:pPr>
              <w:keepNext/>
              <w:keepLines/>
              <w:jc w:val="center"/>
              <w:rPr>
                <w:b/>
                <w:bCs/>
                <w:color w:val="000000"/>
                <w:sz w:val="20"/>
                <w:szCs w:val="20"/>
                <w:lang w:val="en-CA"/>
              </w:rPr>
            </w:pPr>
            <w:r w:rsidRPr="007B4A50">
              <w:rPr>
                <w:b/>
                <w:bCs/>
                <w:color w:val="000000"/>
                <w:sz w:val="20"/>
                <w:szCs w:val="20"/>
                <w:lang w:val="en-CA"/>
              </w:rPr>
              <w:t>2017</w:t>
            </w:r>
          </w:p>
        </w:tc>
        <w:tc>
          <w:tcPr>
            <w:tcW w:w="582" w:type="pct"/>
            <w:tcMar>
              <w:left w:w="0" w:type="dxa"/>
              <w:right w:w="173" w:type="dxa"/>
            </w:tcMar>
            <w:vAlign w:val="center"/>
          </w:tcPr>
          <w:p w14:paraId="41BA5141" w14:textId="77777777" w:rsidR="00226D17" w:rsidRPr="007B4A50" w:rsidRDefault="00226D17" w:rsidP="00F63AF8">
            <w:pPr>
              <w:keepNext/>
              <w:keepLines/>
              <w:jc w:val="center"/>
              <w:rPr>
                <w:b/>
                <w:bCs/>
                <w:color w:val="000000"/>
                <w:sz w:val="20"/>
                <w:szCs w:val="20"/>
                <w:lang w:val="en-CA"/>
              </w:rPr>
            </w:pPr>
            <w:r w:rsidRPr="007B4A50">
              <w:rPr>
                <w:b/>
                <w:bCs/>
                <w:color w:val="000000"/>
                <w:sz w:val="20"/>
                <w:szCs w:val="20"/>
                <w:lang w:val="en-CA"/>
              </w:rPr>
              <w:t>2018</w:t>
            </w:r>
          </w:p>
        </w:tc>
        <w:tc>
          <w:tcPr>
            <w:tcW w:w="582" w:type="pct"/>
            <w:tcMar>
              <w:left w:w="0" w:type="dxa"/>
              <w:right w:w="173" w:type="dxa"/>
            </w:tcMar>
            <w:vAlign w:val="center"/>
          </w:tcPr>
          <w:p w14:paraId="23CBFF96" w14:textId="77777777" w:rsidR="00226D17" w:rsidRPr="007B4A50" w:rsidRDefault="00226D17" w:rsidP="00F63AF8">
            <w:pPr>
              <w:keepNext/>
              <w:keepLines/>
              <w:jc w:val="center"/>
              <w:rPr>
                <w:b/>
                <w:bCs/>
                <w:color w:val="000000"/>
                <w:sz w:val="20"/>
                <w:szCs w:val="20"/>
                <w:highlight w:val="yellow"/>
                <w:lang w:val="en-CA"/>
              </w:rPr>
            </w:pPr>
            <w:r w:rsidRPr="007B4A50">
              <w:rPr>
                <w:b/>
                <w:bCs/>
                <w:color w:val="000000"/>
                <w:sz w:val="20"/>
                <w:szCs w:val="20"/>
                <w:lang w:val="en-CA"/>
              </w:rPr>
              <w:t>2019</w:t>
            </w:r>
          </w:p>
        </w:tc>
        <w:tc>
          <w:tcPr>
            <w:tcW w:w="582" w:type="pct"/>
          </w:tcPr>
          <w:p w14:paraId="6418D037" w14:textId="77777777" w:rsidR="00226D17" w:rsidRPr="00A57D06" w:rsidRDefault="00226D17" w:rsidP="00F63AF8">
            <w:pPr>
              <w:keepNext/>
              <w:keepLines/>
              <w:jc w:val="center"/>
              <w:rPr>
                <w:sz w:val="19"/>
                <w:szCs w:val="19"/>
                <w:vertAlign w:val="superscript"/>
                <w:lang w:val="en-CA"/>
              </w:rPr>
            </w:pPr>
            <w:r>
              <w:rPr>
                <w:b/>
                <w:bCs/>
                <w:color w:val="000000"/>
                <w:sz w:val="20"/>
                <w:szCs w:val="20"/>
                <w:lang w:val="en-CA"/>
              </w:rPr>
              <w:t>2020</w:t>
            </w:r>
            <w:r w:rsidRPr="00A57D06">
              <w:rPr>
                <w:sz w:val="19"/>
                <w:szCs w:val="19"/>
                <w:vertAlign w:val="superscript"/>
                <w:lang w:val="en-CA"/>
              </w:rPr>
              <w:t xml:space="preserve"> e</w:t>
            </w:r>
          </w:p>
        </w:tc>
        <w:tc>
          <w:tcPr>
            <w:tcW w:w="579" w:type="pct"/>
            <w:shd w:val="clear" w:color="auto" w:fill="auto"/>
            <w:noWrap/>
            <w:tcMar>
              <w:left w:w="0" w:type="dxa"/>
              <w:right w:w="173" w:type="dxa"/>
            </w:tcMar>
            <w:vAlign w:val="center"/>
            <w:hideMark/>
          </w:tcPr>
          <w:p w14:paraId="26F8CD10" w14:textId="77777777" w:rsidR="00226D17" w:rsidRPr="007B4A50" w:rsidRDefault="00226D17" w:rsidP="00F63AF8">
            <w:pPr>
              <w:keepNext/>
              <w:keepLines/>
              <w:jc w:val="center"/>
              <w:rPr>
                <w:b/>
                <w:bCs/>
                <w:color w:val="000000"/>
                <w:sz w:val="20"/>
                <w:szCs w:val="20"/>
                <w:lang w:val="en-CA"/>
              </w:rPr>
            </w:pPr>
            <w:r w:rsidRPr="007B4A50">
              <w:rPr>
                <w:b/>
                <w:bCs/>
                <w:color w:val="000000"/>
                <w:sz w:val="20"/>
                <w:szCs w:val="20"/>
                <w:lang w:val="en-CA"/>
              </w:rPr>
              <w:t>Baseline</w:t>
            </w:r>
          </w:p>
        </w:tc>
      </w:tr>
      <w:tr w:rsidR="00226D17" w:rsidRPr="007B4A50" w14:paraId="3E008875" w14:textId="77777777" w:rsidTr="00F63AF8">
        <w:trPr>
          <w:trHeight w:val="157"/>
        </w:trPr>
        <w:tc>
          <w:tcPr>
            <w:tcW w:w="1510" w:type="pct"/>
            <w:shd w:val="clear" w:color="auto" w:fill="auto"/>
            <w:noWrap/>
            <w:tcMar>
              <w:left w:w="43" w:type="dxa"/>
              <w:right w:w="43" w:type="dxa"/>
            </w:tcMar>
            <w:vAlign w:val="center"/>
            <w:hideMark/>
          </w:tcPr>
          <w:p w14:paraId="6957EE6A" w14:textId="77777777" w:rsidR="00226D17" w:rsidRPr="007B4A50" w:rsidRDefault="00226D17" w:rsidP="00F63AF8">
            <w:pPr>
              <w:keepNext/>
              <w:keepLines/>
              <w:jc w:val="left"/>
              <w:rPr>
                <w:b/>
                <w:bCs/>
                <w:color w:val="000000"/>
                <w:sz w:val="20"/>
                <w:szCs w:val="20"/>
                <w:lang w:val="en-CA"/>
              </w:rPr>
            </w:pPr>
            <w:r w:rsidRPr="007B4A50">
              <w:rPr>
                <w:b/>
                <w:bCs/>
                <w:color w:val="000000"/>
                <w:sz w:val="20"/>
                <w:szCs w:val="20"/>
                <w:lang w:val="en-CA"/>
              </w:rPr>
              <w:t>Metric tonnes (mt)</w:t>
            </w:r>
          </w:p>
        </w:tc>
        <w:tc>
          <w:tcPr>
            <w:tcW w:w="582" w:type="pct"/>
            <w:shd w:val="clear" w:color="auto" w:fill="auto"/>
            <w:noWrap/>
            <w:tcMar>
              <w:left w:w="0" w:type="dxa"/>
              <w:right w:w="173" w:type="dxa"/>
            </w:tcMar>
            <w:vAlign w:val="center"/>
            <w:hideMark/>
          </w:tcPr>
          <w:p w14:paraId="6D624779" w14:textId="77777777" w:rsidR="00226D17" w:rsidRPr="007B4A50" w:rsidRDefault="00226D17" w:rsidP="00F63AF8">
            <w:pPr>
              <w:keepNext/>
              <w:keepLines/>
              <w:jc w:val="center"/>
              <w:rPr>
                <w:b/>
                <w:bCs/>
                <w:color w:val="000000"/>
                <w:sz w:val="20"/>
                <w:szCs w:val="20"/>
                <w:lang w:val="en-CA"/>
              </w:rPr>
            </w:pPr>
          </w:p>
        </w:tc>
        <w:tc>
          <w:tcPr>
            <w:tcW w:w="583" w:type="pct"/>
            <w:shd w:val="clear" w:color="auto" w:fill="auto"/>
            <w:noWrap/>
            <w:tcMar>
              <w:left w:w="0" w:type="dxa"/>
              <w:right w:w="173" w:type="dxa"/>
            </w:tcMar>
            <w:vAlign w:val="center"/>
            <w:hideMark/>
          </w:tcPr>
          <w:p w14:paraId="6E5CED88" w14:textId="77777777" w:rsidR="00226D17" w:rsidRPr="007B4A50" w:rsidRDefault="00226D17" w:rsidP="00F63AF8">
            <w:pPr>
              <w:keepNext/>
              <w:keepLines/>
              <w:jc w:val="center"/>
              <w:rPr>
                <w:b/>
                <w:bCs/>
                <w:color w:val="000000"/>
                <w:sz w:val="20"/>
                <w:szCs w:val="20"/>
                <w:lang w:val="en-CA"/>
              </w:rPr>
            </w:pPr>
          </w:p>
        </w:tc>
        <w:tc>
          <w:tcPr>
            <w:tcW w:w="582" w:type="pct"/>
            <w:tcMar>
              <w:left w:w="0" w:type="dxa"/>
              <w:right w:w="173" w:type="dxa"/>
            </w:tcMar>
          </w:tcPr>
          <w:p w14:paraId="7E116EEB" w14:textId="77777777" w:rsidR="00226D17" w:rsidRPr="007B4A50" w:rsidRDefault="00226D17" w:rsidP="00F63AF8">
            <w:pPr>
              <w:keepNext/>
              <w:keepLines/>
              <w:jc w:val="center"/>
              <w:rPr>
                <w:b/>
                <w:bCs/>
                <w:color w:val="000000"/>
                <w:sz w:val="20"/>
                <w:szCs w:val="20"/>
                <w:lang w:val="en-CA"/>
              </w:rPr>
            </w:pPr>
          </w:p>
        </w:tc>
        <w:tc>
          <w:tcPr>
            <w:tcW w:w="582" w:type="pct"/>
            <w:tcMar>
              <w:left w:w="0" w:type="dxa"/>
              <w:right w:w="173" w:type="dxa"/>
            </w:tcMar>
          </w:tcPr>
          <w:p w14:paraId="7DD91897" w14:textId="77777777" w:rsidR="00226D17" w:rsidRPr="007B4A50" w:rsidRDefault="00226D17" w:rsidP="00F63AF8">
            <w:pPr>
              <w:keepNext/>
              <w:keepLines/>
              <w:jc w:val="center"/>
              <w:rPr>
                <w:b/>
                <w:bCs/>
                <w:color w:val="000000"/>
                <w:sz w:val="20"/>
                <w:szCs w:val="20"/>
                <w:highlight w:val="yellow"/>
                <w:lang w:val="en-CA"/>
              </w:rPr>
            </w:pPr>
          </w:p>
        </w:tc>
        <w:tc>
          <w:tcPr>
            <w:tcW w:w="582" w:type="pct"/>
          </w:tcPr>
          <w:p w14:paraId="0C91565D" w14:textId="77777777" w:rsidR="00226D17" w:rsidRPr="007B4A50" w:rsidRDefault="00226D17" w:rsidP="00F63AF8">
            <w:pPr>
              <w:keepNext/>
              <w:keepLines/>
              <w:jc w:val="right"/>
              <w:rPr>
                <w:b/>
                <w:bCs/>
                <w:color w:val="000000"/>
                <w:sz w:val="20"/>
                <w:szCs w:val="20"/>
                <w:lang w:val="en-CA"/>
              </w:rPr>
            </w:pPr>
          </w:p>
        </w:tc>
        <w:tc>
          <w:tcPr>
            <w:tcW w:w="579" w:type="pct"/>
            <w:shd w:val="clear" w:color="auto" w:fill="auto"/>
            <w:noWrap/>
            <w:tcMar>
              <w:left w:w="0" w:type="dxa"/>
              <w:right w:w="173" w:type="dxa"/>
            </w:tcMar>
            <w:vAlign w:val="center"/>
            <w:hideMark/>
          </w:tcPr>
          <w:p w14:paraId="3EAAEADA" w14:textId="77777777" w:rsidR="00226D17" w:rsidRPr="007B4A50" w:rsidRDefault="00226D17" w:rsidP="00F63AF8">
            <w:pPr>
              <w:keepNext/>
              <w:keepLines/>
              <w:jc w:val="right"/>
              <w:rPr>
                <w:b/>
                <w:bCs/>
                <w:color w:val="000000"/>
                <w:sz w:val="20"/>
                <w:szCs w:val="20"/>
                <w:lang w:val="en-CA"/>
              </w:rPr>
            </w:pPr>
          </w:p>
        </w:tc>
      </w:tr>
      <w:tr w:rsidR="00226D17" w:rsidRPr="007B4A50" w14:paraId="3CEDF7A6" w14:textId="77777777" w:rsidTr="00F63AF8">
        <w:trPr>
          <w:trHeight w:val="55"/>
        </w:trPr>
        <w:tc>
          <w:tcPr>
            <w:tcW w:w="1510" w:type="pct"/>
            <w:shd w:val="clear" w:color="auto" w:fill="auto"/>
            <w:noWrap/>
            <w:tcMar>
              <w:left w:w="43" w:type="dxa"/>
              <w:right w:w="43" w:type="dxa"/>
            </w:tcMar>
          </w:tcPr>
          <w:p w14:paraId="357FD37C"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Cook Islands</w:t>
            </w:r>
            <w:r>
              <w:rPr>
                <w:color w:val="000000"/>
                <w:sz w:val="20"/>
                <w:szCs w:val="20"/>
                <w:lang w:val="en-CA"/>
              </w:rPr>
              <w:t xml:space="preserve"> </w:t>
            </w:r>
          </w:p>
        </w:tc>
        <w:tc>
          <w:tcPr>
            <w:tcW w:w="582" w:type="pct"/>
            <w:shd w:val="clear" w:color="auto" w:fill="auto"/>
            <w:noWrap/>
            <w:tcMar>
              <w:left w:w="0" w:type="dxa"/>
              <w:right w:w="173" w:type="dxa"/>
            </w:tcMar>
          </w:tcPr>
          <w:p w14:paraId="03E113DE"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6CC3DAA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30A7280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17B88BB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r w:rsidRPr="00795224">
              <w:rPr>
                <w:b/>
                <w:bCs/>
                <w:color w:val="000000"/>
                <w:sz w:val="20"/>
                <w:szCs w:val="20"/>
                <w:vertAlign w:val="superscript"/>
                <w:lang w:val="en-CA"/>
              </w:rPr>
              <w:t xml:space="preserve"> </w:t>
            </w:r>
          </w:p>
        </w:tc>
        <w:tc>
          <w:tcPr>
            <w:tcW w:w="582" w:type="pct"/>
          </w:tcPr>
          <w:p w14:paraId="1DD48ACE"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tcPr>
          <w:p w14:paraId="7DDDB176"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0.86</w:t>
            </w:r>
          </w:p>
        </w:tc>
      </w:tr>
      <w:tr w:rsidR="00226D17" w:rsidRPr="007B4A50" w14:paraId="3F3E85BF" w14:textId="77777777" w:rsidTr="00F63AF8">
        <w:tc>
          <w:tcPr>
            <w:tcW w:w="1510" w:type="pct"/>
            <w:shd w:val="clear" w:color="auto" w:fill="auto"/>
            <w:noWrap/>
            <w:tcMar>
              <w:left w:w="43" w:type="dxa"/>
              <w:right w:w="43" w:type="dxa"/>
            </w:tcMar>
          </w:tcPr>
          <w:p w14:paraId="104277D8"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Kiribati</w:t>
            </w:r>
            <w:r>
              <w:rPr>
                <w:color w:val="000000"/>
                <w:sz w:val="20"/>
                <w:szCs w:val="20"/>
                <w:lang w:val="en-CA"/>
              </w:rPr>
              <w:t xml:space="preserve"> </w:t>
            </w:r>
          </w:p>
        </w:tc>
        <w:tc>
          <w:tcPr>
            <w:tcW w:w="582" w:type="pct"/>
            <w:shd w:val="clear" w:color="auto" w:fill="auto"/>
            <w:noWrap/>
            <w:tcMar>
              <w:left w:w="0" w:type="dxa"/>
              <w:right w:w="173" w:type="dxa"/>
            </w:tcMar>
          </w:tcPr>
          <w:p w14:paraId="60FC5975"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0.44</w:t>
            </w:r>
          </w:p>
        </w:tc>
        <w:tc>
          <w:tcPr>
            <w:tcW w:w="583" w:type="pct"/>
            <w:shd w:val="clear" w:color="auto" w:fill="auto"/>
            <w:noWrap/>
            <w:tcMar>
              <w:left w:w="0" w:type="dxa"/>
              <w:right w:w="173" w:type="dxa"/>
            </w:tcMar>
          </w:tcPr>
          <w:p w14:paraId="4C00BBFD"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0.39</w:t>
            </w:r>
            <w:r w:rsidRPr="00795224">
              <w:rPr>
                <w:sz w:val="20"/>
                <w:szCs w:val="20"/>
                <w:vertAlign w:val="superscript"/>
                <w:lang w:val="en-CA"/>
              </w:rPr>
              <w:t>a</w:t>
            </w:r>
          </w:p>
        </w:tc>
        <w:tc>
          <w:tcPr>
            <w:tcW w:w="582" w:type="pct"/>
            <w:tcMar>
              <w:left w:w="0" w:type="dxa"/>
              <w:right w:w="173" w:type="dxa"/>
            </w:tcMar>
          </w:tcPr>
          <w:p w14:paraId="5338B49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0.22</w:t>
            </w:r>
          </w:p>
        </w:tc>
        <w:tc>
          <w:tcPr>
            <w:tcW w:w="582" w:type="pct"/>
            <w:tcMar>
              <w:left w:w="0" w:type="dxa"/>
              <w:right w:w="173" w:type="dxa"/>
            </w:tcMar>
          </w:tcPr>
          <w:p w14:paraId="41761E3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0.45</w:t>
            </w:r>
          </w:p>
        </w:tc>
        <w:tc>
          <w:tcPr>
            <w:tcW w:w="582" w:type="pct"/>
          </w:tcPr>
          <w:p w14:paraId="6B70FCE3"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0.07</w:t>
            </w:r>
          </w:p>
        </w:tc>
        <w:tc>
          <w:tcPr>
            <w:tcW w:w="579" w:type="pct"/>
            <w:shd w:val="clear" w:color="auto" w:fill="auto"/>
            <w:noWrap/>
            <w:tcMar>
              <w:left w:w="0" w:type="dxa"/>
              <w:right w:w="173" w:type="dxa"/>
            </w:tcMar>
            <w:vAlign w:val="center"/>
          </w:tcPr>
          <w:p w14:paraId="68A28E6B"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0.97</w:t>
            </w:r>
          </w:p>
        </w:tc>
      </w:tr>
      <w:tr w:rsidR="00226D17" w:rsidRPr="007B4A50" w14:paraId="7A986FB5" w14:textId="77777777" w:rsidTr="00F63AF8">
        <w:tc>
          <w:tcPr>
            <w:tcW w:w="1510" w:type="pct"/>
            <w:shd w:val="clear" w:color="auto" w:fill="auto"/>
            <w:noWrap/>
            <w:tcMar>
              <w:left w:w="43" w:type="dxa"/>
              <w:right w:w="43" w:type="dxa"/>
            </w:tcMar>
          </w:tcPr>
          <w:p w14:paraId="5C9DD949"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Marshall Islands</w:t>
            </w:r>
          </w:p>
        </w:tc>
        <w:tc>
          <w:tcPr>
            <w:tcW w:w="582" w:type="pct"/>
            <w:shd w:val="clear" w:color="auto" w:fill="auto"/>
            <w:noWrap/>
            <w:tcMar>
              <w:left w:w="0" w:type="dxa"/>
              <w:right w:w="173" w:type="dxa"/>
            </w:tcMar>
            <w:vAlign w:val="center"/>
          </w:tcPr>
          <w:p w14:paraId="2EA5AAC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vAlign w:val="center"/>
          </w:tcPr>
          <w:p w14:paraId="24944A7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shd w:val="clear" w:color="auto" w:fill="auto"/>
            <w:tcMar>
              <w:left w:w="0" w:type="dxa"/>
              <w:right w:w="173" w:type="dxa"/>
            </w:tcMar>
          </w:tcPr>
          <w:p w14:paraId="67F8777D"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420CD73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Pr>
          <w:p w14:paraId="01A94CE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56F7C6F4"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3.99</w:t>
            </w:r>
          </w:p>
        </w:tc>
      </w:tr>
      <w:tr w:rsidR="00226D17" w:rsidRPr="007B4A50" w14:paraId="12369080" w14:textId="77777777" w:rsidTr="00F63AF8">
        <w:trPr>
          <w:trHeight w:val="265"/>
        </w:trPr>
        <w:tc>
          <w:tcPr>
            <w:tcW w:w="1510" w:type="pct"/>
            <w:shd w:val="clear" w:color="auto" w:fill="auto"/>
            <w:noWrap/>
            <w:tcMar>
              <w:left w:w="43" w:type="dxa"/>
              <w:right w:w="43" w:type="dxa"/>
            </w:tcMar>
          </w:tcPr>
          <w:p w14:paraId="45025BBA"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Micronesia (Federated States of)</w:t>
            </w:r>
            <w:r>
              <w:rPr>
                <w:color w:val="000000"/>
                <w:sz w:val="20"/>
                <w:szCs w:val="20"/>
                <w:lang w:val="en-CA"/>
              </w:rPr>
              <w:t xml:space="preserve"> </w:t>
            </w:r>
          </w:p>
        </w:tc>
        <w:tc>
          <w:tcPr>
            <w:tcW w:w="582" w:type="pct"/>
            <w:shd w:val="clear" w:color="auto" w:fill="auto"/>
            <w:noWrap/>
            <w:tcMar>
              <w:left w:w="0" w:type="dxa"/>
              <w:right w:w="173" w:type="dxa"/>
            </w:tcMar>
            <w:vAlign w:val="center"/>
          </w:tcPr>
          <w:p w14:paraId="0685DAD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0.73</w:t>
            </w:r>
          </w:p>
        </w:tc>
        <w:tc>
          <w:tcPr>
            <w:tcW w:w="583" w:type="pct"/>
            <w:shd w:val="clear" w:color="auto" w:fill="auto"/>
            <w:noWrap/>
            <w:tcMar>
              <w:left w:w="0" w:type="dxa"/>
              <w:right w:w="173" w:type="dxa"/>
            </w:tcMar>
            <w:vAlign w:val="center"/>
          </w:tcPr>
          <w:p w14:paraId="5829560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0.07</w:t>
            </w:r>
          </w:p>
        </w:tc>
        <w:tc>
          <w:tcPr>
            <w:tcW w:w="582" w:type="pct"/>
            <w:shd w:val="clear" w:color="auto" w:fill="auto"/>
            <w:tcMar>
              <w:left w:w="0" w:type="dxa"/>
              <w:right w:w="173" w:type="dxa"/>
            </w:tcMar>
          </w:tcPr>
          <w:p w14:paraId="44D52D6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413C3F8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1.82</w:t>
            </w:r>
          </w:p>
        </w:tc>
        <w:tc>
          <w:tcPr>
            <w:tcW w:w="582" w:type="pct"/>
          </w:tcPr>
          <w:p w14:paraId="3F5E2032"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1905E533"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2.55</w:t>
            </w:r>
          </w:p>
        </w:tc>
      </w:tr>
      <w:tr w:rsidR="00226D17" w:rsidRPr="007B4A50" w14:paraId="2A9569B5" w14:textId="77777777" w:rsidTr="00F63AF8">
        <w:tc>
          <w:tcPr>
            <w:tcW w:w="1510" w:type="pct"/>
            <w:shd w:val="clear" w:color="auto" w:fill="auto"/>
            <w:noWrap/>
            <w:tcMar>
              <w:left w:w="43" w:type="dxa"/>
              <w:right w:w="43" w:type="dxa"/>
            </w:tcMar>
          </w:tcPr>
          <w:p w14:paraId="5252301A"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Nauru</w:t>
            </w:r>
          </w:p>
        </w:tc>
        <w:tc>
          <w:tcPr>
            <w:tcW w:w="582" w:type="pct"/>
            <w:shd w:val="clear" w:color="auto" w:fill="auto"/>
            <w:noWrap/>
            <w:tcMar>
              <w:left w:w="0" w:type="dxa"/>
              <w:right w:w="173" w:type="dxa"/>
            </w:tcMar>
            <w:vAlign w:val="center"/>
          </w:tcPr>
          <w:p w14:paraId="360C38B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0.15</w:t>
            </w:r>
          </w:p>
        </w:tc>
        <w:tc>
          <w:tcPr>
            <w:tcW w:w="583" w:type="pct"/>
            <w:shd w:val="clear" w:color="auto" w:fill="auto"/>
            <w:noWrap/>
            <w:tcMar>
              <w:left w:w="0" w:type="dxa"/>
              <w:right w:w="173" w:type="dxa"/>
            </w:tcMar>
            <w:vAlign w:val="center"/>
          </w:tcPr>
          <w:p w14:paraId="0DE904E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shd w:val="clear" w:color="auto" w:fill="auto"/>
            <w:tcMar>
              <w:left w:w="0" w:type="dxa"/>
              <w:right w:w="173" w:type="dxa"/>
            </w:tcMar>
          </w:tcPr>
          <w:p w14:paraId="3F6DB06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6E15A992"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Pr>
          <w:p w14:paraId="501748C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285045E0"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0.18</w:t>
            </w:r>
          </w:p>
        </w:tc>
      </w:tr>
      <w:tr w:rsidR="00226D17" w:rsidRPr="007B4A50" w14:paraId="33FA6A52" w14:textId="77777777" w:rsidTr="00F63AF8">
        <w:tc>
          <w:tcPr>
            <w:tcW w:w="1510" w:type="pct"/>
            <w:shd w:val="clear" w:color="auto" w:fill="auto"/>
            <w:noWrap/>
            <w:tcMar>
              <w:left w:w="43" w:type="dxa"/>
              <w:right w:w="43" w:type="dxa"/>
            </w:tcMar>
          </w:tcPr>
          <w:p w14:paraId="41051B99"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Niue</w:t>
            </w:r>
          </w:p>
        </w:tc>
        <w:tc>
          <w:tcPr>
            <w:tcW w:w="582" w:type="pct"/>
            <w:shd w:val="clear" w:color="auto" w:fill="auto"/>
            <w:noWrap/>
            <w:tcMar>
              <w:left w:w="0" w:type="dxa"/>
              <w:right w:w="173" w:type="dxa"/>
            </w:tcMar>
          </w:tcPr>
          <w:p w14:paraId="7C00840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3AD73E9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6E890C8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1AB2A9E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Pr>
          <w:p w14:paraId="532CDD5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7B34CF1C"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0.15</w:t>
            </w:r>
          </w:p>
        </w:tc>
      </w:tr>
      <w:tr w:rsidR="00226D17" w:rsidRPr="007B4A50" w14:paraId="5C1148BF" w14:textId="77777777" w:rsidTr="00F63AF8">
        <w:tc>
          <w:tcPr>
            <w:tcW w:w="1510" w:type="pct"/>
            <w:shd w:val="clear" w:color="auto" w:fill="auto"/>
            <w:noWrap/>
            <w:tcMar>
              <w:left w:w="43" w:type="dxa"/>
              <w:right w:w="43" w:type="dxa"/>
            </w:tcMar>
          </w:tcPr>
          <w:p w14:paraId="28CD9D17"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Palau</w:t>
            </w:r>
          </w:p>
        </w:tc>
        <w:tc>
          <w:tcPr>
            <w:tcW w:w="582" w:type="pct"/>
            <w:shd w:val="clear" w:color="auto" w:fill="auto"/>
            <w:noWrap/>
            <w:tcMar>
              <w:left w:w="0" w:type="dxa"/>
              <w:right w:w="173" w:type="dxa"/>
            </w:tcMar>
            <w:vAlign w:val="center"/>
          </w:tcPr>
          <w:p w14:paraId="731031E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2.11</w:t>
            </w:r>
          </w:p>
        </w:tc>
        <w:tc>
          <w:tcPr>
            <w:tcW w:w="583" w:type="pct"/>
            <w:shd w:val="clear" w:color="auto" w:fill="auto"/>
            <w:noWrap/>
            <w:tcMar>
              <w:left w:w="0" w:type="dxa"/>
              <w:right w:w="173" w:type="dxa"/>
            </w:tcMar>
            <w:vAlign w:val="center"/>
          </w:tcPr>
          <w:p w14:paraId="4F574DB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1.80</w:t>
            </w:r>
          </w:p>
        </w:tc>
        <w:tc>
          <w:tcPr>
            <w:tcW w:w="582" w:type="pct"/>
            <w:shd w:val="clear" w:color="auto" w:fill="auto"/>
            <w:tcMar>
              <w:left w:w="0" w:type="dxa"/>
              <w:right w:w="173" w:type="dxa"/>
            </w:tcMar>
          </w:tcPr>
          <w:p w14:paraId="634E88B4"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1.20</w:t>
            </w:r>
          </w:p>
        </w:tc>
        <w:tc>
          <w:tcPr>
            <w:tcW w:w="582" w:type="pct"/>
            <w:tcMar>
              <w:left w:w="0" w:type="dxa"/>
              <w:right w:w="173" w:type="dxa"/>
            </w:tcMar>
          </w:tcPr>
          <w:p w14:paraId="56DF45F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0.13</w:t>
            </w:r>
          </w:p>
        </w:tc>
        <w:tc>
          <w:tcPr>
            <w:tcW w:w="582" w:type="pct"/>
          </w:tcPr>
          <w:p w14:paraId="4E8B259C"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0.06</w:t>
            </w:r>
          </w:p>
        </w:tc>
        <w:tc>
          <w:tcPr>
            <w:tcW w:w="579" w:type="pct"/>
            <w:shd w:val="clear" w:color="auto" w:fill="auto"/>
            <w:noWrap/>
            <w:tcMar>
              <w:left w:w="0" w:type="dxa"/>
              <w:right w:w="173" w:type="dxa"/>
            </w:tcMar>
            <w:vAlign w:val="center"/>
          </w:tcPr>
          <w:p w14:paraId="4B2EC390"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2.97</w:t>
            </w:r>
            <w:r>
              <w:rPr>
                <w:sz w:val="19"/>
                <w:szCs w:val="19"/>
                <w:vertAlign w:val="superscript"/>
                <w:lang w:val="en-CA"/>
              </w:rPr>
              <w:t>c</w:t>
            </w:r>
          </w:p>
        </w:tc>
      </w:tr>
      <w:tr w:rsidR="00226D17" w:rsidRPr="00AD335F" w14:paraId="3C3A403F" w14:textId="77777777" w:rsidTr="00F63AF8">
        <w:tc>
          <w:tcPr>
            <w:tcW w:w="1510" w:type="pct"/>
            <w:shd w:val="clear" w:color="auto" w:fill="auto"/>
            <w:noWrap/>
            <w:tcMar>
              <w:left w:w="43" w:type="dxa"/>
              <w:right w:w="43" w:type="dxa"/>
            </w:tcMar>
          </w:tcPr>
          <w:p w14:paraId="1E20B4A2"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Samoa</w:t>
            </w:r>
          </w:p>
        </w:tc>
        <w:tc>
          <w:tcPr>
            <w:tcW w:w="582" w:type="pct"/>
            <w:shd w:val="clear" w:color="auto" w:fill="auto"/>
            <w:noWrap/>
            <w:tcMar>
              <w:left w:w="0" w:type="dxa"/>
              <w:right w:w="173" w:type="dxa"/>
            </w:tcMar>
            <w:vAlign w:val="center"/>
          </w:tcPr>
          <w:p w14:paraId="67BE7E3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1.05</w:t>
            </w:r>
          </w:p>
        </w:tc>
        <w:tc>
          <w:tcPr>
            <w:tcW w:w="583" w:type="pct"/>
            <w:shd w:val="clear" w:color="auto" w:fill="auto"/>
            <w:noWrap/>
            <w:tcMar>
              <w:left w:w="0" w:type="dxa"/>
              <w:right w:w="173" w:type="dxa"/>
            </w:tcMar>
            <w:vAlign w:val="center"/>
          </w:tcPr>
          <w:p w14:paraId="11FE1719"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1.35</w:t>
            </w:r>
          </w:p>
        </w:tc>
        <w:tc>
          <w:tcPr>
            <w:tcW w:w="582" w:type="pct"/>
            <w:shd w:val="clear" w:color="auto" w:fill="auto"/>
            <w:tcMar>
              <w:left w:w="0" w:type="dxa"/>
              <w:right w:w="173" w:type="dxa"/>
            </w:tcMar>
          </w:tcPr>
          <w:p w14:paraId="5BC8D64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0.23</w:t>
            </w:r>
          </w:p>
        </w:tc>
        <w:tc>
          <w:tcPr>
            <w:tcW w:w="582" w:type="pct"/>
            <w:tcMar>
              <w:left w:w="0" w:type="dxa"/>
              <w:right w:w="173" w:type="dxa"/>
            </w:tcMar>
          </w:tcPr>
          <w:p w14:paraId="42D0299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0.19</w:t>
            </w:r>
          </w:p>
        </w:tc>
        <w:tc>
          <w:tcPr>
            <w:tcW w:w="582" w:type="pct"/>
          </w:tcPr>
          <w:p w14:paraId="46D9807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0.78</w:t>
            </w:r>
          </w:p>
        </w:tc>
        <w:tc>
          <w:tcPr>
            <w:tcW w:w="579" w:type="pct"/>
            <w:shd w:val="clear" w:color="auto" w:fill="auto"/>
            <w:noWrap/>
            <w:tcMar>
              <w:left w:w="0" w:type="dxa"/>
              <w:right w:w="173" w:type="dxa"/>
            </w:tcMar>
            <w:vAlign w:val="center"/>
          </w:tcPr>
          <w:p w14:paraId="21224EEB"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4.60</w:t>
            </w:r>
          </w:p>
        </w:tc>
      </w:tr>
      <w:tr w:rsidR="00226D17" w:rsidRPr="00AD335F" w14:paraId="04EE7685" w14:textId="77777777" w:rsidTr="00F63AF8">
        <w:tc>
          <w:tcPr>
            <w:tcW w:w="1510" w:type="pct"/>
            <w:shd w:val="clear" w:color="auto" w:fill="auto"/>
            <w:noWrap/>
            <w:tcMar>
              <w:left w:w="43" w:type="dxa"/>
              <w:right w:w="43" w:type="dxa"/>
            </w:tcMar>
          </w:tcPr>
          <w:p w14:paraId="21BF978A"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Solomon Islands</w:t>
            </w:r>
          </w:p>
        </w:tc>
        <w:tc>
          <w:tcPr>
            <w:tcW w:w="582" w:type="pct"/>
            <w:shd w:val="clear" w:color="auto" w:fill="auto"/>
            <w:noWrap/>
            <w:tcMar>
              <w:left w:w="0" w:type="dxa"/>
              <w:right w:w="173" w:type="dxa"/>
            </w:tcMar>
            <w:vAlign w:val="center"/>
          </w:tcPr>
          <w:p w14:paraId="4E255D2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2.17</w:t>
            </w:r>
          </w:p>
        </w:tc>
        <w:tc>
          <w:tcPr>
            <w:tcW w:w="583" w:type="pct"/>
            <w:shd w:val="clear" w:color="auto" w:fill="auto"/>
            <w:noWrap/>
            <w:tcMar>
              <w:left w:w="0" w:type="dxa"/>
              <w:right w:w="173" w:type="dxa"/>
            </w:tcMar>
            <w:vAlign w:val="center"/>
          </w:tcPr>
          <w:p w14:paraId="0A72863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4.20</w:t>
            </w:r>
          </w:p>
        </w:tc>
        <w:tc>
          <w:tcPr>
            <w:tcW w:w="582" w:type="pct"/>
            <w:shd w:val="clear" w:color="auto" w:fill="auto"/>
            <w:tcMar>
              <w:left w:w="0" w:type="dxa"/>
              <w:right w:w="173" w:type="dxa"/>
            </w:tcMar>
          </w:tcPr>
          <w:p w14:paraId="6693D3E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3.63</w:t>
            </w:r>
          </w:p>
        </w:tc>
        <w:tc>
          <w:tcPr>
            <w:tcW w:w="582" w:type="pct"/>
            <w:tcMar>
              <w:left w:w="0" w:type="dxa"/>
              <w:right w:w="173" w:type="dxa"/>
            </w:tcMar>
          </w:tcPr>
          <w:p w14:paraId="503542A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1.49</w:t>
            </w:r>
          </w:p>
        </w:tc>
        <w:tc>
          <w:tcPr>
            <w:tcW w:w="582" w:type="pct"/>
          </w:tcPr>
          <w:p w14:paraId="264AAC34"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1.47</w:t>
            </w:r>
          </w:p>
        </w:tc>
        <w:tc>
          <w:tcPr>
            <w:tcW w:w="579" w:type="pct"/>
            <w:shd w:val="clear" w:color="auto" w:fill="auto"/>
            <w:noWrap/>
            <w:tcMar>
              <w:left w:w="0" w:type="dxa"/>
              <w:right w:w="173" w:type="dxa"/>
            </w:tcMar>
            <w:vAlign w:val="center"/>
          </w:tcPr>
          <w:p w14:paraId="19BD0ED3"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35.05</w:t>
            </w:r>
            <w:r w:rsidRPr="00AD335F">
              <w:rPr>
                <w:sz w:val="19"/>
                <w:szCs w:val="19"/>
                <w:vertAlign w:val="superscript"/>
                <w:lang w:val="en-CA"/>
              </w:rPr>
              <w:t>c</w:t>
            </w:r>
          </w:p>
        </w:tc>
      </w:tr>
      <w:tr w:rsidR="00226D17" w:rsidRPr="00AD335F" w14:paraId="27FE523C" w14:textId="77777777" w:rsidTr="00F63AF8">
        <w:tc>
          <w:tcPr>
            <w:tcW w:w="1510" w:type="pct"/>
            <w:shd w:val="clear" w:color="auto" w:fill="auto"/>
            <w:noWrap/>
            <w:tcMar>
              <w:left w:w="43" w:type="dxa"/>
              <w:right w:w="43" w:type="dxa"/>
            </w:tcMar>
          </w:tcPr>
          <w:p w14:paraId="4B4572D4"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Tonga</w:t>
            </w:r>
          </w:p>
        </w:tc>
        <w:tc>
          <w:tcPr>
            <w:tcW w:w="582" w:type="pct"/>
            <w:shd w:val="clear" w:color="auto" w:fill="auto"/>
            <w:noWrap/>
            <w:tcMar>
              <w:left w:w="0" w:type="dxa"/>
              <w:right w:w="173" w:type="dxa"/>
            </w:tcMar>
            <w:vAlign w:val="center"/>
          </w:tcPr>
          <w:p w14:paraId="425316C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0.04</w:t>
            </w:r>
          </w:p>
        </w:tc>
        <w:tc>
          <w:tcPr>
            <w:tcW w:w="583" w:type="pct"/>
            <w:shd w:val="clear" w:color="auto" w:fill="auto"/>
            <w:noWrap/>
            <w:tcMar>
              <w:left w:w="0" w:type="dxa"/>
              <w:right w:w="173" w:type="dxa"/>
            </w:tcMar>
            <w:vAlign w:val="center"/>
          </w:tcPr>
          <w:p w14:paraId="089E332E"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0.10</w:t>
            </w:r>
          </w:p>
        </w:tc>
        <w:tc>
          <w:tcPr>
            <w:tcW w:w="582" w:type="pct"/>
            <w:shd w:val="clear" w:color="auto" w:fill="auto"/>
            <w:tcMar>
              <w:left w:w="0" w:type="dxa"/>
              <w:right w:w="173" w:type="dxa"/>
            </w:tcMar>
          </w:tcPr>
          <w:p w14:paraId="381E1F7D"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0.09</w:t>
            </w:r>
          </w:p>
        </w:tc>
        <w:tc>
          <w:tcPr>
            <w:tcW w:w="582" w:type="pct"/>
            <w:tcMar>
              <w:left w:w="0" w:type="dxa"/>
              <w:right w:w="173" w:type="dxa"/>
            </w:tcMar>
          </w:tcPr>
          <w:p w14:paraId="76AAC59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0.02</w:t>
            </w:r>
          </w:p>
        </w:tc>
        <w:tc>
          <w:tcPr>
            <w:tcW w:w="582" w:type="pct"/>
          </w:tcPr>
          <w:p w14:paraId="106B212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0.02</w:t>
            </w:r>
          </w:p>
        </w:tc>
        <w:tc>
          <w:tcPr>
            <w:tcW w:w="579" w:type="pct"/>
            <w:shd w:val="clear" w:color="auto" w:fill="auto"/>
            <w:noWrap/>
            <w:tcMar>
              <w:left w:w="0" w:type="dxa"/>
              <w:right w:w="173" w:type="dxa"/>
            </w:tcMar>
            <w:vAlign w:val="center"/>
          </w:tcPr>
          <w:p w14:paraId="78E2986C"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2.55</w:t>
            </w:r>
            <w:r w:rsidRPr="00AD335F">
              <w:rPr>
                <w:sz w:val="19"/>
                <w:szCs w:val="19"/>
                <w:vertAlign w:val="superscript"/>
                <w:lang w:val="en-CA"/>
              </w:rPr>
              <w:t>c</w:t>
            </w:r>
          </w:p>
        </w:tc>
      </w:tr>
      <w:tr w:rsidR="00226D17" w:rsidRPr="00AD335F" w14:paraId="41D792D6" w14:textId="77777777" w:rsidTr="00F63AF8">
        <w:tc>
          <w:tcPr>
            <w:tcW w:w="1510" w:type="pct"/>
            <w:shd w:val="clear" w:color="auto" w:fill="auto"/>
            <w:noWrap/>
            <w:tcMar>
              <w:left w:w="43" w:type="dxa"/>
              <w:right w:w="43" w:type="dxa"/>
            </w:tcMar>
          </w:tcPr>
          <w:p w14:paraId="62A589F5"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Tuvalu</w:t>
            </w:r>
          </w:p>
        </w:tc>
        <w:tc>
          <w:tcPr>
            <w:tcW w:w="582" w:type="pct"/>
            <w:shd w:val="clear" w:color="auto" w:fill="auto"/>
            <w:noWrap/>
            <w:tcMar>
              <w:left w:w="0" w:type="dxa"/>
              <w:right w:w="173" w:type="dxa"/>
            </w:tcMar>
            <w:vAlign w:val="center"/>
          </w:tcPr>
          <w:p w14:paraId="03AA64C2"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0.12</w:t>
            </w:r>
          </w:p>
        </w:tc>
        <w:tc>
          <w:tcPr>
            <w:tcW w:w="583" w:type="pct"/>
            <w:shd w:val="clear" w:color="auto" w:fill="auto"/>
            <w:noWrap/>
            <w:tcMar>
              <w:left w:w="0" w:type="dxa"/>
              <w:right w:w="173" w:type="dxa"/>
            </w:tcMar>
            <w:vAlign w:val="center"/>
          </w:tcPr>
          <w:p w14:paraId="3AE8176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0.20</w:t>
            </w:r>
          </w:p>
        </w:tc>
        <w:tc>
          <w:tcPr>
            <w:tcW w:w="582" w:type="pct"/>
            <w:shd w:val="clear" w:color="auto" w:fill="auto"/>
            <w:tcMar>
              <w:left w:w="0" w:type="dxa"/>
              <w:right w:w="173" w:type="dxa"/>
            </w:tcMar>
          </w:tcPr>
          <w:p w14:paraId="74D6BBB5"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0.03</w:t>
            </w:r>
          </w:p>
        </w:tc>
        <w:tc>
          <w:tcPr>
            <w:tcW w:w="582" w:type="pct"/>
            <w:tcMar>
              <w:left w:w="0" w:type="dxa"/>
              <w:right w:w="173" w:type="dxa"/>
            </w:tcMar>
          </w:tcPr>
          <w:p w14:paraId="6CEC012B" w14:textId="77777777" w:rsidR="00226D17" w:rsidRPr="00795224" w:rsidRDefault="00226D17" w:rsidP="00F63AF8">
            <w:pPr>
              <w:keepNext/>
              <w:keepLines/>
              <w:spacing w:line="240" w:lineRule="atLeast"/>
              <w:jc w:val="right"/>
              <w:rPr>
                <w:sz w:val="20"/>
                <w:szCs w:val="20"/>
                <w:lang w:val="en-CA"/>
              </w:rPr>
            </w:pPr>
            <w:r w:rsidRPr="00795224">
              <w:rPr>
                <w:color w:val="000000" w:themeColor="text1"/>
                <w:sz w:val="20"/>
                <w:szCs w:val="20"/>
                <w:lang w:val="en-CA"/>
              </w:rPr>
              <w:t>0.00</w:t>
            </w:r>
            <w:r w:rsidRPr="00795224">
              <w:rPr>
                <w:b/>
                <w:bCs/>
                <w:color w:val="000000" w:themeColor="text1"/>
                <w:sz w:val="20"/>
                <w:szCs w:val="20"/>
                <w:vertAlign w:val="superscript"/>
                <w:lang w:val="en-CA"/>
              </w:rPr>
              <w:t xml:space="preserve"> </w:t>
            </w:r>
          </w:p>
        </w:tc>
        <w:tc>
          <w:tcPr>
            <w:tcW w:w="582" w:type="pct"/>
          </w:tcPr>
          <w:p w14:paraId="34F5B68C"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0.03</w:t>
            </w:r>
          </w:p>
        </w:tc>
        <w:tc>
          <w:tcPr>
            <w:tcW w:w="579" w:type="pct"/>
            <w:shd w:val="clear" w:color="auto" w:fill="auto"/>
            <w:noWrap/>
            <w:tcMar>
              <w:left w:w="0" w:type="dxa"/>
              <w:right w:w="173" w:type="dxa"/>
            </w:tcMar>
            <w:vAlign w:val="center"/>
          </w:tcPr>
          <w:p w14:paraId="5168F04D"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1.64</w:t>
            </w:r>
          </w:p>
        </w:tc>
      </w:tr>
      <w:tr w:rsidR="00226D17" w:rsidRPr="00AD335F" w14:paraId="1BDBB684" w14:textId="77777777" w:rsidTr="00F63AF8">
        <w:tc>
          <w:tcPr>
            <w:tcW w:w="1510" w:type="pct"/>
            <w:shd w:val="clear" w:color="auto" w:fill="auto"/>
            <w:noWrap/>
            <w:tcMar>
              <w:left w:w="43" w:type="dxa"/>
              <w:right w:w="43" w:type="dxa"/>
            </w:tcMar>
          </w:tcPr>
          <w:p w14:paraId="062905EB"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Vanuatu</w:t>
            </w:r>
          </w:p>
        </w:tc>
        <w:tc>
          <w:tcPr>
            <w:tcW w:w="582" w:type="pct"/>
            <w:shd w:val="clear" w:color="auto" w:fill="auto"/>
            <w:noWrap/>
            <w:tcMar>
              <w:left w:w="0" w:type="dxa"/>
              <w:right w:w="173" w:type="dxa"/>
            </w:tcMar>
            <w:vAlign w:val="center"/>
          </w:tcPr>
          <w:p w14:paraId="6ED4CA9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vAlign w:val="center"/>
          </w:tcPr>
          <w:p w14:paraId="746D8C0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0.22</w:t>
            </w:r>
          </w:p>
        </w:tc>
        <w:tc>
          <w:tcPr>
            <w:tcW w:w="582" w:type="pct"/>
            <w:shd w:val="clear" w:color="auto" w:fill="auto"/>
            <w:tcMar>
              <w:left w:w="0" w:type="dxa"/>
              <w:right w:w="173" w:type="dxa"/>
            </w:tcMar>
          </w:tcPr>
          <w:p w14:paraId="29A1BBC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0.29</w:t>
            </w:r>
          </w:p>
        </w:tc>
        <w:tc>
          <w:tcPr>
            <w:tcW w:w="582" w:type="pct"/>
            <w:tcMar>
              <w:left w:w="0" w:type="dxa"/>
              <w:right w:w="173" w:type="dxa"/>
            </w:tcMar>
          </w:tcPr>
          <w:p w14:paraId="3CAE06B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0.22</w:t>
            </w:r>
            <w:r w:rsidRPr="00795224">
              <w:rPr>
                <w:sz w:val="19"/>
                <w:szCs w:val="19"/>
                <w:vertAlign w:val="superscript"/>
                <w:lang w:val="en-CA"/>
              </w:rPr>
              <w:t>b</w:t>
            </w:r>
          </w:p>
        </w:tc>
        <w:tc>
          <w:tcPr>
            <w:tcW w:w="582" w:type="pct"/>
          </w:tcPr>
          <w:p w14:paraId="7B44FF4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21036F90"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5.11</w:t>
            </w:r>
            <w:r w:rsidRPr="00AD335F">
              <w:rPr>
                <w:sz w:val="19"/>
                <w:szCs w:val="19"/>
                <w:vertAlign w:val="superscript"/>
                <w:lang w:val="en-CA"/>
              </w:rPr>
              <w:t>c</w:t>
            </w:r>
          </w:p>
        </w:tc>
      </w:tr>
      <w:tr w:rsidR="00226D17" w:rsidRPr="007B4A50" w14:paraId="3A3FAEA9" w14:textId="77777777" w:rsidTr="00F63AF8">
        <w:tc>
          <w:tcPr>
            <w:tcW w:w="1510" w:type="pct"/>
            <w:shd w:val="clear" w:color="auto" w:fill="auto"/>
            <w:noWrap/>
            <w:tcMar>
              <w:left w:w="43" w:type="dxa"/>
              <w:right w:w="43" w:type="dxa"/>
            </w:tcMar>
            <w:vAlign w:val="center"/>
            <w:hideMark/>
          </w:tcPr>
          <w:p w14:paraId="56F59934" w14:textId="77777777" w:rsidR="00226D17" w:rsidRPr="00AD335F" w:rsidRDefault="00226D17" w:rsidP="00F63AF8">
            <w:pPr>
              <w:keepNext/>
              <w:keepLines/>
              <w:spacing w:line="240" w:lineRule="atLeast"/>
              <w:jc w:val="left"/>
              <w:rPr>
                <w:b/>
                <w:color w:val="000000"/>
                <w:sz w:val="20"/>
                <w:szCs w:val="20"/>
                <w:lang w:val="en-CA"/>
              </w:rPr>
            </w:pPr>
            <w:r w:rsidRPr="00AD335F">
              <w:rPr>
                <w:b/>
                <w:color w:val="000000"/>
                <w:sz w:val="20"/>
                <w:szCs w:val="20"/>
                <w:lang w:val="en-CA"/>
              </w:rPr>
              <w:t>Total (mt)</w:t>
            </w:r>
          </w:p>
        </w:tc>
        <w:tc>
          <w:tcPr>
            <w:tcW w:w="582" w:type="pct"/>
            <w:shd w:val="clear" w:color="auto" w:fill="auto"/>
            <w:noWrap/>
            <w:tcMar>
              <w:left w:w="0" w:type="dxa"/>
              <w:right w:w="173" w:type="dxa"/>
            </w:tcMar>
          </w:tcPr>
          <w:p w14:paraId="27034306" w14:textId="77777777" w:rsidR="00226D17" w:rsidRPr="00795224" w:rsidRDefault="00226D17" w:rsidP="00F63AF8">
            <w:pPr>
              <w:keepNext/>
              <w:keepLines/>
              <w:spacing w:line="240" w:lineRule="atLeast"/>
              <w:jc w:val="right"/>
              <w:rPr>
                <w:b/>
                <w:sz w:val="20"/>
                <w:szCs w:val="20"/>
                <w:lang w:val="en-CA"/>
              </w:rPr>
            </w:pPr>
            <w:r w:rsidRPr="00795224">
              <w:rPr>
                <w:b/>
                <w:sz w:val="20"/>
                <w:szCs w:val="20"/>
                <w:lang w:val="en-CA"/>
              </w:rPr>
              <w:t>6.81</w:t>
            </w:r>
          </w:p>
        </w:tc>
        <w:tc>
          <w:tcPr>
            <w:tcW w:w="583" w:type="pct"/>
            <w:shd w:val="clear" w:color="auto" w:fill="auto"/>
            <w:noWrap/>
            <w:tcMar>
              <w:left w:w="0" w:type="dxa"/>
              <w:right w:w="173" w:type="dxa"/>
            </w:tcMar>
          </w:tcPr>
          <w:p w14:paraId="432EFC92" w14:textId="77777777" w:rsidR="00226D17" w:rsidRPr="00795224" w:rsidRDefault="00226D17" w:rsidP="00F63AF8">
            <w:pPr>
              <w:keepNext/>
              <w:keepLines/>
              <w:spacing w:line="240" w:lineRule="atLeast"/>
              <w:jc w:val="right"/>
              <w:rPr>
                <w:b/>
                <w:sz w:val="20"/>
                <w:szCs w:val="20"/>
                <w:lang w:val="en-CA"/>
              </w:rPr>
            </w:pPr>
            <w:r w:rsidRPr="00795224">
              <w:rPr>
                <w:b/>
                <w:sz w:val="20"/>
                <w:szCs w:val="20"/>
                <w:lang w:val="en-CA"/>
              </w:rPr>
              <w:t>8.33</w:t>
            </w:r>
          </w:p>
        </w:tc>
        <w:tc>
          <w:tcPr>
            <w:tcW w:w="582" w:type="pct"/>
            <w:tcMar>
              <w:left w:w="0" w:type="dxa"/>
              <w:right w:w="173" w:type="dxa"/>
            </w:tcMar>
          </w:tcPr>
          <w:p w14:paraId="7C9C3A23" w14:textId="77777777" w:rsidR="00226D17" w:rsidRPr="00795224" w:rsidRDefault="00226D17" w:rsidP="00F63AF8">
            <w:pPr>
              <w:keepNext/>
              <w:keepLines/>
              <w:spacing w:line="240" w:lineRule="atLeast"/>
              <w:jc w:val="right"/>
              <w:rPr>
                <w:b/>
                <w:sz w:val="20"/>
                <w:szCs w:val="20"/>
                <w:lang w:val="en-CA"/>
              </w:rPr>
            </w:pPr>
            <w:r w:rsidRPr="00795224">
              <w:rPr>
                <w:b/>
                <w:sz w:val="20"/>
                <w:szCs w:val="20"/>
                <w:lang w:val="en-CA"/>
              </w:rPr>
              <w:t>5.68</w:t>
            </w:r>
          </w:p>
        </w:tc>
        <w:tc>
          <w:tcPr>
            <w:tcW w:w="582" w:type="pct"/>
            <w:tcMar>
              <w:left w:w="0" w:type="dxa"/>
              <w:right w:w="173" w:type="dxa"/>
            </w:tcMar>
          </w:tcPr>
          <w:p w14:paraId="106F4D66" w14:textId="77777777" w:rsidR="00226D17" w:rsidRPr="00795224" w:rsidRDefault="00226D17" w:rsidP="00F63AF8">
            <w:pPr>
              <w:keepNext/>
              <w:keepLines/>
              <w:spacing w:line="240" w:lineRule="atLeast"/>
              <w:jc w:val="right"/>
              <w:rPr>
                <w:b/>
                <w:sz w:val="20"/>
                <w:szCs w:val="20"/>
                <w:lang w:val="en-CA"/>
              </w:rPr>
            </w:pPr>
            <w:r w:rsidRPr="00795224">
              <w:rPr>
                <w:b/>
                <w:sz w:val="20"/>
                <w:szCs w:val="20"/>
                <w:lang w:val="en-CA"/>
              </w:rPr>
              <w:t>4.32</w:t>
            </w:r>
          </w:p>
        </w:tc>
        <w:tc>
          <w:tcPr>
            <w:tcW w:w="582" w:type="pct"/>
          </w:tcPr>
          <w:p w14:paraId="18F8FF20" w14:textId="77777777" w:rsidR="00226D17" w:rsidRPr="00795224" w:rsidRDefault="00226D17" w:rsidP="00F63AF8">
            <w:pPr>
              <w:keepNext/>
              <w:keepLines/>
              <w:spacing w:line="240" w:lineRule="atLeast"/>
              <w:jc w:val="right"/>
              <w:rPr>
                <w:b/>
                <w:sz w:val="20"/>
                <w:szCs w:val="20"/>
                <w:lang w:val="en-CA"/>
              </w:rPr>
            </w:pPr>
            <w:r w:rsidRPr="00795224">
              <w:rPr>
                <w:b/>
                <w:sz w:val="20"/>
                <w:szCs w:val="20"/>
                <w:lang w:val="en-CA"/>
              </w:rPr>
              <w:t>2.43</w:t>
            </w:r>
          </w:p>
        </w:tc>
        <w:tc>
          <w:tcPr>
            <w:tcW w:w="579" w:type="pct"/>
            <w:shd w:val="clear" w:color="auto" w:fill="auto"/>
            <w:noWrap/>
            <w:tcMar>
              <w:left w:w="0" w:type="dxa"/>
              <w:right w:w="173" w:type="dxa"/>
            </w:tcMar>
            <w:vAlign w:val="center"/>
          </w:tcPr>
          <w:p w14:paraId="23602387" w14:textId="77777777" w:rsidR="00226D17" w:rsidRPr="007B4A50" w:rsidRDefault="00226D17" w:rsidP="00F63AF8">
            <w:pPr>
              <w:keepNext/>
              <w:keepLines/>
              <w:spacing w:line="240" w:lineRule="atLeast"/>
              <w:jc w:val="right"/>
              <w:rPr>
                <w:b/>
                <w:sz w:val="20"/>
                <w:szCs w:val="20"/>
                <w:lang w:val="en-CA"/>
              </w:rPr>
            </w:pPr>
            <w:r w:rsidRPr="00AD335F">
              <w:rPr>
                <w:b/>
                <w:sz w:val="20"/>
                <w:szCs w:val="20"/>
                <w:lang w:val="en-CA"/>
              </w:rPr>
              <w:t>60.62</w:t>
            </w:r>
          </w:p>
        </w:tc>
      </w:tr>
      <w:tr w:rsidR="00226D17" w:rsidRPr="007B4A50" w14:paraId="0988E89C" w14:textId="77777777" w:rsidTr="00F63AF8">
        <w:tc>
          <w:tcPr>
            <w:tcW w:w="1510" w:type="pct"/>
            <w:shd w:val="clear" w:color="auto" w:fill="auto"/>
            <w:noWrap/>
            <w:tcMar>
              <w:left w:w="43" w:type="dxa"/>
              <w:right w:w="43" w:type="dxa"/>
            </w:tcMar>
            <w:vAlign w:val="center"/>
            <w:hideMark/>
          </w:tcPr>
          <w:p w14:paraId="381C6136" w14:textId="77777777" w:rsidR="00226D17" w:rsidRPr="007B4A50" w:rsidRDefault="00226D17" w:rsidP="00F63AF8">
            <w:pPr>
              <w:keepNext/>
              <w:keepLines/>
              <w:jc w:val="left"/>
              <w:rPr>
                <w:b/>
                <w:bCs/>
                <w:color w:val="000000"/>
                <w:sz w:val="20"/>
                <w:szCs w:val="20"/>
                <w:lang w:val="en-CA"/>
              </w:rPr>
            </w:pPr>
            <w:r w:rsidRPr="007B4A50">
              <w:rPr>
                <w:b/>
                <w:bCs/>
                <w:color w:val="000000"/>
                <w:sz w:val="20"/>
                <w:szCs w:val="20"/>
                <w:lang w:val="en-CA"/>
              </w:rPr>
              <w:t>ODP tonnes</w:t>
            </w:r>
          </w:p>
        </w:tc>
        <w:tc>
          <w:tcPr>
            <w:tcW w:w="582" w:type="pct"/>
            <w:shd w:val="clear" w:color="auto" w:fill="auto"/>
            <w:noWrap/>
            <w:tcMar>
              <w:left w:w="0" w:type="dxa"/>
              <w:right w:w="173" w:type="dxa"/>
            </w:tcMar>
          </w:tcPr>
          <w:p w14:paraId="33CA29F6" w14:textId="77777777" w:rsidR="00226D17" w:rsidRPr="00795224" w:rsidRDefault="00226D17" w:rsidP="00F63AF8">
            <w:pPr>
              <w:keepNext/>
              <w:keepLines/>
              <w:spacing w:line="240" w:lineRule="atLeast"/>
              <w:jc w:val="right"/>
              <w:rPr>
                <w:sz w:val="20"/>
                <w:szCs w:val="20"/>
                <w:lang w:val="en-CA"/>
              </w:rPr>
            </w:pPr>
          </w:p>
        </w:tc>
        <w:tc>
          <w:tcPr>
            <w:tcW w:w="583" w:type="pct"/>
            <w:shd w:val="clear" w:color="auto" w:fill="auto"/>
            <w:noWrap/>
            <w:tcMar>
              <w:left w:w="0" w:type="dxa"/>
              <w:right w:w="173" w:type="dxa"/>
            </w:tcMar>
          </w:tcPr>
          <w:p w14:paraId="6DB897EF" w14:textId="77777777" w:rsidR="00226D17" w:rsidRPr="00795224" w:rsidRDefault="00226D17" w:rsidP="00F63AF8">
            <w:pPr>
              <w:keepNext/>
              <w:keepLines/>
              <w:spacing w:line="240" w:lineRule="atLeast"/>
              <w:jc w:val="right"/>
              <w:rPr>
                <w:sz w:val="20"/>
                <w:szCs w:val="20"/>
                <w:lang w:val="en-CA"/>
              </w:rPr>
            </w:pPr>
          </w:p>
        </w:tc>
        <w:tc>
          <w:tcPr>
            <w:tcW w:w="582" w:type="pct"/>
            <w:tcMar>
              <w:left w:w="0" w:type="dxa"/>
              <w:right w:w="173" w:type="dxa"/>
            </w:tcMar>
          </w:tcPr>
          <w:p w14:paraId="5DA9964C" w14:textId="77777777" w:rsidR="00226D17" w:rsidRPr="00795224" w:rsidRDefault="00226D17" w:rsidP="00F63AF8">
            <w:pPr>
              <w:keepNext/>
              <w:keepLines/>
              <w:spacing w:line="240" w:lineRule="atLeast"/>
              <w:jc w:val="right"/>
              <w:rPr>
                <w:sz w:val="20"/>
                <w:szCs w:val="20"/>
                <w:lang w:val="en-CA"/>
              </w:rPr>
            </w:pPr>
          </w:p>
        </w:tc>
        <w:tc>
          <w:tcPr>
            <w:tcW w:w="582" w:type="pct"/>
            <w:tcMar>
              <w:left w:w="0" w:type="dxa"/>
              <w:right w:w="173" w:type="dxa"/>
            </w:tcMar>
          </w:tcPr>
          <w:p w14:paraId="4DF7BFCB" w14:textId="77777777" w:rsidR="00226D17" w:rsidRPr="00795224" w:rsidRDefault="00226D17" w:rsidP="00F63AF8">
            <w:pPr>
              <w:keepNext/>
              <w:keepLines/>
              <w:spacing w:line="240" w:lineRule="atLeast"/>
              <w:jc w:val="right"/>
              <w:rPr>
                <w:sz w:val="20"/>
                <w:szCs w:val="20"/>
                <w:lang w:val="en-CA"/>
              </w:rPr>
            </w:pPr>
          </w:p>
        </w:tc>
        <w:tc>
          <w:tcPr>
            <w:tcW w:w="582" w:type="pct"/>
          </w:tcPr>
          <w:p w14:paraId="3485B4F3" w14:textId="77777777" w:rsidR="00226D17" w:rsidRPr="00795224" w:rsidRDefault="00226D17" w:rsidP="00F63AF8">
            <w:pPr>
              <w:keepNext/>
              <w:keepLines/>
              <w:spacing w:line="240" w:lineRule="atLeast"/>
              <w:jc w:val="right"/>
              <w:rPr>
                <w:sz w:val="20"/>
                <w:szCs w:val="20"/>
                <w:lang w:val="en-CA"/>
              </w:rPr>
            </w:pPr>
          </w:p>
        </w:tc>
        <w:tc>
          <w:tcPr>
            <w:tcW w:w="579" w:type="pct"/>
            <w:shd w:val="clear" w:color="auto" w:fill="auto"/>
            <w:noWrap/>
            <w:tcMar>
              <w:left w:w="0" w:type="dxa"/>
              <w:right w:w="173" w:type="dxa"/>
            </w:tcMar>
            <w:vAlign w:val="center"/>
            <w:hideMark/>
          </w:tcPr>
          <w:p w14:paraId="087B9ED4" w14:textId="77777777" w:rsidR="00226D17" w:rsidRPr="007B4A50" w:rsidRDefault="00226D17" w:rsidP="00F63AF8">
            <w:pPr>
              <w:keepNext/>
              <w:keepLines/>
              <w:spacing w:line="240" w:lineRule="atLeast"/>
              <w:jc w:val="right"/>
              <w:rPr>
                <w:sz w:val="20"/>
                <w:szCs w:val="20"/>
                <w:lang w:val="en-CA"/>
              </w:rPr>
            </w:pPr>
          </w:p>
        </w:tc>
      </w:tr>
      <w:tr w:rsidR="00226D17" w:rsidRPr="007B4A50" w14:paraId="679157F1" w14:textId="77777777" w:rsidTr="00F63AF8">
        <w:tc>
          <w:tcPr>
            <w:tcW w:w="1510" w:type="pct"/>
            <w:shd w:val="clear" w:color="auto" w:fill="auto"/>
            <w:noWrap/>
            <w:tcMar>
              <w:left w:w="43" w:type="dxa"/>
              <w:right w:w="43" w:type="dxa"/>
            </w:tcMar>
          </w:tcPr>
          <w:p w14:paraId="645067FC"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Cook Islands</w:t>
            </w:r>
          </w:p>
        </w:tc>
        <w:tc>
          <w:tcPr>
            <w:tcW w:w="582" w:type="pct"/>
            <w:shd w:val="clear" w:color="auto" w:fill="auto"/>
            <w:noWrap/>
            <w:tcMar>
              <w:left w:w="0" w:type="dxa"/>
              <w:right w:w="173" w:type="dxa"/>
            </w:tcMar>
          </w:tcPr>
          <w:p w14:paraId="7BB21B0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7AC44F6E"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58283874"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1A0A9FF9"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0.00</w:t>
            </w:r>
          </w:p>
        </w:tc>
        <w:tc>
          <w:tcPr>
            <w:tcW w:w="582" w:type="pct"/>
          </w:tcPr>
          <w:p w14:paraId="24A7C12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52AA3A74"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0.10</w:t>
            </w:r>
          </w:p>
        </w:tc>
      </w:tr>
      <w:tr w:rsidR="00226D17" w:rsidRPr="007B4A50" w14:paraId="53BEFA64" w14:textId="77777777" w:rsidTr="00F63AF8">
        <w:tc>
          <w:tcPr>
            <w:tcW w:w="1510" w:type="pct"/>
            <w:shd w:val="clear" w:color="auto" w:fill="auto"/>
            <w:noWrap/>
            <w:tcMar>
              <w:left w:w="43" w:type="dxa"/>
              <w:right w:w="43" w:type="dxa"/>
            </w:tcMar>
          </w:tcPr>
          <w:p w14:paraId="4DE7B6A8"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Kiribati</w:t>
            </w:r>
          </w:p>
        </w:tc>
        <w:tc>
          <w:tcPr>
            <w:tcW w:w="582" w:type="pct"/>
            <w:shd w:val="clear" w:color="auto" w:fill="auto"/>
            <w:noWrap/>
            <w:tcMar>
              <w:left w:w="0" w:type="dxa"/>
              <w:right w:w="173" w:type="dxa"/>
            </w:tcMar>
          </w:tcPr>
          <w:p w14:paraId="4D57196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0.02</w:t>
            </w:r>
          </w:p>
        </w:tc>
        <w:tc>
          <w:tcPr>
            <w:tcW w:w="583" w:type="pct"/>
            <w:shd w:val="clear" w:color="auto" w:fill="auto"/>
            <w:noWrap/>
            <w:tcMar>
              <w:left w:w="0" w:type="dxa"/>
              <w:right w:w="173" w:type="dxa"/>
            </w:tcMar>
          </w:tcPr>
          <w:p w14:paraId="21768479"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0.02</w:t>
            </w:r>
            <w:r w:rsidRPr="00795224">
              <w:rPr>
                <w:sz w:val="20"/>
                <w:szCs w:val="20"/>
                <w:vertAlign w:val="superscript"/>
                <w:lang w:val="en-CA"/>
              </w:rPr>
              <w:t>a</w:t>
            </w:r>
          </w:p>
        </w:tc>
        <w:tc>
          <w:tcPr>
            <w:tcW w:w="582" w:type="pct"/>
            <w:tcMar>
              <w:left w:w="0" w:type="dxa"/>
              <w:right w:w="173" w:type="dxa"/>
            </w:tcMar>
          </w:tcPr>
          <w:p w14:paraId="5AC4D9B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2" w:type="pct"/>
            <w:tcMar>
              <w:left w:w="0" w:type="dxa"/>
              <w:right w:w="173" w:type="dxa"/>
            </w:tcMar>
            <w:vAlign w:val="center"/>
          </w:tcPr>
          <w:p w14:paraId="4CE03CEF"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0.02</w:t>
            </w:r>
          </w:p>
        </w:tc>
        <w:tc>
          <w:tcPr>
            <w:tcW w:w="582" w:type="pct"/>
          </w:tcPr>
          <w:p w14:paraId="518E6A4D"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5F90DEC4"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0.10</w:t>
            </w:r>
          </w:p>
        </w:tc>
      </w:tr>
      <w:tr w:rsidR="00226D17" w:rsidRPr="007B4A50" w14:paraId="418CF68D" w14:textId="77777777" w:rsidTr="00F63AF8">
        <w:tc>
          <w:tcPr>
            <w:tcW w:w="1510" w:type="pct"/>
            <w:shd w:val="clear" w:color="auto" w:fill="auto"/>
            <w:noWrap/>
            <w:tcMar>
              <w:left w:w="43" w:type="dxa"/>
              <w:right w:w="43" w:type="dxa"/>
            </w:tcMar>
          </w:tcPr>
          <w:p w14:paraId="6098AB76"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Marshall Islands</w:t>
            </w:r>
          </w:p>
        </w:tc>
        <w:tc>
          <w:tcPr>
            <w:tcW w:w="582" w:type="pct"/>
            <w:shd w:val="clear" w:color="auto" w:fill="auto"/>
            <w:noWrap/>
            <w:tcMar>
              <w:left w:w="0" w:type="dxa"/>
              <w:right w:w="173" w:type="dxa"/>
            </w:tcMar>
          </w:tcPr>
          <w:p w14:paraId="5BF6C59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250788D4"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2D18E55D"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2F23EB0A"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0.00</w:t>
            </w:r>
          </w:p>
        </w:tc>
        <w:tc>
          <w:tcPr>
            <w:tcW w:w="582" w:type="pct"/>
          </w:tcPr>
          <w:p w14:paraId="0FFCB8B3"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6D466B3D"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0.20</w:t>
            </w:r>
          </w:p>
        </w:tc>
      </w:tr>
      <w:tr w:rsidR="00226D17" w:rsidRPr="007B4A50" w14:paraId="4AD7DA7C" w14:textId="77777777" w:rsidTr="00F63AF8">
        <w:tc>
          <w:tcPr>
            <w:tcW w:w="1510" w:type="pct"/>
            <w:shd w:val="clear" w:color="auto" w:fill="auto"/>
            <w:noWrap/>
            <w:tcMar>
              <w:left w:w="43" w:type="dxa"/>
              <w:right w:w="43" w:type="dxa"/>
            </w:tcMar>
          </w:tcPr>
          <w:p w14:paraId="57DB4E92"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Micronesia (Federated States of)</w:t>
            </w:r>
            <w:r>
              <w:rPr>
                <w:color w:val="000000"/>
                <w:sz w:val="20"/>
                <w:szCs w:val="20"/>
                <w:lang w:val="en-CA"/>
              </w:rPr>
              <w:t xml:space="preserve"> </w:t>
            </w:r>
          </w:p>
        </w:tc>
        <w:tc>
          <w:tcPr>
            <w:tcW w:w="582" w:type="pct"/>
            <w:shd w:val="clear" w:color="auto" w:fill="auto"/>
            <w:noWrap/>
            <w:tcMar>
              <w:left w:w="0" w:type="dxa"/>
              <w:right w:w="173" w:type="dxa"/>
            </w:tcMar>
          </w:tcPr>
          <w:p w14:paraId="13621E98"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0.04</w:t>
            </w:r>
          </w:p>
        </w:tc>
        <w:tc>
          <w:tcPr>
            <w:tcW w:w="583" w:type="pct"/>
            <w:shd w:val="clear" w:color="auto" w:fill="auto"/>
            <w:noWrap/>
            <w:tcMar>
              <w:left w:w="0" w:type="dxa"/>
              <w:right w:w="173" w:type="dxa"/>
            </w:tcMar>
          </w:tcPr>
          <w:p w14:paraId="363C61B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457E9C8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2547AD1A"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0.10</w:t>
            </w:r>
          </w:p>
        </w:tc>
        <w:tc>
          <w:tcPr>
            <w:tcW w:w="582" w:type="pct"/>
          </w:tcPr>
          <w:p w14:paraId="49C891EA"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2E92A52F"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0.20</w:t>
            </w:r>
          </w:p>
        </w:tc>
      </w:tr>
      <w:tr w:rsidR="00226D17" w:rsidRPr="007B4A50" w14:paraId="1EC27E42" w14:textId="77777777" w:rsidTr="00F63AF8">
        <w:tc>
          <w:tcPr>
            <w:tcW w:w="1510" w:type="pct"/>
            <w:shd w:val="clear" w:color="auto" w:fill="auto"/>
            <w:noWrap/>
            <w:tcMar>
              <w:left w:w="43" w:type="dxa"/>
              <w:right w:w="43" w:type="dxa"/>
            </w:tcMar>
          </w:tcPr>
          <w:p w14:paraId="55E59BCA"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Nauru</w:t>
            </w:r>
          </w:p>
        </w:tc>
        <w:tc>
          <w:tcPr>
            <w:tcW w:w="582" w:type="pct"/>
            <w:shd w:val="clear" w:color="auto" w:fill="auto"/>
            <w:noWrap/>
            <w:tcMar>
              <w:left w:w="0" w:type="dxa"/>
              <w:right w:w="173" w:type="dxa"/>
            </w:tcMar>
          </w:tcPr>
          <w:p w14:paraId="64967EEE"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3" w:type="pct"/>
            <w:shd w:val="clear" w:color="auto" w:fill="auto"/>
            <w:noWrap/>
            <w:tcMar>
              <w:left w:w="0" w:type="dxa"/>
              <w:right w:w="173" w:type="dxa"/>
            </w:tcMar>
          </w:tcPr>
          <w:p w14:paraId="7C905589"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482E6A3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37AEC7EE"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0.00</w:t>
            </w:r>
          </w:p>
        </w:tc>
        <w:tc>
          <w:tcPr>
            <w:tcW w:w="582" w:type="pct"/>
          </w:tcPr>
          <w:p w14:paraId="4738D585"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6A6423E8"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0.00</w:t>
            </w:r>
            <w:r>
              <w:rPr>
                <w:sz w:val="19"/>
                <w:szCs w:val="19"/>
                <w:vertAlign w:val="superscript"/>
                <w:lang w:val="en-CA"/>
              </w:rPr>
              <w:t>d</w:t>
            </w:r>
          </w:p>
        </w:tc>
      </w:tr>
      <w:tr w:rsidR="00226D17" w:rsidRPr="007B4A50" w14:paraId="56144401" w14:textId="77777777" w:rsidTr="00F63AF8">
        <w:tc>
          <w:tcPr>
            <w:tcW w:w="1510" w:type="pct"/>
            <w:shd w:val="clear" w:color="auto" w:fill="auto"/>
            <w:noWrap/>
            <w:tcMar>
              <w:left w:w="43" w:type="dxa"/>
              <w:right w:w="43" w:type="dxa"/>
            </w:tcMar>
          </w:tcPr>
          <w:p w14:paraId="267270EF"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Niue</w:t>
            </w:r>
          </w:p>
        </w:tc>
        <w:tc>
          <w:tcPr>
            <w:tcW w:w="582" w:type="pct"/>
            <w:shd w:val="clear" w:color="auto" w:fill="auto"/>
            <w:noWrap/>
            <w:tcMar>
              <w:left w:w="0" w:type="dxa"/>
              <w:right w:w="173" w:type="dxa"/>
            </w:tcMar>
          </w:tcPr>
          <w:p w14:paraId="0F635B3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71AE1C8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tcPr>
          <w:p w14:paraId="3F89239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0B270258"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 xml:space="preserve"> 0.00</w:t>
            </w:r>
          </w:p>
        </w:tc>
        <w:tc>
          <w:tcPr>
            <w:tcW w:w="582" w:type="pct"/>
          </w:tcPr>
          <w:p w14:paraId="72919D1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574390BB"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0.00</w:t>
            </w:r>
            <w:r>
              <w:rPr>
                <w:sz w:val="19"/>
                <w:szCs w:val="19"/>
                <w:vertAlign w:val="superscript"/>
                <w:lang w:val="en-CA"/>
              </w:rPr>
              <w:t>d</w:t>
            </w:r>
          </w:p>
        </w:tc>
      </w:tr>
      <w:tr w:rsidR="00226D17" w:rsidRPr="007B4A50" w14:paraId="5271D753" w14:textId="77777777" w:rsidTr="00F63AF8">
        <w:tc>
          <w:tcPr>
            <w:tcW w:w="1510" w:type="pct"/>
            <w:shd w:val="clear" w:color="auto" w:fill="auto"/>
            <w:noWrap/>
            <w:tcMar>
              <w:left w:w="43" w:type="dxa"/>
              <w:right w:w="43" w:type="dxa"/>
            </w:tcMar>
          </w:tcPr>
          <w:p w14:paraId="6281ADAF" w14:textId="77777777" w:rsidR="00226D17" w:rsidRPr="007B4A50" w:rsidRDefault="00226D17" w:rsidP="00F63AF8">
            <w:pPr>
              <w:keepNext/>
              <w:keepLines/>
              <w:jc w:val="left"/>
              <w:rPr>
                <w:color w:val="000000"/>
                <w:sz w:val="20"/>
                <w:szCs w:val="20"/>
                <w:lang w:val="en-CA"/>
              </w:rPr>
            </w:pPr>
            <w:r w:rsidRPr="007B4A50">
              <w:rPr>
                <w:color w:val="000000"/>
                <w:sz w:val="20"/>
                <w:szCs w:val="20"/>
                <w:lang w:val="en-CA"/>
              </w:rPr>
              <w:t>Palau</w:t>
            </w:r>
          </w:p>
        </w:tc>
        <w:tc>
          <w:tcPr>
            <w:tcW w:w="582" w:type="pct"/>
            <w:shd w:val="clear" w:color="auto" w:fill="auto"/>
            <w:noWrap/>
            <w:tcMar>
              <w:left w:w="0" w:type="dxa"/>
              <w:right w:w="173" w:type="dxa"/>
            </w:tcMar>
          </w:tcPr>
          <w:p w14:paraId="23F0EBD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0.12</w:t>
            </w:r>
          </w:p>
        </w:tc>
        <w:tc>
          <w:tcPr>
            <w:tcW w:w="583" w:type="pct"/>
            <w:shd w:val="clear" w:color="auto" w:fill="auto"/>
            <w:noWrap/>
            <w:tcMar>
              <w:left w:w="0" w:type="dxa"/>
              <w:right w:w="173" w:type="dxa"/>
            </w:tcMar>
          </w:tcPr>
          <w:p w14:paraId="6C93713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0.10</w:t>
            </w:r>
          </w:p>
        </w:tc>
        <w:tc>
          <w:tcPr>
            <w:tcW w:w="582" w:type="pct"/>
            <w:tcMar>
              <w:left w:w="0" w:type="dxa"/>
              <w:right w:w="173" w:type="dxa"/>
            </w:tcMar>
          </w:tcPr>
          <w:p w14:paraId="6F6B1EF9"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0.07</w:t>
            </w:r>
          </w:p>
        </w:tc>
        <w:tc>
          <w:tcPr>
            <w:tcW w:w="582" w:type="pct"/>
            <w:tcMar>
              <w:left w:w="0" w:type="dxa"/>
              <w:right w:w="173" w:type="dxa"/>
            </w:tcMar>
            <w:vAlign w:val="center"/>
          </w:tcPr>
          <w:p w14:paraId="7B90281F"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0.01</w:t>
            </w:r>
          </w:p>
        </w:tc>
        <w:tc>
          <w:tcPr>
            <w:tcW w:w="582" w:type="pct"/>
          </w:tcPr>
          <w:p w14:paraId="64601C3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0.02</w:t>
            </w:r>
          </w:p>
        </w:tc>
        <w:tc>
          <w:tcPr>
            <w:tcW w:w="579" w:type="pct"/>
            <w:shd w:val="clear" w:color="auto" w:fill="auto"/>
            <w:noWrap/>
            <w:tcMar>
              <w:left w:w="0" w:type="dxa"/>
              <w:right w:w="173" w:type="dxa"/>
            </w:tcMar>
            <w:vAlign w:val="center"/>
          </w:tcPr>
          <w:p w14:paraId="5627DDB9" w14:textId="77777777" w:rsidR="00226D17" w:rsidRPr="007B4A50" w:rsidRDefault="00226D17" w:rsidP="00F63AF8">
            <w:pPr>
              <w:keepNext/>
              <w:keepLines/>
              <w:spacing w:line="240" w:lineRule="atLeast"/>
              <w:jc w:val="right"/>
              <w:rPr>
                <w:sz w:val="20"/>
                <w:szCs w:val="20"/>
                <w:lang w:val="en-CA"/>
              </w:rPr>
            </w:pPr>
            <w:r w:rsidRPr="007B4A50">
              <w:rPr>
                <w:sz w:val="20"/>
                <w:szCs w:val="20"/>
                <w:lang w:val="en-CA"/>
              </w:rPr>
              <w:t>0.20</w:t>
            </w:r>
            <w:r>
              <w:rPr>
                <w:sz w:val="19"/>
                <w:szCs w:val="19"/>
                <w:vertAlign w:val="superscript"/>
                <w:lang w:val="en-CA"/>
              </w:rPr>
              <w:t>c</w:t>
            </w:r>
          </w:p>
        </w:tc>
      </w:tr>
      <w:tr w:rsidR="00226D17" w:rsidRPr="00AD335F" w14:paraId="5F6C4085" w14:textId="77777777" w:rsidTr="00F63AF8">
        <w:tc>
          <w:tcPr>
            <w:tcW w:w="1510" w:type="pct"/>
            <w:shd w:val="clear" w:color="auto" w:fill="auto"/>
            <w:noWrap/>
            <w:tcMar>
              <w:left w:w="43" w:type="dxa"/>
              <w:right w:w="43" w:type="dxa"/>
            </w:tcMar>
          </w:tcPr>
          <w:p w14:paraId="745E722D"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Samoa</w:t>
            </w:r>
          </w:p>
        </w:tc>
        <w:tc>
          <w:tcPr>
            <w:tcW w:w="582" w:type="pct"/>
            <w:shd w:val="clear" w:color="auto" w:fill="auto"/>
            <w:noWrap/>
            <w:tcMar>
              <w:left w:w="0" w:type="dxa"/>
              <w:right w:w="173" w:type="dxa"/>
            </w:tcMar>
          </w:tcPr>
          <w:p w14:paraId="664F1F2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0.06</w:t>
            </w:r>
          </w:p>
        </w:tc>
        <w:tc>
          <w:tcPr>
            <w:tcW w:w="583" w:type="pct"/>
            <w:shd w:val="clear" w:color="auto" w:fill="auto"/>
            <w:noWrap/>
            <w:tcMar>
              <w:left w:w="0" w:type="dxa"/>
              <w:right w:w="173" w:type="dxa"/>
            </w:tcMar>
          </w:tcPr>
          <w:p w14:paraId="046C2B3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0.07</w:t>
            </w:r>
          </w:p>
        </w:tc>
        <w:tc>
          <w:tcPr>
            <w:tcW w:w="582" w:type="pct"/>
            <w:tcMar>
              <w:left w:w="0" w:type="dxa"/>
              <w:right w:w="173" w:type="dxa"/>
            </w:tcMar>
          </w:tcPr>
          <w:p w14:paraId="44C287FD"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2" w:type="pct"/>
            <w:tcMar>
              <w:left w:w="0" w:type="dxa"/>
              <w:right w:w="173" w:type="dxa"/>
            </w:tcMar>
            <w:vAlign w:val="center"/>
          </w:tcPr>
          <w:p w14:paraId="75E7D8C9"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0.01</w:t>
            </w:r>
          </w:p>
        </w:tc>
        <w:tc>
          <w:tcPr>
            <w:tcW w:w="582" w:type="pct"/>
          </w:tcPr>
          <w:p w14:paraId="5A749C1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0.04</w:t>
            </w:r>
          </w:p>
        </w:tc>
        <w:tc>
          <w:tcPr>
            <w:tcW w:w="579" w:type="pct"/>
            <w:shd w:val="clear" w:color="auto" w:fill="auto"/>
            <w:noWrap/>
            <w:tcMar>
              <w:left w:w="0" w:type="dxa"/>
              <w:right w:w="173" w:type="dxa"/>
            </w:tcMar>
            <w:vAlign w:val="center"/>
          </w:tcPr>
          <w:p w14:paraId="46950EF9"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0.30</w:t>
            </w:r>
          </w:p>
        </w:tc>
      </w:tr>
      <w:tr w:rsidR="00226D17" w:rsidRPr="00AD335F" w14:paraId="020FB0C5" w14:textId="77777777" w:rsidTr="00F63AF8">
        <w:tc>
          <w:tcPr>
            <w:tcW w:w="1510" w:type="pct"/>
            <w:shd w:val="clear" w:color="auto" w:fill="auto"/>
            <w:noWrap/>
            <w:tcMar>
              <w:left w:w="43" w:type="dxa"/>
              <w:right w:w="43" w:type="dxa"/>
            </w:tcMar>
          </w:tcPr>
          <w:p w14:paraId="56F414E4"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Solomon Islands</w:t>
            </w:r>
          </w:p>
        </w:tc>
        <w:tc>
          <w:tcPr>
            <w:tcW w:w="582" w:type="pct"/>
            <w:shd w:val="clear" w:color="auto" w:fill="auto"/>
            <w:noWrap/>
            <w:tcMar>
              <w:left w:w="0" w:type="dxa"/>
              <w:right w:w="173" w:type="dxa"/>
            </w:tcMar>
          </w:tcPr>
          <w:p w14:paraId="6CD2623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0.12</w:t>
            </w:r>
          </w:p>
        </w:tc>
        <w:tc>
          <w:tcPr>
            <w:tcW w:w="583" w:type="pct"/>
            <w:shd w:val="clear" w:color="auto" w:fill="auto"/>
            <w:noWrap/>
            <w:tcMar>
              <w:left w:w="0" w:type="dxa"/>
              <w:right w:w="173" w:type="dxa"/>
            </w:tcMar>
          </w:tcPr>
          <w:p w14:paraId="5E0ECDB1"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0.23</w:t>
            </w:r>
          </w:p>
        </w:tc>
        <w:tc>
          <w:tcPr>
            <w:tcW w:w="582" w:type="pct"/>
            <w:tcMar>
              <w:left w:w="0" w:type="dxa"/>
              <w:right w:w="173" w:type="dxa"/>
            </w:tcMar>
          </w:tcPr>
          <w:p w14:paraId="78F5E6EC"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0.20</w:t>
            </w:r>
          </w:p>
        </w:tc>
        <w:tc>
          <w:tcPr>
            <w:tcW w:w="582" w:type="pct"/>
            <w:tcMar>
              <w:left w:w="0" w:type="dxa"/>
              <w:right w:w="173" w:type="dxa"/>
            </w:tcMar>
            <w:vAlign w:val="center"/>
          </w:tcPr>
          <w:p w14:paraId="0CA8F3F5"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0.08</w:t>
            </w:r>
          </w:p>
        </w:tc>
        <w:tc>
          <w:tcPr>
            <w:tcW w:w="582" w:type="pct"/>
          </w:tcPr>
          <w:p w14:paraId="48A3BA2C"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0.08</w:t>
            </w:r>
          </w:p>
        </w:tc>
        <w:tc>
          <w:tcPr>
            <w:tcW w:w="579" w:type="pct"/>
            <w:shd w:val="clear" w:color="auto" w:fill="auto"/>
            <w:noWrap/>
            <w:tcMar>
              <w:left w:w="0" w:type="dxa"/>
              <w:right w:w="173" w:type="dxa"/>
            </w:tcMar>
            <w:vAlign w:val="center"/>
          </w:tcPr>
          <w:p w14:paraId="4C29FE5A"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2.00</w:t>
            </w:r>
            <w:r w:rsidRPr="00AD335F">
              <w:rPr>
                <w:sz w:val="19"/>
                <w:szCs w:val="19"/>
                <w:vertAlign w:val="superscript"/>
                <w:lang w:val="en-CA"/>
              </w:rPr>
              <w:t>c</w:t>
            </w:r>
          </w:p>
        </w:tc>
      </w:tr>
      <w:tr w:rsidR="00226D17" w:rsidRPr="00AD335F" w14:paraId="6D2D6846" w14:textId="77777777" w:rsidTr="00F63AF8">
        <w:tc>
          <w:tcPr>
            <w:tcW w:w="1510" w:type="pct"/>
            <w:shd w:val="clear" w:color="auto" w:fill="auto"/>
            <w:noWrap/>
            <w:tcMar>
              <w:left w:w="43" w:type="dxa"/>
              <w:right w:w="43" w:type="dxa"/>
            </w:tcMar>
          </w:tcPr>
          <w:p w14:paraId="2EFD2286" w14:textId="77777777" w:rsidR="00226D17" w:rsidRPr="00AD335F" w:rsidRDefault="00226D17" w:rsidP="00F63AF8">
            <w:pPr>
              <w:keepNext/>
              <w:keepLines/>
              <w:jc w:val="left"/>
              <w:rPr>
                <w:sz w:val="20"/>
                <w:szCs w:val="20"/>
                <w:lang w:val="en-CA"/>
              </w:rPr>
            </w:pPr>
            <w:r w:rsidRPr="00AD335F">
              <w:rPr>
                <w:sz w:val="20"/>
                <w:szCs w:val="20"/>
                <w:lang w:val="en-CA"/>
              </w:rPr>
              <w:t>Tonga</w:t>
            </w:r>
          </w:p>
        </w:tc>
        <w:tc>
          <w:tcPr>
            <w:tcW w:w="582" w:type="pct"/>
            <w:shd w:val="clear" w:color="auto" w:fill="auto"/>
            <w:noWrap/>
            <w:tcMar>
              <w:left w:w="0" w:type="dxa"/>
              <w:right w:w="173" w:type="dxa"/>
            </w:tcMar>
          </w:tcPr>
          <w:p w14:paraId="402247EC"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7E2E0006"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2" w:type="pct"/>
            <w:tcMar>
              <w:left w:w="0" w:type="dxa"/>
              <w:right w:w="173" w:type="dxa"/>
            </w:tcMar>
          </w:tcPr>
          <w:p w14:paraId="45C3D779"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052E0903"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0.00</w:t>
            </w:r>
          </w:p>
        </w:tc>
        <w:tc>
          <w:tcPr>
            <w:tcW w:w="582" w:type="pct"/>
          </w:tcPr>
          <w:p w14:paraId="521C7994"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2970F32A"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0.10</w:t>
            </w:r>
            <w:r w:rsidRPr="00AD335F">
              <w:rPr>
                <w:sz w:val="19"/>
                <w:szCs w:val="19"/>
                <w:vertAlign w:val="superscript"/>
                <w:lang w:val="en-CA"/>
              </w:rPr>
              <w:t>c</w:t>
            </w:r>
          </w:p>
        </w:tc>
      </w:tr>
      <w:tr w:rsidR="00226D17" w:rsidRPr="00AD335F" w14:paraId="19F716E5" w14:textId="77777777" w:rsidTr="00F63AF8">
        <w:tc>
          <w:tcPr>
            <w:tcW w:w="1510" w:type="pct"/>
            <w:shd w:val="clear" w:color="auto" w:fill="auto"/>
            <w:noWrap/>
            <w:tcMar>
              <w:left w:w="43" w:type="dxa"/>
              <w:right w:w="43" w:type="dxa"/>
            </w:tcMar>
          </w:tcPr>
          <w:p w14:paraId="0206335B" w14:textId="77777777" w:rsidR="00226D17" w:rsidRPr="00AD335F" w:rsidRDefault="00226D17" w:rsidP="00F63AF8">
            <w:pPr>
              <w:keepNext/>
              <w:keepLines/>
              <w:jc w:val="left"/>
              <w:rPr>
                <w:color w:val="000000"/>
                <w:sz w:val="20"/>
                <w:szCs w:val="20"/>
                <w:lang w:val="en-CA"/>
              </w:rPr>
            </w:pPr>
            <w:r w:rsidRPr="00AD335F">
              <w:rPr>
                <w:color w:val="000000"/>
                <w:sz w:val="20"/>
                <w:szCs w:val="20"/>
                <w:lang w:val="en-CA"/>
              </w:rPr>
              <w:t>Tuvalu</w:t>
            </w:r>
          </w:p>
        </w:tc>
        <w:tc>
          <w:tcPr>
            <w:tcW w:w="582" w:type="pct"/>
            <w:shd w:val="clear" w:color="auto" w:fill="auto"/>
            <w:noWrap/>
            <w:tcMar>
              <w:left w:w="0" w:type="dxa"/>
              <w:right w:w="173" w:type="dxa"/>
            </w:tcMar>
          </w:tcPr>
          <w:p w14:paraId="42ECC92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3" w:type="pct"/>
            <w:shd w:val="clear" w:color="auto" w:fill="auto"/>
            <w:noWrap/>
            <w:tcMar>
              <w:left w:w="0" w:type="dxa"/>
              <w:right w:w="173" w:type="dxa"/>
            </w:tcMar>
          </w:tcPr>
          <w:p w14:paraId="10EDC5A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2" w:type="pct"/>
            <w:tcMar>
              <w:left w:w="0" w:type="dxa"/>
              <w:right w:w="173" w:type="dxa"/>
            </w:tcMar>
          </w:tcPr>
          <w:p w14:paraId="0CC33730"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2" w:type="pct"/>
            <w:tcMar>
              <w:left w:w="0" w:type="dxa"/>
              <w:right w:w="173" w:type="dxa"/>
            </w:tcMar>
            <w:vAlign w:val="center"/>
          </w:tcPr>
          <w:p w14:paraId="3828D86C"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0.00</w:t>
            </w:r>
          </w:p>
        </w:tc>
        <w:tc>
          <w:tcPr>
            <w:tcW w:w="582" w:type="pct"/>
          </w:tcPr>
          <w:p w14:paraId="1203729E"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2950C089"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0.10</w:t>
            </w:r>
          </w:p>
        </w:tc>
      </w:tr>
      <w:tr w:rsidR="00226D17" w:rsidRPr="00AD335F" w14:paraId="3E2A2A72" w14:textId="77777777" w:rsidTr="00F63AF8">
        <w:tc>
          <w:tcPr>
            <w:tcW w:w="1510" w:type="pct"/>
            <w:shd w:val="clear" w:color="auto" w:fill="auto"/>
            <w:noWrap/>
            <w:tcMar>
              <w:left w:w="43" w:type="dxa"/>
              <w:right w:w="43" w:type="dxa"/>
            </w:tcMar>
          </w:tcPr>
          <w:p w14:paraId="373621D7" w14:textId="77777777" w:rsidR="00226D17" w:rsidRPr="00AD335F" w:rsidRDefault="00226D17" w:rsidP="00F63AF8">
            <w:pPr>
              <w:keepNext/>
              <w:keepLines/>
              <w:rPr>
                <w:sz w:val="19"/>
                <w:szCs w:val="19"/>
                <w:vertAlign w:val="superscript"/>
                <w:lang w:val="en-CA"/>
              </w:rPr>
            </w:pPr>
            <w:r w:rsidRPr="00AD335F">
              <w:rPr>
                <w:color w:val="000000"/>
                <w:sz w:val="20"/>
                <w:szCs w:val="20"/>
                <w:lang w:val="en-CA"/>
              </w:rPr>
              <w:t>Vanuatu</w:t>
            </w:r>
          </w:p>
        </w:tc>
        <w:tc>
          <w:tcPr>
            <w:tcW w:w="582" w:type="pct"/>
            <w:shd w:val="clear" w:color="auto" w:fill="auto"/>
            <w:noWrap/>
            <w:tcMar>
              <w:left w:w="0" w:type="dxa"/>
              <w:right w:w="173" w:type="dxa"/>
            </w:tcMar>
          </w:tcPr>
          <w:p w14:paraId="32BCF5FF"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83" w:type="pct"/>
            <w:shd w:val="clear" w:color="auto" w:fill="auto"/>
            <w:noWrap/>
            <w:tcMar>
              <w:left w:w="0" w:type="dxa"/>
              <w:right w:w="173" w:type="dxa"/>
            </w:tcMar>
          </w:tcPr>
          <w:p w14:paraId="1635F6A7"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0.01</w:t>
            </w:r>
          </w:p>
        </w:tc>
        <w:tc>
          <w:tcPr>
            <w:tcW w:w="582" w:type="pct"/>
            <w:tcMar>
              <w:left w:w="0" w:type="dxa"/>
              <w:right w:w="173" w:type="dxa"/>
            </w:tcMar>
          </w:tcPr>
          <w:p w14:paraId="2F44354B"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0.02</w:t>
            </w:r>
          </w:p>
        </w:tc>
        <w:tc>
          <w:tcPr>
            <w:tcW w:w="582" w:type="pct"/>
            <w:tcMar>
              <w:left w:w="0" w:type="dxa"/>
              <w:right w:w="173" w:type="dxa"/>
            </w:tcMar>
            <w:vAlign w:val="center"/>
          </w:tcPr>
          <w:p w14:paraId="66BD42CE" w14:textId="77777777" w:rsidR="00226D17" w:rsidRPr="00795224" w:rsidRDefault="00226D17" w:rsidP="00F63AF8">
            <w:pPr>
              <w:keepNext/>
              <w:keepLines/>
              <w:spacing w:line="240" w:lineRule="atLeast"/>
              <w:jc w:val="right"/>
              <w:rPr>
                <w:sz w:val="20"/>
                <w:szCs w:val="20"/>
                <w:lang w:val="en-CA"/>
              </w:rPr>
            </w:pPr>
            <w:r w:rsidRPr="00795224">
              <w:rPr>
                <w:color w:val="000000"/>
                <w:sz w:val="20"/>
                <w:szCs w:val="20"/>
                <w:lang w:val="en-CA"/>
              </w:rPr>
              <w:t>0.01</w:t>
            </w:r>
            <w:r w:rsidRPr="00795224">
              <w:rPr>
                <w:color w:val="000000"/>
                <w:sz w:val="20"/>
                <w:szCs w:val="20"/>
                <w:vertAlign w:val="superscript"/>
                <w:lang w:val="en-CA"/>
              </w:rPr>
              <w:t>b</w:t>
            </w:r>
          </w:p>
        </w:tc>
        <w:tc>
          <w:tcPr>
            <w:tcW w:w="582" w:type="pct"/>
          </w:tcPr>
          <w:p w14:paraId="05B8BA65" w14:textId="77777777" w:rsidR="00226D17" w:rsidRPr="00795224" w:rsidRDefault="00226D17" w:rsidP="00F63AF8">
            <w:pPr>
              <w:keepNext/>
              <w:keepLines/>
              <w:spacing w:line="240" w:lineRule="atLeast"/>
              <w:jc w:val="right"/>
              <w:rPr>
                <w:sz w:val="20"/>
                <w:szCs w:val="20"/>
                <w:lang w:val="en-CA"/>
              </w:rPr>
            </w:pPr>
            <w:r w:rsidRPr="00795224">
              <w:rPr>
                <w:sz w:val="20"/>
                <w:szCs w:val="20"/>
                <w:lang w:val="en-CA"/>
              </w:rPr>
              <w:t>0.00</w:t>
            </w:r>
          </w:p>
        </w:tc>
        <w:tc>
          <w:tcPr>
            <w:tcW w:w="579" w:type="pct"/>
            <w:shd w:val="clear" w:color="auto" w:fill="auto"/>
            <w:noWrap/>
            <w:tcMar>
              <w:left w:w="0" w:type="dxa"/>
              <w:right w:w="173" w:type="dxa"/>
            </w:tcMar>
            <w:vAlign w:val="center"/>
          </w:tcPr>
          <w:p w14:paraId="1AD37B34" w14:textId="77777777" w:rsidR="00226D17" w:rsidRPr="00AD335F" w:rsidRDefault="00226D17" w:rsidP="00F63AF8">
            <w:pPr>
              <w:keepNext/>
              <w:keepLines/>
              <w:spacing w:line="240" w:lineRule="atLeast"/>
              <w:jc w:val="right"/>
              <w:rPr>
                <w:sz w:val="20"/>
                <w:szCs w:val="20"/>
                <w:lang w:val="en-CA"/>
              </w:rPr>
            </w:pPr>
            <w:r w:rsidRPr="00AD335F">
              <w:rPr>
                <w:sz w:val="20"/>
                <w:szCs w:val="20"/>
                <w:lang w:val="en-CA"/>
              </w:rPr>
              <w:t>0.30</w:t>
            </w:r>
            <w:r w:rsidRPr="00AD335F">
              <w:rPr>
                <w:sz w:val="19"/>
                <w:szCs w:val="19"/>
                <w:vertAlign w:val="superscript"/>
                <w:lang w:val="en-CA"/>
              </w:rPr>
              <w:t>c</w:t>
            </w:r>
          </w:p>
        </w:tc>
      </w:tr>
      <w:tr w:rsidR="00226D17" w:rsidRPr="00AD335F" w14:paraId="20E6CC53" w14:textId="77777777" w:rsidTr="00F63AF8">
        <w:trPr>
          <w:trHeight w:val="283"/>
        </w:trPr>
        <w:tc>
          <w:tcPr>
            <w:tcW w:w="1510" w:type="pct"/>
            <w:shd w:val="clear" w:color="auto" w:fill="auto"/>
            <w:noWrap/>
            <w:tcMar>
              <w:left w:w="43" w:type="dxa"/>
              <w:right w:w="43" w:type="dxa"/>
            </w:tcMar>
            <w:vAlign w:val="center"/>
            <w:hideMark/>
          </w:tcPr>
          <w:p w14:paraId="72AB25DC" w14:textId="77777777" w:rsidR="00226D17" w:rsidRPr="00AD335F" w:rsidRDefault="00226D17" w:rsidP="00F63AF8">
            <w:pPr>
              <w:keepNext/>
              <w:keepLines/>
              <w:jc w:val="left"/>
              <w:rPr>
                <w:b/>
                <w:color w:val="000000"/>
                <w:sz w:val="20"/>
                <w:szCs w:val="20"/>
                <w:lang w:val="en-CA"/>
              </w:rPr>
            </w:pPr>
            <w:r w:rsidRPr="00AD335F">
              <w:rPr>
                <w:b/>
                <w:color w:val="000000"/>
                <w:sz w:val="20"/>
                <w:szCs w:val="20"/>
                <w:lang w:val="en-CA"/>
              </w:rPr>
              <w:t>Total (ODP tonnes)</w:t>
            </w:r>
          </w:p>
        </w:tc>
        <w:tc>
          <w:tcPr>
            <w:tcW w:w="582" w:type="pct"/>
            <w:shd w:val="clear" w:color="auto" w:fill="auto"/>
            <w:noWrap/>
            <w:tcMar>
              <w:left w:w="0" w:type="dxa"/>
              <w:right w:w="173" w:type="dxa"/>
            </w:tcMar>
          </w:tcPr>
          <w:p w14:paraId="2AD86FF2" w14:textId="77777777" w:rsidR="00226D17" w:rsidRPr="00AD335F" w:rsidRDefault="00226D17" w:rsidP="00F63AF8">
            <w:pPr>
              <w:keepNext/>
              <w:keepLines/>
              <w:spacing w:line="240" w:lineRule="atLeast"/>
              <w:jc w:val="right"/>
              <w:rPr>
                <w:b/>
                <w:sz w:val="20"/>
                <w:szCs w:val="20"/>
                <w:lang w:val="en-CA"/>
              </w:rPr>
            </w:pPr>
            <w:r w:rsidRPr="00AD335F">
              <w:rPr>
                <w:b/>
                <w:sz w:val="20"/>
                <w:szCs w:val="20"/>
                <w:lang w:val="en-CA"/>
              </w:rPr>
              <w:t>0.38</w:t>
            </w:r>
          </w:p>
        </w:tc>
        <w:tc>
          <w:tcPr>
            <w:tcW w:w="583" w:type="pct"/>
            <w:shd w:val="clear" w:color="auto" w:fill="auto"/>
            <w:noWrap/>
            <w:tcMar>
              <w:left w:w="0" w:type="dxa"/>
              <w:right w:w="173" w:type="dxa"/>
            </w:tcMar>
          </w:tcPr>
          <w:p w14:paraId="4C4B56AD" w14:textId="77777777" w:rsidR="00226D17" w:rsidRPr="00AD335F" w:rsidRDefault="00226D17" w:rsidP="00F63AF8">
            <w:pPr>
              <w:keepNext/>
              <w:keepLines/>
              <w:spacing w:line="240" w:lineRule="atLeast"/>
              <w:jc w:val="right"/>
              <w:rPr>
                <w:b/>
                <w:sz w:val="20"/>
                <w:szCs w:val="20"/>
                <w:lang w:val="en-CA"/>
              </w:rPr>
            </w:pPr>
            <w:r w:rsidRPr="00AD335F">
              <w:rPr>
                <w:b/>
                <w:sz w:val="20"/>
                <w:szCs w:val="20"/>
                <w:lang w:val="en-CA"/>
              </w:rPr>
              <w:t>0.45</w:t>
            </w:r>
          </w:p>
        </w:tc>
        <w:tc>
          <w:tcPr>
            <w:tcW w:w="582" w:type="pct"/>
            <w:tcMar>
              <w:left w:w="0" w:type="dxa"/>
              <w:right w:w="173" w:type="dxa"/>
            </w:tcMar>
          </w:tcPr>
          <w:p w14:paraId="01491ACB" w14:textId="77777777" w:rsidR="00226D17" w:rsidRPr="00AD335F" w:rsidRDefault="00226D17" w:rsidP="00F63AF8">
            <w:pPr>
              <w:keepNext/>
              <w:keepLines/>
              <w:spacing w:line="240" w:lineRule="atLeast"/>
              <w:jc w:val="right"/>
              <w:rPr>
                <w:b/>
                <w:sz w:val="20"/>
                <w:szCs w:val="20"/>
                <w:lang w:val="en-CA"/>
              </w:rPr>
            </w:pPr>
            <w:r w:rsidRPr="00AD335F">
              <w:rPr>
                <w:b/>
                <w:sz w:val="20"/>
                <w:szCs w:val="20"/>
                <w:lang w:val="en-CA"/>
              </w:rPr>
              <w:t>0.31</w:t>
            </w:r>
          </w:p>
        </w:tc>
        <w:tc>
          <w:tcPr>
            <w:tcW w:w="582" w:type="pct"/>
            <w:tcMar>
              <w:left w:w="0" w:type="dxa"/>
              <w:right w:w="173" w:type="dxa"/>
            </w:tcMar>
            <w:vAlign w:val="center"/>
          </w:tcPr>
          <w:p w14:paraId="6C959F75" w14:textId="77777777" w:rsidR="00226D17" w:rsidRPr="00AD335F" w:rsidRDefault="00226D17" w:rsidP="00F63AF8">
            <w:pPr>
              <w:keepNext/>
              <w:keepLines/>
              <w:spacing w:line="240" w:lineRule="atLeast"/>
              <w:jc w:val="right"/>
              <w:rPr>
                <w:b/>
                <w:sz w:val="20"/>
                <w:szCs w:val="20"/>
                <w:lang w:val="en-CA"/>
              </w:rPr>
            </w:pPr>
            <w:r w:rsidRPr="00AD335F">
              <w:rPr>
                <w:b/>
                <w:bCs/>
                <w:color w:val="000000"/>
                <w:sz w:val="20"/>
                <w:szCs w:val="20"/>
                <w:lang w:val="en-CA"/>
              </w:rPr>
              <w:t>0.23</w:t>
            </w:r>
          </w:p>
        </w:tc>
        <w:tc>
          <w:tcPr>
            <w:tcW w:w="582" w:type="pct"/>
          </w:tcPr>
          <w:p w14:paraId="431330CF" w14:textId="77777777" w:rsidR="00226D17" w:rsidRPr="00AD335F" w:rsidRDefault="00226D17" w:rsidP="00F63AF8">
            <w:pPr>
              <w:keepNext/>
              <w:keepLines/>
              <w:spacing w:line="240" w:lineRule="atLeast"/>
              <w:jc w:val="right"/>
              <w:rPr>
                <w:b/>
                <w:sz w:val="20"/>
                <w:szCs w:val="20"/>
                <w:lang w:val="en-CA"/>
              </w:rPr>
            </w:pPr>
            <w:r>
              <w:rPr>
                <w:b/>
                <w:sz w:val="20"/>
                <w:szCs w:val="20"/>
                <w:lang w:val="en-CA"/>
              </w:rPr>
              <w:t>0.14</w:t>
            </w:r>
          </w:p>
        </w:tc>
        <w:tc>
          <w:tcPr>
            <w:tcW w:w="579" w:type="pct"/>
            <w:shd w:val="clear" w:color="auto" w:fill="auto"/>
            <w:noWrap/>
            <w:tcMar>
              <w:left w:w="0" w:type="dxa"/>
              <w:right w:w="173" w:type="dxa"/>
            </w:tcMar>
            <w:vAlign w:val="center"/>
          </w:tcPr>
          <w:p w14:paraId="52444A64" w14:textId="77777777" w:rsidR="00226D17" w:rsidRPr="00AD335F" w:rsidRDefault="00226D17" w:rsidP="00F63AF8">
            <w:pPr>
              <w:keepNext/>
              <w:keepLines/>
              <w:spacing w:line="240" w:lineRule="atLeast"/>
              <w:jc w:val="right"/>
              <w:rPr>
                <w:b/>
                <w:sz w:val="20"/>
                <w:szCs w:val="20"/>
                <w:lang w:val="en-CA"/>
              </w:rPr>
            </w:pPr>
            <w:r w:rsidRPr="00AD335F">
              <w:rPr>
                <w:b/>
                <w:sz w:val="20"/>
                <w:szCs w:val="20"/>
                <w:lang w:val="en-CA"/>
              </w:rPr>
              <w:t>3.60</w:t>
            </w:r>
          </w:p>
        </w:tc>
      </w:tr>
    </w:tbl>
    <w:p w14:paraId="51395881" w14:textId="77777777" w:rsidR="00226D17" w:rsidRPr="00AD335F" w:rsidRDefault="00226D17" w:rsidP="00226D17">
      <w:pPr>
        <w:widowControl w:val="0"/>
        <w:rPr>
          <w:sz w:val="19"/>
          <w:szCs w:val="19"/>
          <w:lang w:val="en-CA"/>
        </w:rPr>
      </w:pPr>
      <w:r w:rsidRPr="00AD335F">
        <w:rPr>
          <w:sz w:val="19"/>
          <w:szCs w:val="19"/>
          <w:vertAlign w:val="superscript"/>
          <w:lang w:val="en-CA"/>
        </w:rPr>
        <w:t xml:space="preserve">a </w:t>
      </w:r>
      <w:r w:rsidRPr="00AD335F">
        <w:rPr>
          <w:sz w:val="19"/>
          <w:szCs w:val="19"/>
          <w:lang w:val="en-CA"/>
        </w:rPr>
        <w:t>Including 0.13 mt (0.003 ODP tonnes) of HCFC-124.</w:t>
      </w:r>
    </w:p>
    <w:p w14:paraId="20052A3A" w14:textId="77777777" w:rsidR="00226D17" w:rsidRPr="00AD335F" w:rsidRDefault="00226D17" w:rsidP="00226D17">
      <w:pPr>
        <w:widowControl w:val="0"/>
        <w:rPr>
          <w:sz w:val="19"/>
          <w:szCs w:val="19"/>
          <w:lang w:val="en-CA"/>
        </w:rPr>
      </w:pPr>
      <w:r w:rsidRPr="00AD335F">
        <w:rPr>
          <w:sz w:val="19"/>
          <w:szCs w:val="19"/>
          <w:vertAlign w:val="superscript"/>
          <w:lang w:val="en-CA"/>
        </w:rPr>
        <w:t>b</w:t>
      </w:r>
      <w:r w:rsidRPr="00AD335F">
        <w:rPr>
          <w:sz w:val="19"/>
          <w:szCs w:val="19"/>
          <w:lang w:val="en-CA"/>
        </w:rPr>
        <w:t xml:space="preserve"> Including 0.002 mt (0.0001 ODP tonnes) of HCFC-142b and 0.003 mt (0.0001 ODP tonnes) of HCFC-124. </w:t>
      </w:r>
    </w:p>
    <w:p w14:paraId="0131B2FD" w14:textId="77777777" w:rsidR="00226D17" w:rsidRPr="00AD335F" w:rsidRDefault="00226D17" w:rsidP="00226D17">
      <w:pPr>
        <w:widowControl w:val="0"/>
        <w:rPr>
          <w:sz w:val="19"/>
          <w:szCs w:val="19"/>
          <w:lang w:val="en-CA"/>
        </w:rPr>
      </w:pPr>
      <w:r w:rsidRPr="00AD335F">
        <w:rPr>
          <w:sz w:val="19"/>
          <w:szCs w:val="19"/>
          <w:vertAlign w:val="superscript"/>
          <w:lang w:val="en-CA"/>
        </w:rPr>
        <w:t>c</w:t>
      </w:r>
      <w:r w:rsidRPr="00AD335F">
        <w:rPr>
          <w:sz w:val="19"/>
          <w:szCs w:val="19"/>
          <w:lang w:val="en-CA"/>
        </w:rPr>
        <w:t xml:space="preserve"> HCFC consumption for 2009 was revised as per decision XXIII/29 of the Meeting of the Parties.</w:t>
      </w:r>
    </w:p>
    <w:p w14:paraId="6AAC4510" w14:textId="77777777" w:rsidR="00226D17" w:rsidRDefault="00226D17" w:rsidP="00226D17">
      <w:pPr>
        <w:widowControl w:val="0"/>
        <w:rPr>
          <w:sz w:val="19"/>
          <w:szCs w:val="19"/>
          <w:lang w:val="en-CA"/>
        </w:rPr>
      </w:pPr>
      <w:r w:rsidRPr="00AD335F">
        <w:rPr>
          <w:sz w:val="19"/>
          <w:szCs w:val="19"/>
          <w:vertAlign w:val="superscript"/>
          <w:lang w:val="en-CA"/>
        </w:rPr>
        <w:t>d</w:t>
      </w:r>
      <w:r>
        <w:rPr>
          <w:sz w:val="19"/>
          <w:szCs w:val="19"/>
          <w:lang w:val="en-CA"/>
        </w:rPr>
        <w:t xml:space="preserve"> </w:t>
      </w:r>
      <w:r w:rsidRPr="00AD335F">
        <w:rPr>
          <w:sz w:val="19"/>
          <w:szCs w:val="19"/>
          <w:lang w:val="en-CA"/>
        </w:rPr>
        <w:t>Very low consumption; rounding of figures to two digits shows zero consumption.</w:t>
      </w:r>
      <w:r w:rsidRPr="00F96DF7">
        <w:rPr>
          <w:sz w:val="19"/>
          <w:szCs w:val="19"/>
          <w:lang w:val="en-CA"/>
        </w:rPr>
        <w:t xml:space="preserve"> </w:t>
      </w:r>
    </w:p>
    <w:p w14:paraId="6DE256A5" w14:textId="77777777" w:rsidR="00226D17" w:rsidRPr="00A57D06" w:rsidRDefault="00226D17" w:rsidP="00226D17">
      <w:pPr>
        <w:widowControl w:val="0"/>
        <w:rPr>
          <w:sz w:val="19"/>
          <w:szCs w:val="19"/>
          <w:vertAlign w:val="superscript"/>
          <w:lang w:val="en-CA"/>
        </w:rPr>
      </w:pPr>
      <w:r w:rsidRPr="00A57D06">
        <w:rPr>
          <w:sz w:val="19"/>
          <w:szCs w:val="19"/>
          <w:vertAlign w:val="superscript"/>
          <w:lang w:val="en-CA"/>
        </w:rPr>
        <w:t>e</w:t>
      </w:r>
      <w:r>
        <w:rPr>
          <w:sz w:val="19"/>
          <w:szCs w:val="19"/>
          <w:vertAlign w:val="superscript"/>
          <w:lang w:val="en-CA"/>
        </w:rPr>
        <w:t xml:space="preserve"> </w:t>
      </w:r>
      <w:r w:rsidRPr="00A57D06">
        <w:rPr>
          <w:sz w:val="19"/>
          <w:szCs w:val="19"/>
          <w:lang w:val="en-CA"/>
        </w:rPr>
        <w:t>CP data</w:t>
      </w:r>
    </w:p>
    <w:p w14:paraId="1F22E976" w14:textId="77777777" w:rsidR="00226D17" w:rsidRPr="00024D59" w:rsidRDefault="00226D17" w:rsidP="00226D17">
      <w:pPr>
        <w:rPr>
          <w:rFonts w:eastAsia="MS Mincho"/>
        </w:rPr>
      </w:pPr>
    </w:p>
    <w:p w14:paraId="19630E8A" w14:textId="77777777" w:rsidR="00226D17" w:rsidRPr="00061740" w:rsidRDefault="00226D17" w:rsidP="00226D17">
      <w:pPr>
        <w:pStyle w:val="Heading1"/>
        <w:keepNext/>
        <w:numPr>
          <w:ilvl w:val="0"/>
          <w:numId w:val="0"/>
        </w:numPr>
        <w:rPr>
          <w:b/>
          <w:bCs/>
          <w:lang w:val="en-CA"/>
        </w:rPr>
      </w:pPr>
      <w:r w:rsidRPr="00061740">
        <w:rPr>
          <w:b/>
          <w:bCs/>
          <w:lang w:val="en-CA"/>
        </w:rPr>
        <w:t xml:space="preserve">Progress </w:t>
      </w:r>
      <w:r>
        <w:rPr>
          <w:b/>
          <w:bCs/>
          <w:lang w:val="en-CA"/>
        </w:rPr>
        <w:t>r</w:t>
      </w:r>
      <w:r w:rsidRPr="00061740">
        <w:rPr>
          <w:b/>
          <w:bCs/>
          <w:lang w:val="en-CA"/>
        </w:rPr>
        <w:t>eport</w:t>
      </w:r>
    </w:p>
    <w:p w14:paraId="0831803B" w14:textId="77777777" w:rsidR="00226D17" w:rsidRPr="00333F05" w:rsidRDefault="00226D17" w:rsidP="00226D17">
      <w:pPr>
        <w:pStyle w:val="Heading1"/>
        <w:rPr>
          <w:rFonts w:eastAsia="MS Mincho"/>
          <w:lang w:val="en-US"/>
        </w:rPr>
      </w:pPr>
      <w:r>
        <w:rPr>
          <w:rFonts w:eastAsia="MS Mincho"/>
          <w:lang w:val="en-US"/>
        </w:rPr>
        <w:t xml:space="preserve">UNEP reported that </w:t>
      </w:r>
      <w:r w:rsidRPr="00333F05">
        <w:rPr>
          <w:rFonts w:eastAsia="MS Mincho"/>
          <w:lang w:val="en-US"/>
        </w:rPr>
        <w:t xml:space="preserve">travel restrictions, lock-down measures and other restrictions associated with </w:t>
      </w:r>
      <w:r>
        <w:rPr>
          <w:rFonts w:eastAsia="MS Mincho"/>
          <w:lang w:val="en-US"/>
        </w:rPr>
        <w:t xml:space="preserve">the </w:t>
      </w:r>
      <w:r w:rsidRPr="00333F05">
        <w:rPr>
          <w:rFonts w:eastAsia="MS Mincho"/>
          <w:lang w:val="en-US"/>
        </w:rPr>
        <w:t>COVID-19 pandemic have</w:t>
      </w:r>
      <w:r>
        <w:rPr>
          <w:rFonts w:eastAsia="MS Mincho"/>
          <w:lang w:val="en-US"/>
        </w:rPr>
        <w:t xml:space="preserve"> continued to delay</w:t>
      </w:r>
      <w:r w:rsidRPr="00333F05">
        <w:rPr>
          <w:rFonts w:eastAsia="MS Mincho"/>
          <w:lang w:val="en-US"/>
        </w:rPr>
        <w:t xml:space="preserve"> </w:t>
      </w:r>
      <w:r>
        <w:rPr>
          <w:rFonts w:eastAsia="MS Mincho"/>
          <w:lang w:val="en-US"/>
        </w:rPr>
        <w:t xml:space="preserve">the implementation of proposed </w:t>
      </w:r>
      <w:r w:rsidRPr="00333F05">
        <w:rPr>
          <w:rFonts w:eastAsia="MS Mincho"/>
          <w:lang w:val="en-US"/>
        </w:rPr>
        <w:t>activities</w:t>
      </w:r>
      <w:r>
        <w:rPr>
          <w:rFonts w:eastAsia="MS Mincho"/>
          <w:lang w:val="en-US"/>
        </w:rPr>
        <w:t>;</w:t>
      </w:r>
      <w:r w:rsidRPr="00333F05">
        <w:rPr>
          <w:rFonts w:eastAsia="MS Mincho"/>
          <w:lang w:val="en-US"/>
        </w:rPr>
        <w:t xml:space="preserve"> additionally, due to the limited number of </w:t>
      </w:r>
      <w:r>
        <w:rPr>
          <w:rFonts w:eastAsia="MS Mincho"/>
          <w:lang w:val="en-US"/>
        </w:rPr>
        <w:t>G</w:t>
      </w:r>
      <w:r w:rsidRPr="00333F05">
        <w:rPr>
          <w:rFonts w:eastAsia="MS Mincho"/>
          <w:lang w:val="en-US"/>
        </w:rPr>
        <w:t xml:space="preserve">overnment officers in some of the PICs, </w:t>
      </w:r>
      <w:r>
        <w:rPr>
          <w:rFonts w:eastAsia="MS Mincho"/>
          <w:lang w:val="en-US"/>
        </w:rPr>
        <w:t>staff from some of the</w:t>
      </w:r>
      <w:r w:rsidRPr="00333F05">
        <w:rPr>
          <w:rFonts w:eastAsia="MS Mincho"/>
          <w:lang w:val="en-US"/>
        </w:rPr>
        <w:t xml:space="preserve"> NOU</w:t>
      </w:r>
      <w:r>
        <w:rPr>
          <w:rFonts w:eastAsia="MS Mincho"/>
          <w:lang w:val="en-US"/>
        </w:rPr>
        <w:t>s</w:t>
      </w:r>
      <w:r w:rsidRPr="00333F05">
        <w:rPr>
          <w:rFonts w:eastAsia="MS Mincho"/>
          <w:lang w:val="en-US"/>
        </w:rPr>
        <w:t xml:space="preserve"> </w:t>
      </w:r>
      <w:r>
        <w:rPr>
          <w:rFonts w:eastAsia="MS Mincho"/>
          <w:lang w:val="en-US"/>
        </w:rPr>
        <w:t>had</w:t>
      </w:r>
      <w:r w:rsidRPr="00333F05">
        <w:rPr>
          <w:rFonts w:eastAsia="MS Mincho"/>
          <w:lang w:val="en-US"/>
        </w:rPr>
        <w:t xml:space="preserve"> been </w:t>
      </w:r>
      <w:r>
        <w:rPr>
          <w:rFonts w:eastAsia="MS Mincho"/>
          <w:lang w:val="en-US"/>
        </w:rPr>
        <w:t>assigned</w:t>
      </w:r>
      <w:r w:rsidRPr="00333F05">
        <w:rPr>
          <w:rFonts w:eastAsia="MS Mincho"/>
          <w:lang w:val="en-US"/>
        </w:rPr>
        <w:t xml:space="preserve"> </w:t>
      </w:r>
      <w:r>
        <w:rPr>
          <w:rFonts w:eastAsia="MS Mincho"/>
          <w:lang w:val="en-US"/>
        </w:rPr>
        <w:t xml:space="preserve">to undertake </w:t>
      </w:r>
      <w:r w:rsidRPr="00333F05">
        <w:rPr>
          <w:rFonts w:eastAsia="MS Mincho"/>
          <w:lang w:val="en-US"/>
        </w:rPr>
        <w:t>COVID-19 related tasks</w:t>
      </w:r>
      <w:r>
        <w:rPr>
          <w:rFonts w:eastAsia="MS Mincho"/>
          <w:lang w:val="en-US"/>
        </w:rPr>
        <w:t xml:space="preserve"> as an emergency measure, which further delayed implementation</w:t>
      </w:r>
      <w:r w:rsidRPr="00333F05">
        <w:rPr>
          <w:rFonts w:eastAsia="MS Mincho"/>
          <w:lang w:val="en-US"/>
        </w:rPr>
        <w:t xml:space="preserve">. Activities have been impacted as follows: </w:t>
      </w:r>
    </w:p>
    <w:p w14:paraId="6E10FE78" w14:textId="77777777" w:rsidR="00226D17" w:rsidRPr="00282A02" w:rsidRDefault="00226D17" w:rsidP="00226D17">
      <w:pPr>
        <w:pStyle w:val="Heading2"/>
        <w:rPr>
          <w:iCs/>
        </w:rPr>
      </w:pPr>
      <w:r w:rsidRPr="005F138E">
        <w:rPr>
          <w:rFonts w:eastAsiaTheme="minorEastAsia"/>
          <w:i/>
          <w:lang w:val="en-CA" w:eastAsia="en-GB"/>
        </w:rPr>
        <w:t>Regional component</w:t>
      </w:r>
      <w:r w:rsidRPr="00282A02">
        <w:rPr>
          <w:rFonts w:eastAsiaTheme="minorEastAsia"/>
          <w:lang w:val="en-CA" w:eastAsia="en-GB"/>
        </w:rPr>
        <w:t xml:space="preserve">: </w:t>
      </w:r>
      <w:r>
        <w:rPr>
          <w:rFonts w:eastAsiaTheme="minorEastAsia"/>
          <w:lang w:val="en-CA" w:eastAsia="en-GB"/>
        </w:rPr>
        <w:t>T</w:t>
      </w:r>
      <w:r w:rsidRPr="008F7F63">
        <w:rPr>
          <w:rFonts w:eastAsiaTheme="minorEastAsia"/>
          <w:lang w:val="en-CA" w:eastAsia="en-GB"/>
        </w:rPr>
        <w:t xml:space="preserve">he </w:t>
      </w:r>
      <w:r w:rsidRPr="008F7F63">
        <w:rPr>
          <w:lang w:val="en-CA"/>
        </w:rPr>
        <w:t xml:space="preserve">regional training workshop for customs authorities on development of the ODS risk profiling system and development of standard operating procedures </w:t>
      </w:r>
      <w:r w:rsidRPr="008F7F63">
        <w:rPr>
          <w:rFonts w:eastAsiaTheme="minorEastAsia"/>
          <w:lang w:val="en-CA" w:eastAsia="en-GB"/>
        </w:rPr>
        <w:t>could</w:t>
      </w:r>
      <w:r w:rsidRPr="00282A02">
        <w:rPr>
          <w:rFonts w:eastAsiaTheme="minorEastAsia"/>
          <w:lang w:val="en-CA" w:eastAsia="en-GB"/>
        </w:rPr>
        <w:t xml:space="preserve"> not be organized</w:t>
      </w:r>
      <w:r>
        <w:rPr>
          <w:rFonts w:eastAsiaTheme="minorEastAsia"/>
          <w:lang w:val="en-CA" w:eastAsia="en-GB"/>
        </w:rPr>
        <w:t xml:space="preserve">. A virtual workshop was not a viable option because of the </w:t>
      </w:r>
      <w:r w:rsidRPr="00282A02">
        <w:rPr>
          <w:rFonts w:eastAsiaTheme="minorEastAsia"/>
          <w:lang w:val="en-CA" w:eastAsia="en-GB"/>
        </w:rPr>
        <w:t>time difference among</w:t>
      </w:r>
      <w:r>
        <w:rPr>
          <w:rFonts w:eastAsiaTheme="minorEastAsia"/>
          <w:lang w:val="en-CA" w:eastAsia="en-GB"/>
        </w:rPr>
        <w:t xml:space="preserve"> the </w:t>
      </w:r>
      <w:r w:rsidRPr="00282A02">
        <w:rPr>
          <w:rFonts w:eastAsiaTheme="minorEastAsia"/>
          <w:lang w:val="en-CA" w:eastAsia="en-GB"/>
        </w:rPr>
        <w:t xml:space="preserve">12 PICs </w:t>
      </w:r>
      <w:r>
        <w:rPr>
          <w:rFonts w:eastAsiaTheme="minorEastAsia"/>
          <w:lang w:val="en-CA" w:eastAsia="en-GB"/>
        </w:rPr>
        <w:t xml:space="preserve">which </w:t>
      </w:r>
      <w:r w:rsidRPr="00282A02">
        <w:rPr>
          <w:rFonts w:eastAsiaTheme="minorEastAsia"/>
          <w:lang w:val="en-CA" w:eastAsia="en-GB"/>
        </w:rPr>
        <w:t xml:space="preserve">would limit </w:t>
      </w:r>
      <w:r>
        <w:rPr>
          <w:rFonts w:eastAsiaTheme="minorEastAsia"/>
          <w:lang w:val="en-CA" w:eastAsia="en-GB"/>
        </w:rPr>
        <w:t>attendance; countries also preferred a physical workshop to ensure substantive engagement of the NOUs</w:t>
      </w:r>
      <w:r w:rsidRPr="00282A02">
        <w:rPr>
          <w:rFonts w:eastAsiaTheme="minorEastAsia"/>
          <w:lang w:val="en-CA" w:eastAsia="en-GB"/>
        </w:rPr>
        <w:t xml:space="preserve">. </w:t>
      </w:r>
    </w:p>
    <w:p w14:paraId="1CFF33C9" w14:textId="77777777" w:rsidR="00226D17" w:rsidRDefault="00226D17" w:rsidP="003B5FC0">
      <w:pPr>
        <w:pStyle w:val="Heading2"/>
        <w:widowControl/>
      </w:pPr>
      <w:r>
        <w:rPr>
          <w:i/>
        </w:rPr>
        <w:t>National c</w:t>
      </w:r>
      <w:r w:rsidRPr="006576C0">
        <w:rPr>
          <w:i/>
        </w:rPr>
        <w:t>omponent:</w:t>
      </w:r>
      <w:r w:rsidRPr="006576C0">
        <w:t xml:space="preserve"> </w:t>
      </w:r>
      <w:r>
        <w:t>Activities have been slow to start, with most customs and RAC technician training workshops, stakeholder meetings, and awareness activities still in the planning stages. In the Federated States of Micronesia,</w:t>
      </w:r>
      <w:r w:rsidRPr="008F7F63">
        <w:t xml:space="preserve"> </w:t>
      </w:r>
      <w:r>
        <w:t xml:space="preserve">one workshop for 15 customs </w:t>
      </w:r>
      <w:r>
        <w:lastRenderedPageBreak/>
        <w:t xml:space="preserve">officers was held, and in Samoa one workshop for 24 customs officers and one for 20 customs brokers were completed. </w:t>
      </w:r>
    </w:p>
    <w:p w14:paraId="057278F8" w14:textId="77777777" w:rsidR="00226D17" w:rsidRPr="005B2F33" w:rsidRDefault="00226D17" w:rsidP="00226D17">
      <w:pPr>
        <w:pStyle w:val="Heading1"/>
        <w:rPr>
          <w:rFonts w:eastAsia="MS Mincho"/>
          <w:lang w:val="en-US"/>
        </w:rPr>
      </w:pPr>
      <w:r w:rsidRPr="005B2F33">
        <w:rPr>
          <w:rFonts w:eastAsia="MS Mincho"/>
          <w:lang w:val="en-US"/>
        </w:rPr>
        <w:t xml:space="preserve">Due to these delays, the PICs through UNEP are requesting for an extension of the implementation period of stage I of the HPMP </w:t>
      </w:r>
      <w:r>
        <w:rPr>
          <w:rFonts w:eastAsia="MS Mincho"/>
          <w:lang w:val="en-US"/>
        </w:rPr>
        <w:t>until</w:t>
      </w:r>
      <w:r w:rsidRPr="005B2F33">
        <w:rPr>
          <w:rFonts w:eastAsia="MS Mincho"/>
          <w:lang w:val="en-US"/>
        </w:rPr>
        <w:t xml:space="preserve"> </w:t>
      </w:r>
      <w:r>
        <w:rPr>
          <w:rFonts w:eastAsia="MS Mincho"/>
          <w:lang w:val="en-US"/>
        </w:rPr>
        <w:t xml:space="preserve">31 </w:t>
      </w:r>
      <w:r w:rsidRPr="005B2F33">
        <w:rPr>
          <w:rFonts w:eastAsia="MS Mincho"/>
          <w:lang w:val="en-US"/>
        </w:rPr>
        <w:t>December 2022.</w:t>
      </w:r>
      <w:r>
        <w:rPr>
          <w:rFonts w:eastAsia="MS Mincho"/>
          <w:lang w:val="en-US"/>
        </w:rPr>
        <w:t xml:space="preserve"> </w:t>
      </w:r>
      <w:r w:rsidRPr="005B2F33">
        <w:rPr>
          <w:rFonts w:eastAsia="MS Mincho"/>
          <w:lang w:val="en-US"/>
        </w:rPr>
        <w:t xml:space="preserve">To support this request, UNEP provided a detailed work plan for the remaining activities for each country, with the view to ensure that the remaining activities </w:t>
      </w:r>
      <w:r>
        <w:rPr>
          <w:rFonts w:eastAsia="MS Mincho"/>
          <w:lang w:val="en-US"/>
        </w:rPr>
        <w:t xml:space="preserve">will be </w:t>
      </w:r>
      <w:r w:rsidRPr="005B2F33">
        <w:rPr>
          <w:rFonts w:eastAsia="MS Mincho"/>
          <w:lang w:val="en-US"/>
        </w:rPr>
        <w:t xml:space="preserve">completed by </w:t>
      </w:r>
      <w:r>
        <w:rPr>
          <w:rFonts w:eastAsia="MS Mincho"/>
          <w:lang w:val="en-US"/>
        </w:rPr>
        <w:t>that time</w:t>
      </w:r>
      <w:r w:rsidRPr="005B2F33">
        <w:rPr>
          <w:rFonts w:eastAsia="MS Mincho"/>
          <w:lang w:val="en-US"/>
        </w:rPr>
        <w:t>.</w:t>
      </w:r>
    </w:p>
    <w:p w14:paraId="1397787F" w14:textId="77777777" w:rsidR="00226D17" w:rsidRPr="008D66C6" w:rsidRDefault="00226D17" w:rsidP="00226D17">
      <w:pPr>
        <w:spacing w:after="160"/>
        <w:rPr>
          <w:iCs/>
          <w:u w:val="single"/>
        </w:rPr>
      </w:pPr>
      <w:r w:rsidRPr="008D66C6">
        <w:rPr>
          <w:iCs/>
          <w:u w:val="single"/>
        </w:rPr>
        <w:t>Level of fund disbursement</w:t>
      </w:r>
    </w:p>
    <w:p w14:paraId="34F64EAB" w14:textId="77777777" w:rsidR="00226D17" w:rsidRDefault="00226D17" w:rsidP="00226D17">
      <w:pPr>
        <w:numPr>
          <w:ilvl w:val="0"/>
          <w:numId w:val="1"/>
        </w:numPr>
        <w:tabs>
          <w:tab w:val="clear" w:pos="0"/>
          <w:tab w:val="num" w:pos="710"/>
        </w:tabs>
        <w:spacing w:after="240"/>
        <w:outlineLvl w:val="0"/>
        <w:rPr>
          <w:rFonts w:eastAsia="MS Mincho"/>
          <w:lang w:val="en-US"/>
        </w:rPr>
      </w:pPr>
      <w:r w:rsidRPr="00333F05">
        <w:rPr>
          <w:rFonts w:eastAsia="MS Mincho"/>
          <w:lang w:val="en-US"/>
        </w:rPr>
        <w:t xml:space="preserve">As of April 2021, of the </w:t>
      </w:r>
      <w:r>
        <w:rPr>
          <w:rFonts w:eastAsia="MS Mincho"/>
          <w:lang w:val="en-US"/>
        </w:rPr>
        <w:t>US $</w:t>
      </w:r>
      <w:r w:rsidRPr="00333F05">
        <w:rPr>
          <w:rFonts w:eastAsia="MS Mincho"/>
          <w:lang w:val="en-US"/>
        </w:rPr>
        <w:t>1</w:t>
      </w:r>
      <w:r>
        <w:rPr>
          <w:rFonts w:eastAsia="MS Mincho"/>
          <w:lang w:val="en-US"/>
        </w:rPr>
        <w:t>,696,000</w:t>
      </w:r>
      <w:r w:rsidRPr="00333F05">
        <w:rPr>
          <w:rFonts w:eastAsia="MS Mincho"/>
          <w:lang w:val="en-US"/>
        </w:rPr>
        <w:t xml:space="preserve"> approved</w:t>
      </w:r>
      <w:r>
        <w:rPr>
          <w:rFonts w:eastAsia="MS Mincho"/>
          <w:lang w:val="en-US"/>
        </w:rPr>
        <w:t xml:space="preserve">, US $1,363,931 had been disbursed as shown in Table </w:t>
      </w:r>
      <w:r w:rsidR="00AD7294">
        <w:rPr>
          <w:rFonts w:eastAsia="MS Mincho"/>
          <w:lang w:val="en-US"/>
        </w:rPr>
        <w:t>8</w:t>
      </w:r>
      <w:r>
        <w:rPr>
          <w:rFonts w:eastAsia="MS Mincho"/>
          <w:lang w:val="en-US"/>
        </w:rPr>
        <w:t>.</w:t>
      </w:r>
      <w:r w:rsidRPr="00333F05">
        <w:rPr>
          <w:rFonts w:eastAsia="MS Mincho"/>
          <w:lang w:val="en-US"/>
        </w:rPr>
        <w:t xml:space="preserve"> The first payments for the third and final tranche </w:t>
      </w:r>
      <w:r>
        <w:rPr>
          <w:rFonts w:eastAsia="MS Mincho"/>
          <w:lang w:val="en-US"/>
        </w:rPr>
        <w:t xml:space="preserve">(US $7,660) </w:t>
      </w:r>
      <w:r w:rsidRPr="00333F05">
        <w:rPr>
          <w:rFonts w:eastAsia="MS Mincho"/>
          <w:lang w:val="en-US"/>
        </w:rPr>
        <w:t>were released to all 12 PICs by mid</w:t>
      </w:r>
      <w:r w:rsidRPr="00333F05">
        <w:rPr>
          <w:rFonts w:eastAsia="MS Mincho"/>
          <w:lang w:val="en-US"/>
        </w:rPr>
        <w:noBreakHyphen/>
        <w:t>October 2020.</w:t>
      </w:r>
    </w:p>
    <w:p w14:paraId="6834C83E" w14:textId="77777777" w:rsidR="00226D17" w:rsidRPr="007C46C9" w:rsidRDefault="00226D17" w:rsidP="00226D17">
      <w:pPr>
        <w:pStyle w:val="ListParagraph"/>
        <w:keepNext/>
        <w:ind w:left="0"/>
        <w:rPr>
          <w:b/>
          <w:lang w:val="en-CA"/>
        </w:rPr>
      </w:pPr>
      <w:r w:rsidRPr="002D4BE0">
        <w:rPr>
          <w:b/>
          <w:lang w:val="en-CA"/>
        </w:rPr>
        <w:t>Table </w:t>
      </w:r>
      <w:r w:rsidR="00AD7294">
        <w:rPr>
          <w:b/>
          <w:lang w:val="en-CA"/>
        </w:rPr>
        <w:t>8</w:t>
      </w:r>
      <w:r w:rsidRPr="002D4BE0">
        <w:rPr>
          <w:b/>
          <w:lang w:val="en-CA"/>
        </w:rPr>
        <w:t>. Financial rep</w:t>
      </w:r>
      <w:r w:rsidRPr="007C46C9">
        <w:rPr>
          <w:b/>
          <w:lang w:val="en-CA"/>
        </w:rPr>
        <w:t>ort of stage I of the HPMP for the PICs (US $)</w:t>
      </w:r>
    </w:p>
    <w:tbl>
      <w:tblPr>
        <w:tblStyle w:val="TableGrid"/>
        <w:tblW w:w="9351" w:type="dxa"/>
        <w:tblLayout w:type="fixed"/>
        <w:tblCellMar>
          <w:left w:w="72" w:type="dxa"/>
          <w:right w:w="72" w:type="dxa"/>
        </w:tblCellMar>
        <w:tblLook w:val="04A0" w:firstRow="1" w:lastRow="0" w:firstColumn="1" w:lastColumn="0" w:noHBand="0" w:noVBand="1"/>
      </w:tblPr>
      <w:tblGrid>
        <w:gridCol w:w="1232"/>
        <w:gridCol w:w="1014"/>
        <w:gridCol w:w="989"/>
        <w:gridCol w:w="990"/>
        <w:gridCol w:w="1080"/>
        <w:gridCol w:w="990"/>
        <w:gridCol w:w="990"/>
        <w:gridCol w:w="1080"/>
        <w:gridCol w:w="986"/>
      </w:tblGrid>
      <w:tr w:rsidR="00226D17" w:rsidRPr="007C46C9" w14:paraId="4F67E75C" w14:textId="77777777" w:rsidTr="00F63AF8">
        <w:trPr>
          <w:tblHeader/>
        </w:trPr>
        <w:tc>
          <w:tcPr>
            <w:tcW w:w="1232" w:type="dxa"/>
            <w:vMerge w:val="restart"/>
            <w:tcMar>
              <w:left w:w="29" w:type="dxa"/>
              <w:right w:w="14" w:type="dxa"/>
            </w:tcMar>
            <w:vAlign w:val="center"/>
          </w:tcPr>
          <w:p w14:paraId="4BF2CF5C" w14:textId="77777777" w:rsidR="00226D17" w:rsidRPr="007C46C9" w:rsidRDefault="00226D17" w:rsidP="00F63AF8">
            <w:pPr>
              <w:jc w:val="left"/>
              <w:rPr>
                <w:b/>
                <w:sz w:val="19"/>
                <w:szCs w:val="19"/>
                <w:lang w:val="en-CA"/>
              </w:rPr>
            </w:pPr>
            <w:r w:rsidRPr="007C46C9">
              <w:rPr>
                <w:b/>
                <w:sz w:val="19"/>
                <w:szCs w:val="19"/>
                <w:lang w:val="en-CA"/>
              </w:rPr>
              <w:t>Component</w:t>
            </w:r>
          </w:p>
        </w:tc>
        <w:tc>
          <w:tcPr>
            <w:tcW w:w="2003" w:type="dxa"/>
            <w:gridSpan w:val="2"/>
          </w:tcPr>
          <w:p w14:paraId="3D09D849" w14:textId="77777777" w:rsidR="00226D17" w:rsidRPr="007C46C9" w:rsidRDefault="00226D17" w:rsidP="00F63AF8">
            <w:pPr>
              <w:keepNext/>
              <w:jc w:val="center"/>
              <w:rPr>
                <w:b/>
                <w:sz w:val="19"/>
                <w:szCs w:val="19"/>
                <w:lang w:val="en-CA"/>
              </w:rPr>
            </w:pPr>
            <w:r w:rsidRPr="007C46C9">
              <w:rPr>
                <w:b/>
                <w:sz w:val="19"/>
                <w:szCs w:val="19"/>
                <w:lang w:val="en-CA"/>
              </w:rPr>
              <w:t>First tranche</w:t>
            </w:r>
          </w:p>
        </w:tc>
        <w:tc>
          <w:tcPr>
            <w:tcW w:w="2070" w:type="dxa"/>
            <w:gridSpan w:val="2"/>
          </w:tcPr>
          <w:p w14:paraId="3DBB3685" w14:textId="77777777" w:rsidR="00226D17" w:rsidRPr="007C46C9" w:rsidRDefault="00226D17" w:rsidP="00F63AF8">
            <w:pPr>
              <w:keepNext/>
              <w:jc w:val="center"/>
              <w:rPr>
                <w:b/>
                <w:sz w:val="19"/>
                <w:szCs w:val="19"/>
                <w:lang w:val="en-CA"/>
              </w:rPr>
            </w:pPr>
            <w:r w:rsidRPr="007C46C9">
              <w:rPr>
                <w:b/>
                <w:sz w:val="19"/>
                <w:szCs w:val="19"/>
                <w:lang w:val="en-CA"/>
              </w:rPr>
              <w:t>Second tranche</w:t>
            </w:r>
          </w:p>
        </w:tc>
        <w:tc>
          <w:tcPr>
            <w:tcW w:w="1980" w:type="dxa"/>
            <w:gridSpan w:val="2"/>
          </w:tcPr>
          <w:p w14:paraId="52276987" w14:textId="77777777" w:rsidR="00226D17" w:rsidRPr="007C46C9" w:rsidRDefault="00226D17" w:rsidP="00F63AF8">
            <w:pPr>
              <w:keepNext/>
              <w:jc w:val="center"/>
              <w:rPr>
                <w:b/>
                <w:sz w:val="19"/>
                <w:szCs w:val="19"/>
                <w:lang w:val="en-CA"/>
              </w:rPr>
            </w:pPr>
            <w:r w:rsidRPr="007C46C9">
              <w:rPr>
                <w:b/>
                <w:sz w:val="19"/>
                <w:szCs w:val="19"/>
                <w:lang w:val="en-CA"/>
              </w:rPr>
              <w:t>Third tranche</w:t>
            </w:r>
          </w:p>
        </w:tc>
        <w:tc>
          <w:tcPr>
            <w:tcW w:w="2066" w:type="dxa"/>
            <w:gridSpan w:val="2"/>
          </w:tcPr>
          <w:p w14:paraId="4D083862" w14:textId="77777777" w:rsidR="00226D17" w:rsidRPr="007C46C9" w:rsidRDefault="00226D17" w:rsidP="00F63AF8">
            <w:pPr>
              <w:keepNext/>
              <w:jc w:val="center"/>
              <w:rPr>
                <w:b/>
                <w:sz w:val="19"/>
                <w:szCs w:val="19"/>
                <w:lang w:val="en-CA"/>
              </w:rPr>
            </w:pPr>
            <w:r w:rsidRPr="007C46C9">
              <w:rPr>
                <w:b/>
                <w:sz w:val="19"/>
                <w:szCs w:val="19"/>
                <w:lang w:val="en-CA"/>
              </w:rPr>
              <w:t xml:space="preserve">Total </w:t>
            </w:r>
          </w:p>
        </w:tc>
      </w:tr>
      <w:tr w:rsidR="00226D17" w:rsidRPr="007C46C9" w14:paraId="3273E690" w14:textId="77777777" w:rsidTr="00F63AF8">
        <w:trPr>
          <w:tblHeader/>
        </w:trPr>
        <w:tc>
          <w:tcPr>
            <w:tcW w:w="1232" w:type="dxa"/>
            <w:vMerge/>
            <w:tcMar>
              <w:left w:w="29" w:type="dxa"/>
              <w:right w:w="14" w:type="dxa"/>
            </w:tcMar>
            <w:vAlign w:val="center"/>
          </w:tcPr>
          <w:p w14:paraId="60239381" w14:textId="77777777" w:rsidR="00226D17" w:rsidRPr="007C46C9" w:rsidRDefault="00226D17" w:rsidP="00F63AF8">
            <w:pPr>
              <w:jc w:val="left"/>
              <w:rPr>
                <w:b/>
                <w:sz w:val="19"/>
                <w:szCs w:val="19"/>
                <w:lang w:val="en-CA"/>
              </w:rPr>
            </w:pPr>
          </w:p>
        </w:tc>
        <w:tc>
          <w:tcPr>
            <w:tcW w:w="1014" w:type="dxa"/>
            <w:vAlign w:val="center"/>
          </w:tcPr>
          <w:p w14:paraId="4FDEA8F5" w14:textId="77777777" w:rsidR="00226D17" w:rsidRPr="007C46C9" w:rsidRDefault="00226D17" w:rsidP="00F63AF8">
            <w:pPr>
              <w:keepNext/>
              <w:jc w:val="center"/>
              <w:rPr>
                <w:b/>
                <w:sz w:val="19"/>
                <w:szCs w:val="19"/>
                <w:lang w:val="en-CA"/>
              </w:rPr>
            </w:pPr>
            <w:r w:rsidRPr="007C46C9">
              <w:rPr>
                <w:b/>
                <w:sz w:val="19"/>
                <w:szCs w:val="19"/>
                <w:lang w:val="en-CA"/>
              </w:rPr>
              <w:t>Approved</w:t>
            </w:r>
          </w:p>
        </w:tc>
        <w:tc>
          <w:tcPr>
            <w:tcW w:w="989" w:type="dxa"/>
            <w:vAlign w:val="center"/>
          </w:tcPr>
          <w:p w14:paraId="2C04AAD4" w14:textId="77777777" w:rsidR="00226D17" w:rsidRPr="007C46C9" w:rsidRDefault="00226D17" w:rsidP="00F63AF8">
            <w:pPr>
              <w:keepNext/>
              <w:jc w:val="center"/>
              <w:rPr>
                <w:b/>
                <w:sz w:val="19"/>
                <w:szCs w:val="19"/>
                <w:lang w:val="en-CA"/>
              </w:rPr>
            </w:pPr>
            <w:r w:rsidRPr="007C46C9">
              <w:rPr>
                <w:b/>
                <w:sz w:val="19"/>
                <w:szCs w:val="19"/>
                <w:lang w:val="en-CA"/>
              </w:rPr>
              <w:t>Disbursed</w:t>
            </w:r>
          </w:p>
        </w:tc>
        <w:tc>
          <w:tcPr>
            <w:tcW w:w="990" w:type="dxa"/>
            <w:vAlign w:val="center"/>
          </w:tcPr>
          <w:p w14:paraId="4A1A491A" w14:textId="77777777" w:rsidR="00226D17" w:rsidRPr="007C46C9" w:rsidRDefault="00226D17" w:rsidP="00F63AF8">
            <w:pPr>
              <w:keepNext/>
              <w:jc w:val="center"/>
              <w:rPr>
                <w:b/>
                <w:sz w:val="19"/>
                <w:szCs w:val="19"/>
                <w:lang w:val="en-CA"/>
              </w:rPr>
            </w:pPr>
            <w:r w:rsidRPr="007C46C9">
              <w:rPr>
                <w:b/>
                <w:sz w:val="19"/>
                <w:szCs w:val="19"/>
                <w:lang w:val="en-CA"/>
              </w:rPr>
              <w:t>Approved</w:t>
            </w:r>
          </w:p>
        </w:tc>
        <w:tc>
          <w:tcPr>
            <w:tcW w:w="1080" w:type="dxa"/>
            <w:vAlign w:val="center"/>
          </w:tcPr>
          <w:p w14:paraId="6D734C39" w14:textId="77777777" w:rsidR="00226D17" w:rsidRPr="007C46C9" w:rsidRDefault="00226D17" w:rsidP="00F63AF8">
            <w:pPr>
              <w:keepNext/>
              <w:jc w:val="center"/>
              <w:rPr>
                <w:b/>
                <w:sz w:val="19"/>
                <w:szCs w:val="19"/>
                <w:lang w:val="en-CA"/>
              </w:rPr>
            </w:pPr>
            <w:r w:rsidRPr="007C46C9">
              <w:rPr>
                <w:b/>
                <w:sz w:val="19"/>
                <w:szCs w:val="19"/>
                <w:lang w:val="en-CA"/>
              </w:rPr>
              <w:t>Disbursed</w:t>
            </w:r>
          </w:p>
        </w:tc>
        <w:tc>
          <w:tcPr>
            <w:tcW w:w="990" w:type="dxa"/>
            <w:vAlign w:val="center"/>
          </w:tcPr>
          <w:p w14:paraId="7B40287B" w14:textId="77777777" w:rsidR="00226D17" w:rsidRPr="007C46C9" w:rsidRDefault="00226D17" w:rsidP="00F63AF8">
            <w:pPr>
              <w:keepNext/>
              <w:jc w:val="center"/>
              <w:rPr>
                <w:b/>
                <w:sz w:val="19"/>
                <w:szCs w:val="19"/>
                <w:lang w:val="en-CA"/>
              </w:rPr>
            </w:pPr>
            <w:r w:rsidRPr="007C46C9">
              <w:rPr>
                <w:b/>
                <w:sz w:val="19"/>
                <w:szCs w:val="19"/>
                <w:lang w:val="en-CA"/>
              </w:rPr>
              <w:t>Approved</w:t>
            </w:r>
          </w:p>
        </w:tc>
        <w:tc>
          <w:tcPr>
            <w:tcW w:w="990" w:type="dxa"/>
            <w:shd w:val="clear" w:color="auto" w:fill="auto"/>
            <w:vAlign w:val="center"/>
          </w:tcPr>
          <w:p w14:paraId="675DE799" w14:textId="77777777" w:rsidR="00226D17" w:rsidRPr="007C46C9" w:rsidRDefault="00226D17" w:rsidP="00F63AF8">
            <w:pPr>
              <w:keepNext/>
              <w:jc w:val="center"/>
              <w:rPr>
                <w:b/>
                <w:sz w:val="19"/>
                <w:szCs w:val="19"/>
                <w:lang w:val="en-CA"/>
              </w:rPr>
            </w:pPr>
            <w:r w:rsidRPr="007C46C9">
              <w:rPr>
                <w:b/>
                <w:sz w:val="19"/>
                <w:szCs w:val="19"/>
                <w:lang w:val="en-CA"/>
              </w:rPr>
              <w:t>Disbursed</w:t>
            </w:r>
          </w:p>
        </w:tc>
        <w:tc>
          <w:tcPr>
            <w:tcW w:w="1080" w:type="dxa"/>
            <w:tcBorders>
              <w:bottom w:val="single" w:sz="4" w:space="0" w:color="auto"/>
            </w:tcBorders>
            <w:vAlign w:val="center"/>
          </w:tcPr>
          <w:p w14:paraId="188ACE99" w14:textId="77777777" w:rsidR="00226D17" w:rsidRPr="007C46C9" w:rsidRDefault="00226D17" w:rsidP="00F63AF8">
            <w:pPr>
              <w:keepNext/>
              <w:jc w:val="center"/>
              <w:rPr>
                <w:b/>
                <w:sz w:val="19"/>
                <w:szCs w:val="19"/>
                <w:lang w:val="en-CA"/>
              </w:rPr>
            </w:pPr>
            <w:r w:rsidRPr="007C46C9">
              <w:rPr>
                <w:b/>
                <w:sz w:val="19"/>
                <w:szCs w:val="19"/>
                <w:lang w:val="en-CA"/>
              </w:rPr>
              <w:t>Approved</w:t>
            </w:r>
          </w:p>
        </w:tc>
        <w:tc>
          <w:tcPr>
            <w:tcW w:w="986" w:type="dxa"/>
            <w:tcBorders>
              <w:bottom w:val="single" w:sz="4" w:space="0" w:color="auto"/>
            </w:tcBorders>
            <w:vAlign w:val="center"/>
          </w:tcPr>
          <w:p w14:paraId="20247A48" w14:textId="77777777" w:rsidR="00226D17" w:rsidRPr="007C46C9" w:rsidRDefault="00226D17" w:rsidP="00F63AF8">
            <w:pPr>
              <w:keepNext/>
              <w:jc w:val="center"/>
              <w:rPr>
                <w:b/>
                <w:sz w:val="19"/>
                <w:szCs w:val="19"/>
                <w:lang w:val="en-CA"/>
              </w:rPr>
            </w:pPr>
            <w:r w:rsidRPr="007C46C9">
              <w:rPr>
                <w:b/>
                <w:sz w:val="19"/>
                <w:szCs w:val="19"/>
                <w:lang w:val="en-CA"/>
              </w:rPr>
              <w:t>Disbursed</w:t>
            </w:r>
          </w:p>
        </w:tc>
      </w:tr>
      <w:tr w:rsidR="00226D17" w:rsidRPr="007C46C9" w14:paraId="3630E112" w14:textId="77777777" w:rsidTr="00F63AF8">
        <w:tc>
          <w:tcPr>
            <w:tcW w:w="1232" w:type="dxa"/>
            <w:tcMar>
              <w:left w:w="29" w:type="dxa"/>
              <w:right w:w="14" w:type="dxa"/>
            </w:tcMar>
            <w:vAlign w:val="center"/>
          </w:tcPr>
          <w:p w14:paraId="2360E3F4" w14:textId="77777777" w:rsidR="00226D17" w:rsidRPr="007C46C9" w:rsidRDefault="00226D17" w:rsidP="00F63AF8">
            <w:pPr>
              <w:jc w:val="left"/>
              <w:rPr>
                <w:sz w:val="19"/>
                <w:szCs w:val="19"/>
                <w:lang w:val="en-CA"/>
              </w:rPr>
            </w:pPr>
            <w:r w:rsidRPr="007C46C9">
              <w:rPr>
                <w:sz w:val="19"/>
                <w:szCs w:val="19"/>
                <w:lang w:val="en-CA"/>
              </w:rPr>
              <w:t xml:space="preserve">National </w:t>
            </w:r>
          </w:p>
        </w:tc>
        <w:tc>
          <w:tcPr>
            <w:tcW w:w="1014" w:type="dxa"/>
          </w:tcPr>
          <w:p w14:paraId="5715BF9C" w14:textId="77777777" w:rsidR="00226D17" w:rsidRPr="007C46C9" w:rsidRDefault="00226D17" w:rsidP="00F63AF8">
            <w:pPr>
              <w:keepNext/>
              <w:jc w:val="right"/>
              <w:rPr>
                <w:sz w:val="19"/>
                <w:szCs w:val="19"/>
                <w:lang w:val="en-CA"/>
              </w:rPr>
            </w:pPr>
            <w:r w:rsidRPr="007C46C9">
              <w:rPr>
                <w:sz w:val="19"/>
                <w:szCs w:val="19"/>
                <w:lang w:val="en-CA"/>
              </w:rPr>
              <w:t>739,375</w:t>
            </w:r>
          </w:p>
        </w:tc>
        <w:tc>
          <w:tcPr>
            <w:tcW w:w="989" w:type="dxa"/>
          </w:tcPr>
          <w:p w14:paraId="7864B7CF" w14:textId="77777777" w:rsidR="00226D17" w:rsidRPr="007C46C9" w:rsidRDefault="00226D17" w:rsidP="00F63AF8">
            <w:pPr>
              <w:keepNext/>
              <w:jc w:val="right"/>
              <w:rPr>
                <w:sz w:val="19"/>
                <w:szCs w:val="19"/>
                <w:lang w:val="en-CA"/>
              </w:rPr>
            </w:pPr>
            <w:r w:rsidRPr="007C46C9">
              <w:rPr>
                <w:sz w:val="19"/>
                <w:szCs w:val="19"/>
                <w:lang w:val="en-CA"/>
              </w:rPr>
              <w:t>739,375</w:t>
            </w:r>
          </w:p>
        </w:tc>
        <w:tc>
          <w:tcPr>
            <w:tcW w:w="990" w:type="dxa"/>
            <w:tcBorders>
              <w:top w:val="nil"/>
              <w:left w:val="nil"/>
              <w:bottom w:val="single" w:sz="4" w:space="0" w:color="auto"/>
              <w:right w:val="single" w:sz="4" w:space="0" w:color="auto"/>
            </w:tcBorders>
            <w:shd w:val="clear" w:color="auto" w:fill="auto"/>
          </w:tcPr>
          <w:p w14:paraId="4AEC6EDE" w14:textId="77777777" w:rsidR="00226D17" w:rsidRPr="007C46C9" w:rsidRDefault="00226D17" w:rsidP="00F63AF8">
            <w:pPr>
              <w:keepNext/>
              <w:jc w:val="right"/>
              <w:rPr>
                <w:sz w:val="19"/>
                <w:szCs w:val="19"/>
                <w:lang w:val="en-CA"/>
              </w:rPr>
            </w:pPr>
            <w:r w:rsidRPr="007C46C9">
              <w:rPr>
                <w:sz w:val="19"/>
                <w:szCs w:val="19"/>
                <w:lang w:val="en-CA"/>
              </w:rPr>
              <w:t>530,525</w:t>
            </w:r>
          </w:p>
        </w:tc>
        <w:tc>
          <w:tcPr>
            <w:tcW w:w="1080" w:type="dxa"/>
            <w:tcBorders>
              <w:top w:val="nil"/>
              <w:left w:val="single" w:sz="4" w:space="0" w:color="auto"/>
              <w:bottom w:val="single" w:sz="4" w:space="0" w:color="auto"/>
              <w:right w:val="single" w:sz="4" w:space="0" w:color="auto"/>
            </w:tcBorders>
            <w:shd w:val="clear" w:color="auto" w:fill="auto"/>
          </w:tcPr>
          <w:p w14:paraId="6B661F6D" w14:textId="77777777" w:rsidR="00226D17" w:rsidRPr="007C46C9" w:rsidRDefault="00226D17" w:rsidP="00F63AF8">
            <w:pPr>
              <w:keepNext/>
              <w:jc w:val="right"/>
              <w:rPr>
                <w:sz w:val="19"/>
                <w:szCs w:val="19"/>
                <w:lang w:val="en-CA"/>
              </w:rPr>
            </w:pPr>
            <w:r w:rsidRPr="007C46C9">
              <w:rPr>
                <w:bCs/>
                <w:color w:val="000000"/>
                <w:sz w:val="19"/>
                <w:szCs w:val="19"/>
                <w:lang w:val="en-CA"/>
              </w:rPr>
              <w:t>376,896</w:t>
            </w:r>
          </w:p>
        </w:tc>
        <w:tc>
          <w:tcPr>
            <w:tcW w:w="990" w:type="dxa"/>
            <w:tcBorders>
              <w:top w:val="single" w:sz="4" w:space="0" w:color="auto"/>
              <w:left w:val="nil"/>
              <w:bottom w:val="single" w:sz="4" w:space="0" w:color="auto"/>
              <w:right w:val="single" w:sz="4" w:space="0" w:color="auto"/>
            </w:tcBorders>
          </w:tcPr>
          <w:p w14:paraId="47D07E33" w14:textId="77777777" w:rsidR="00226D17" w:rsidRPr="007C46C9" w:rsidRDefault="00226D17" w:rsidP="00F63AF8">
            <w:pPr>
              <w:keepNext/>
              <w:jc w:val="right"/>
              <w:rPr>
                <w:bCs/>
                <w:color w:val="000000"/>
                <w:sz w:val="19"/>
                <w:szCs w:val="19"/>
                <w:lang w:val="en-CA"/>
              </w:rPr>
            </w:pPr>
            <w:r w:rsidRPr="007C46C9">
              <w:rPr>
                <w:bCs/>
                <w:sz w:val="19"/>
                <w:szCs w:val="19"/>
                <w:lang w:val="en-CA"/>
              </w:rPr>
              <w:t>141,100</w:t>
            </w:r>
          </w:p>
        </w:tc>
        <w:tc>
          <w:tcPr>
            <w:tcW w:w="990" w:type="dxa"/>
            <w:tcBorders>
              <w:top w:val="single" w:sz="4" w:space="0" w:color="auto"/>
              <w:left w:val="single" w:sz="4" w:space="0" w:color="auto"/>
              <w:bottom w:val="single" w:sz="4" w:space="0" w:color="auto"/>
              <w:right w:val="single" w:sz="4" w:space="0" w:color="auto"/>
            </w:tcBorders>
          </w:tcPr>
          <w:p w14:paraId="2486500F" w14:textId="77777777" w:rsidR="00226D17" w:rsidRPr="007C46C9" w:rsidRDefault="00226D17" w:rsidP="00F63AF8">
            <w:pPr>
              <w:keepNext/>
              <w:jc w:val="right"/>
              <w:rPr>
                <w:color w:val="000000"/>
                <w:sz w:val="19"/>
                <w:szCs w:val="19"/>
                <w:lang w:val="en-CA"/>
              </w:rPr>
            </w:pPr>
            <w:r w:rsidRPr="007C46C9">
              <w:rPr>
                <w:color w:val="000000"/>
                <w:sz w:val="19"/>
                <w:szCs w:val="19"/>
                <w:lang w:val="en-CA"/>
              </w:rPr>
              <w:t>7,660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BA07A5" w14:textId="77777777" w:rsidR="00226D17" w:rsidRPr="007C46C9" w:rsidRDefault="00226D17" w:rsidP="00F63AF8">
            <w:pPr>
              <w:keepNext/>
              <w:jc w:val="right"/>
              <w:rPr>
                <w:color w:val="000000"/>
                <w:sz w:val="19"/>
                <w:szCs w:val="19"/>
                <w:lang w:val="en-CA"/>
              </w:rPr>
            </w:pPr>
            <w:r w:rsidRPr="007C46C9">
              <w:rPr>
                <w:color w:val="000000"/>
                <w:sz w:val="19"/>
                <w:szCs w:val="19"/>
                <w:lang w:val="en-CA"/>
              </w:rPr>
              <w:t>1,411,00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EC427A0" w14:textId="77777777" w:rsidR="00226D17" w:rsidRPr="007C46C9" w:rsidRDefault="00226D17" w:rsidP="00F63AF8">
            <w:pPr>
              <w:keepNext/>
              <w:jc w:val="right"/>
              <w:rPr>
                <w:color w:val="000000"/>
                <w:sz w:val="19"/>
                <w:szCs w:val="19"/>
                <w:lang w:val="en-CA"/>
              </w:rPr>
            </w:pPr>
            <w:r w:rsidRPr="007C46C9">
              <w:rPr>
                <w:color w:val="000000"/>
                <w:sz w:val="19"/>
                <w:szCs w:val="19"/>
                <w:lang w:val="en-CA"/>
              </w:rPr>
              <w:t>1,123,931</w:t>
            </w:r>
          </w:p>
        </w:tc>
      </w:tr>
      <w:tr w:rsidR="00226D17" w:rsidRPr="007C46C9" w14:paraId="736099C4" w14:textId="77777777" w:rsidTr="00F63AF8">
        <w:tc>
          <w:tcPr>
            <w:tcW w:w="1232" w:type="dxa"/>
            <w:tcMar>
              <w:left w:w="29" w:type="dxa"/>
              <w:right w:w="14" w:type="dxa"/>
            </w:tcMar>
            <w:vAlign w:val="center"/>
          </w:tcPr>
          <w:p w14:paraId="0C372F02" w14:textId="77777777" w:rsidR="00226D17" w:rsidRPr="007C46C9" w:rsidRDefault="00226D17" w:rsidP="00F63AF8">
            <w:pPr>
              <w:jc w:val="left"/>
              <w:rPr>
                <w:sz w:val="19"/>
                <w:szCs w:val="19"/>
                <w:lang w:val="en-CA"/>
              </w:rPr>
            </w:pPr>
            <w:r w:rsidRPr="007C46C9">
              <w:rPr>
                <w:sz w:val="19"/>
                <w:szCs w:val="19"/>
                <w:lang w:val="en-CA"/>
              </w:rPr>
              <w:t>Regional</w:t>
            </w:r>
          </w:p>
        </w:tc>
        <w:tc>
          <w:tcPr>
            <w:tcW w:w="1014" w:type="dxa"/>
          </w:tcPr>
          <w:p w14:paraId="3C130D6F" w14:textId="77777777" w:rsidR="00226D17" w:rsidRPr="007C46C9" w:rsidRDefault="00226D17" w:rsidP="00F63AF8">
            <w:pPr>
              <w:keepNext/>
              <w:jc w:val="right"/>
              <w:rPr>
                <w:sz w:val="19"/>
                <w:szCs w:val="19"/>
                <w:lang w:val="en-CA"/>
              </w:rPr>
            </w:pPr>
            <w:r w:rsidRPr="007C46C9">
              <w:rPr>
                <w:sz w:val="19"/>
                <w:szCs w:val="19"/>
                <w:lang w:val="en-CA"/>
              </w:rPr>
              <w:t>134,000</w:t>
            </w:r>
          </w:p>
        </w:tc>
        <w:tc>
          <w:tcPr>
            <w:tcW w:w="989" w:type="dxa"/>
          </w:tcPr>
          <w:p w14:paraId="41F72D85" w14:textId="77777777" w:rsidR="00226D17" w:rsidRPr="007C46C9" w:rsidRDefault="00226D17" w:rsidP="00F63AF8">
            <w:pPr>
              <w:keepNext/>
              <w:jc w:val="right"/>
              <w:rPr>
                <w:sz w:val="19"/>
                <w:szCs w:val="19"/>
                <w:lang w:val="en-CA"/>
              </w:rPr>
            </w:pPr>
            <w:r w:rsidRPr="007C46C9">
              <w:rPr>
                <w:sz w:val="19"/>
                <w:szCs w:val="19"/>
                <w:lang w:val="en-CA"/>
              </w:rPr>
              <w:t>134,000</w:t>
            </w:r>
          </w:p>
        </w:tc>
        <w:tc>
          <w:tcPr>
            <w:tcW w:w="990" w:type="dxa"/>
          </w:tcPr>
          <w:p w14:paraId="429A2B1F" w14:textId="77777777" w:rsidR="00226D17" w:rsidRPr="007C46C9" w:rsidRDefault="00226D17" w:rsidP="00F63AF8">
            <w:pPr>
              <w:keepNext/>
              <w:jc w:val="right"/>
              <w:rPr>
                <w:sz w:val="19"/>
                <w:szCs w:val="19"/>
                <w:lang w:val="en-CA"/>
              </w:rPr>
            </w:pPr>
            <w:r w:rsidRPr="007C46C9">
              <w:rPr>
                <w:sz w:val="19"/>
                <w:szCs w:val="19"/>
                <w:lang w:val="en-CA"/>
              </w:rPr>
              <w:t>106,000</w:t>
            </w:r>
          </w:p>
        </w:tc>
        <w:tc>
          <w:tcPr>
            <w:tcW w:w="1080" w:type="dxa"/>
          </w:tcPr>
          <w:p w14:paraId="2F751C01" w14:textId="77777777" w:rsidR="00226D17" w:rsidRPr="007C46C9" w:rsidRDefault="00226D17" w:rsidP="00F63AF8">
            <w:pPr>
              <w:keepNext/>
              <w:jc w:val="right"/>
              <w:rPr>
                <w:sz w:val="19"/>
                <w:szCs w:val="19"/>
                <w:lang w:val="en-CA"/>
              </w:rPr>
            </w:pPr>
            <w:r w:rsidRPr="007C46C9">
              <w:rPr>
                <w:sz w:val="19"/>
                <w:szCs w:val="19"/>
                <w:lang w:val="en-CA"/>
              </w:rPr>
              <w:t>106,000</w:t>
            </w:r>
          </w:p>
        </w:tc>
        <w:tc>
          <w:tcPr>
            <w:tcW w:w="990" w:type="dxa"/>
          </w:tcPr>
          <w:p w14:paraId="3AC020BD" w14:textId="77777777" w:rsidR="00226D17" w:rsidRPr="007C46C9" w:rsidRDefault="00226D17" w:rsidP="00F63AF8">
            <w:pPr>
              <w:keepNext/>
              <w:jc w:val="right"/>
              <w:rPr>
                <w:color w:val="000000"/>
                <w:sz w:val="19"/>
                <w:szCs w:val="19"/>
                <w:lang w:val="en-CA"/>
              </w:rPr>
            </w:pPr>
            <w:r w:rsidRPr="007C46C9">
              <w:rPr>
                <w:sz w:val="19"/>
                <w:szCs w:val="19"/>
                <w:lang w:val="en-CA"/>
              </w:rPr>
              <w:t>45,000</w:t>
            </w:r>
          </w:p>
        </w:tc>
        <w:tc>
          <w:tcPr>
            <w:tcW w:w="990" w:type="dxa"/>
            <w:tcBorders>
              <w:right w:val="single" w:sz="4" w:space="0" w:color="auto"/>
            </w:tcBorders>
          </w:tcPr>
          <w:p w14:paraId="77B4CC59" w14:textId="77777777" w:rsidR="00226D17" w:rsidRPr="007C46C9" w:rsidRDefault="00226D17" w:rsidP="00F63AF8">
            <w:pPr>
              <w:keepNext/>
              <w:jc w:val="right"/>
              <w:rPr>
                <w:color w:val="000000"/>
                <w:sz w:val="19"/>
                <w:szCs w:val="19"/>
                <w:lang w:val="en-CA"/>
              </w:rPr>
            </w:pPr>
            <w:r w:rsidRPr="007C46C9">
              <w:rPr>
                <w:color w:val="000000"/>
                <w:sz w:val="19"/>
                <w:szCs w:val="19"/>
                <w:lang w:val="en-CA"/>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105C6E" w14:textId="77777777" w:rsidR="00226D17" w:rsidRPr="007C46C9" w:rsidRDefault="00226D17" w:rsidP="00F63AF8">
            <w:pPr>
              <w:keepNext/>
              <w:jc w:val="right"/>
              <w:rPr>
                <w:color w:val="000000"/>
                <w:sz w:val="19"/>
                <w:szCs w:val="19"/>
                <w:lang w:val="en-CA"/>
              </w:rPr>
            </w:pPr>
            <w:r w:rsidRPr="007C46C9">
              <w:rPr>
                <w:color w:val="000000"/>
                <w:sz w:val="19"/>
                <w:szCs w:val="19"/>
                <w:lang w:val="en-CA"/>
              </w:rPr>
              <w:t>285,000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4B6C999" w14:textId="77777777" w:rsidR="00226D17" w:rsidRPr="007C46C9" w:rsidRDefault="00226D17" w:rsidP="00F63AF8">
            <w:pPr>
              <w:keepNext/>
              <w:jc w:val="right"/>
              <w:rPr>
                <w:color w:val="000000"/>
                <w:sz w:val="19"/>
                <w:szCs w:val="19"/>
                <w:lang w:val="en-CA"/>
              </w:rPr>
            </w:pPr>
            <w:r w:rsidRPr="007C46C9">
              <w:rPr>
                <w:color w:val="000000"/>
                <w:sz w:val="19"/>
                <w:szCs w:val="19"/>
                <w:lang w:val="en-CA"/>
              </w:rPr>
              <w:t>240,000</w:t>
            </w:r>
          </w:p>
        </w:tc>
      </w:tr>
      <w:tr w:rsidR="00226D17" w:rsidRPr="007C46C9" w14:paraId="55F0BADB" w14:textId="77777777" w:rsidTr="00F63AF8">
        <w:tc>
          <w:tcPr>
            <w:tcW w:w="1232" w:type="dxa"/>
            <w:tcBorders>
              <w:bottom w:val="single" w:sz="2" w:space="0" w:color="auto"/>
            </w:tcBorders>
            <w:tcMar>
              <w:left w:w="29" w:type="dxa"/>
              <w:right w:w="14" w:type="dxa"/>
            </w:tcMar>
            <w:vAlign w:val="center"/>
          </w:tcPr>
          <w:p w14:paraId="5BF7F454" w14:textId="77777777" w:rsidR="00226D17" w:rsidRPr="007C46C9" w:rsidRDefault="00226D17" w:rsidP="00F63AF8">
            <w:pPr>
              <w:jc w:val="left"/>
              <w:rPr>
                <w:b/>
                <w:sz w:val="19"/>
                <w:szCs w:val="19"/>
                <w:lang w:val="en-CA"/>
              </w:rPr>
            </w:pPr>
            <w:r w:rsidRPr="007C46C9">
              <w:rPr>
                <w:b/>
                <w:sz w:val="19"/>
                <w:szCs w:val="19"/>
                <w:lang w:val="en-CA"/>
              </w:rPr>
              <w:t>Total</w:t>
            </w:r>
          </w:p>
        </w:tc>
        <w:tc>
          <w:tcPr>
            <w:tcW w:w="1014" w:type="dxa"/>
            <w:tcBorders>
              <w:bottom w:val="single" w:sz="2" w:space="0" w:color="auto"/>
            </w:tcBorders>
          </w:tcPr>
          <w:p w14:paraId="52652BBB" w14:textId="77777777" w:rsidR="00226D17" w:rsidRPr="007C46C9" w:rsidRDefault="00226D17" w:rsidP="00F63AF8">
            <w:pPr>
              <w:keepNext/>
              <w:jc w:val="right"/>
              <w:rPr>
                <w:b/>
                <w:sz w:val="19"/>
                <w:szCs w:val="19"/>
                <w:lang w:val="en-CA"/>
              </w:rPr>
            </w:pPr>
            <w:r w:rsidRPr="007C46C9">
              <w:rPr>
                <w:b/>
                <w:sz w:val="19"/>
                <w:szCs w:val="19"/>
                <w:lang w:val="en-CA"/>
              </w:rPr>
              <w:t>873,375</w:t>
            </w:r>
          </w:p>
        </w:tc>
        <w:tc>
          <w:tcPr>
            <w:tcW w:w="989" w:type="dxa"/>
            <w:tcBorders>
              <w:bottom w:val="single" w:sz="2" w:space="0" w:color="auto"/>
            </w:tcBorders>
          </w:tcPr>
          <w:p w14:paraId="0E4B9062" w14:textId="77777777" w:rsidR="00226D17" w:rsidRPr="007C46C9" w:rsidRDefault="00226D17" w:rsidP="00F63AF8">
            <w:pPr>
              <w:keepNext/>
              <w:jc w:val="right"/>
              <w:rPr>
                <w:b/>
                <w:sz w:val="19"/>
                <w:szCs w:val="19"/>
                <w:lang w:val="en-CA"/>
              </w:rPr>
            </w:pPr>
            <w:r w:rsidRPr="007C46C9">
              <w:rPr>
                <w:b/>
                <w:sz w:val="19"/>
                <w:szCs w:val="19"/>
                <w:lang w:val="en-CA"/>
              </w:rPr>
              <w:t>873,375</w:t>
            </w:r>
          </w:p>
        </w:tc>
        <w:tc>
          <w:tcPr>
            <w:tcW w:w="990" w:type="dxa"/>
            <w:tcBorders>
              <w:bottom w:val="single" w:sz="2" w:space="0" w:color="auto"/>
            </w:tcBorders>
          </w:tcPr>
          <w:p w14:paraId="03EEC537" w14:textId="77777777" w:rsidR="00226D17" w:rsidRPr="007C46C9" w:rsidRDefault="00226D17" w:rsidP="00F63AF8">
            <w:pPr>
              <w:keepNext/>
              <w:jc w:val="right"/>
              <w:rPr>
                <w:b/>
                <w:sz w:val="19"/>
                <w:szCs w:val="19"/>
                <w:lang w:val="en-CA"/>
              </w:rPr>
            </w:pPr>
            <w:r w:rsidRPr="007C46C9">
              <w:rPr>
                <w:b/>
                <w:sz w:val="19"/>
                <w:szCs w:val="19"/>
                <w:lang w:val="en-CA"/>
              </w:rPr>
              <w:t>636,525</w:t>
            </w:r>
          </w:p>
        </w:tc>
        <w:tc>
          <w:tcPr>
            <w:tcW w:w="1080" w:type="dxa"/>
            <w:tcBorders>
              <w:bottom w:val="single" w:sz="2" w:space="0" w:color="auto"/>
            </w:tcBorders>
          </w:tcPr>
          <w:p w14:paraId="7A1078A3" w14:textId="77777777" w:rsidR="00226D17" w:rsidRPr="007C46C9" w:rsidRDefault="00226D17" w:rsidP="00F63AF8">
            <w:pPr>
              <w:keepNext/>
              <w:jc w:val="right"/>
              <w:rPr>
                <w:b/>
                <w:sz w:val="19"/>
                <w:szCs w:val="19"/>
                <w:lang w:val="en-CA"/>
              </w:rPr>
            </w:pPr>
            <w:r w:rsidRPr="007C46C9">
              <w:rPr>
                <w:b/>
                <w:sz w:val="19"/>
                <w:szCs w:val="19"/>
                <w:lang w:val="en-CA"/>
              </w:rPr>
              <w:t>482,896</w:t>
            </w:r>
          </w:p>
        </w:tc>
        <w:tc>
          <w:tcPr>
            <w:tcW w:w="990" w:type="dxa"/>
            <w:tcBorders>
              <w:bottom w:val="single" w:sz="4" w:space="0" w:color="auto"/>
            </w:tcBorders>
          </w:tcPr>
          <w:p w14:paraId="64F1051E" w14:textId="77777777" w:rsidR="00226D17" w:rsidRPr="007C46C9" w:rsidRDefault="00226D17" w:rsidP="00F63AF8">
            <w:pPr>
              <w:keepNext/>
              <w:jc w:val="right"/>
              <w:rPr>
                <w:b/>
                <w:sz w:val="19"/>
                <w:szCs w:val="19"/>
                <w:lang w:val="en-CA"/>
              </w:rPr>
            </w:pPr>
            <w:r w:rsidRPr="007C46C9">
              <w:rPr>
                <w:b/>
                <w:sz w:val="19"/>
                <w:szCs w:val="19"/>
                <w:lang w:val="en-CA"/>
              </w:rPr>
              <w:t>186,100</w:t>
            </w:r>
          </w:p>
        </w:tc>
        <w:tc>
          <w:tcPr>
            <w:tcW w:w="990" w:type="dxa"/>
            <w:tcBorders>
              <w:bottom w:val="single" w:sz="4" w:space="0" w:color="auto"/>
            </w:tcBorders>
          </w:tcPr>
          <w:p w14:paraId="0D5E2C23" w14:textId="77777777" w:rsidR="00226D17" w:rsidRPr="007C46C9" w:rsidRDefault="00226D17" w:rsidP="00F63AF8">
            <w:pPr>
              <w:keepNext/>
              <w:jc w:val="right"/>
              <w:rPr>
                <w:b/>
                <w:sz w:val="19"/>
                <w:szCs w:val="19"/>
                <w:lang w:val="en-CA"/>
              </w:rPr>
            </w:pPr>
            <w:r w:rsidRPr="007C46C9">
              <w:rPr>
                <w:b/>
                <w:sz w:val="19"/>
                <w:szCs w:val="19"/>
                <w:lang w:val="en-CA"/>
              </w:rPr>
              <w:t>7,660</w:t>
            </w:r>
          </w:p>
        </w:tc>
        <w:tc>
          <w:tcPr>
            <w:tcW w:w="1080" w:type="dxa"/>
            <w:tcBorders>
              <w:bottom w:val="single" w:sz="2" w:space="0" w:color="auto"/>
            </w:tcBorders>
          </w:tcPr>
          <w:p w14:paraId="70D00531" w14:textId="77777777" w:rsidR="00226D17" w:rsidRPr="007C46C9" w:rsidRDefault="00226D17" w:rsidP="00F63AF8">
            <w:pPr>
              <w:keepNext/>
              <w:jc w:val="right"/>
              <w:rPr>
                <w:b/>
                <w:sz w:val="19"/>
                <w:szCs w:val="19"/>
                <w:lang w:val="en-CA"/>
              </w:rPr>
            </w:pPr>
            <w:r w:rsidRPr="007C46C9">
              <w:rPr>
                <w:b/>
                <w:sz w:val="19"/>
                <w:szCs w:val="19"/>
                <w:lang w:val="en-CA"/>
              </w:rPr>
              <w:t>1,696,000</w:t>
            </w:r>
          </w:p>
        </w:tc>
        <w:tc>
          <w:tcPr>
            <w:tcW w:w="986" w:type="dxa"/>
            <w:tcBorders>
              <w:bottom w:val="single" w:sz="2" w:space="0" w:color="auto"/>
            </w:tcBorders>
          </w:tcPr>
          <w:p w14:paraId="776417C4" w14:textId="77777777" w:rsidR="00226D17" w:rsidRPr="007C46C9" w:rsidRDefault="00226D17" w:rsidP="00F63AF8">
            <w:pPr>
              <w:keepNext/>
              <w:jc w:val="right"/>
              <w:rPr>
                <w:b/>
                <w:sz w:val="19"/>
                <w:szCs w:val="19"/>
                <w:lang w:val="en-US"/>
              </w:rPr>
            </w:pPr>
            <w:r w:rsidRPr="007C46C9">
              <w:rPr>
                <w:b/>
                <w:sz w:val="19"/>
                <w:szCs w:val="19"/>
                <w:lang w:val="en-CA"/>
              </w:rPr>
              <w:t>1,363,931</w:t>
            </w:r>
          </w:p>
        </w:tc>
      </w:tr>
      <w:tr w:rsidR="00226D17" w:rsidRPr="002D4BE0" w14:paraId="0AB4803D" w14:textId="77777777" w:rsidTr="00F63AF8">
        <w:tc>
          <w:tcPr>
            <w:tcW w:w="1232" w:type="dxa"/>
            <w:tcBorders>
              <w:bottom w:val="single" w:sz="2" w:space="0" w:color="auto"/>
            </w:tcBorders>
            <w:tcMar>
              <w:left w:w="29" w:type="dxa"/>
              <w:right w:w="14" w:type="dxa"/>
            </w:tcMar>
            <w:vAlign w:val="center"/>
          </w:tcPr>
          <w:p w14:paraId="0F3D38C1" w14:textId="77777777" w:rsidR="00226D17" w:rsidRPr="007C46C9" w:rsidRDefault="00226D17" w:rsidP="00F63AF8">
            <w:pPr>
              <w:jc w:val="left"/>
              <w:rPr>
                <w:b/>
                <w:sz w:val="19"/>
                <w:szCs w:val="19"/>
                <w:lang w:val="en-CA"/>
              </w:rPr>
            </w:pPr>
            <w:r w:rsidRPr="007C46C9">
              <w:rPr>
                <w:b/>
                <w:sz w:val="19"/>
                <w:szCs w:val="19"/>
                <w:lang w:val="en-CA"/>
              </w:rPr>
              <w:t>Disbursement rate (%)</w:t>
            </w:r>
          </w:p>
        </w:tc>
        <w:tc>
          <w:tcPr>
            <w:tcW w:w="2003" w:type="dxa"/>
            <w:gridSpan w:val="2"/>
            <w:tcBorders>
              <w:bottom w:val="single" w:sz="2" w:space="0" w:color="auto"/>
            </w:tcBorders>
          </w:tcPr>
          <w:p w14:paraId="3AB70BBF" w14:textId="77777777" w:rsidR="00226D17" w:rsidRPr="007C46C9" w:rsidRDefault="00226D17" w:rsidP="00F63AF8">
            <w:pPr>
              <w:keepNext/>
              <w:jc w:val="center"/>
              <w:rPr>
                <w:b/>
                <w:sz w:val="19"/>
                <w:szCs w:val="19"/>
                <w:lang w:val="en-CA"/>
              </w:rPr>
            </w:pPr>
            <w:r w:rsidRPr="007C46C9">
              <w:rPr>
                <w:b/>
                <w:sz w:val="19"/>
                <w:szCs w:val="19"/>
                <w:lang w:val="en-CA"/>
              </w:rPr>
              <w:t>100</w:t>
            </w:r>
          </w:p>
        </w:tc>
        <w:tc>
          <w:tcPr>
            <w:tcW w:w="2070" w:type="dxa"/>
            <w:gridSpan w:val="2"/>
            <w:tcBorders>
              <w:bottom w:val="single" w:sz="2" w:space="0" w:color="auto"/>
            </w:tcBorders>
          </w:tcPr>
          <w:p w14:paraId="1B4A6ABE" w14:textId="77777777" w:rsidR="00226D17" w:rsidRPr="007C46C9" w:rsidRDefault="00226D17" w:rsidP="00F63AF8">
            <w:pPr>
              <w:keepNext/>
              <w:jc w:val="center"/>
              <w:rPr>
                <w:b/>
                <w:sz w:val="19"/>
                <w:szCs w:val="19"/>
                <w:lang w:val="en-CA"/>
              </w:rPr>
            </w:pPr>
            <w:r w:rsidRPr="007C46C9">
              <w:rPr>
                <w:b/>
                <w:sz w:val="19"/>
                <w:szCs w:val="19"/>
                <w:lang w:val="en-CA"/>
              </w:rPr>
              <w:t>76</w:t>
            </w:r>
          </w:p>
        </w:tc>
        <w:tc>
          <w:tcPr>
            <w:tcW w:w="1980" w:type="dxa"/>
            <w:gridSpan w:val="2"/>
            <w:tcBorders>
              <w:bottom w:val="single" w:sz="4" w:space="0" w:color="auto"/>
            </w:tcBorders>
          </w:tcPr>
          <w:p w14:paraId="10EDB206" w14:textId="77777777" w:rsidR="00226D17" w:rsidRPr="007C46C9" w:rsidRDefault="00226D17" w:rsidP="00F63AF8">
            <w:pPr>
              <w:keepNext/>
              <w:jc w:val="center"/>
              <w:rPr>
                <w:b/>
                <w:sz w:val="19"/>
                <w:szCs w:val="19"/>
                <w:lang w:val="en-CA"/>
              </w:rPr>
            </w:pPr>
            <w:r w:rsidRPr="007C46C9">
              <w:rPr>
                <w:b/>
                <w:sz w:val="19"/>
                <w:szCs w:val="19"/>
                <w:lang w:val="en-CA"/>
              </w:rPr>
              <w:t>4</w:t>
            </w:r>
          </w:p>
        </w:tc>
        <w:tc>
          <w:tcPr>
            <w:tcW w:w="2066" w:type="dxa"/>
            <w:gridSpan w:val="2"/>
            <w:tcBorders>
              <w:bottom w:val="single" w:sz="2" w:space="0" w:color="auto"/>
            </w:tcBorders>
          </w:tcPr>
          <w:p w14:paraId="09D35019" w14:textId="77777777" w:rsidR="00226D17" w:rsidRPr="002D4BE0" w:rsidRDefault="00226D17" w:rsidP="00F63AF8">
            <w:pPr>
              <w:keepNext/>
              <w:jc w:val="center"/>
              <w:rPr>
                <w:b/>
                <w:sz w:val="19"/>
                <w:szCs w:val="19"/>
                <w:lang w:val="en-CA"/>
              </w:rPr>
            </w:pPr>
            <w:r w:rsidRPr="007C46C9">
              <w:rPr>
                <w:b/>
                <w:sz w:val="19"/>
                <w:szCs w:val="19"/>
                <w:lang w:val="en-CA"/>
              </w:rPr>
              <w:t>80</w:t>
            </w:r>
          </w:p>
        </w:tc>
      </w:tr>
    </w:tbl>
    <w:p w14:paraId="49A85DA1" w14:textId="77777777" w:rsidR="00226D17" w:rsidRDefault="00226D17" w:rsidP="00226D17">
      <w:pPr>
        <w:keepNext/>
        <w:outlineLvl w:val="1"/>
        <w:rPr>
          <w:b/>
          <w:bCs/>
          <w:lang w:val="en-CA"/>
        </w:rPr>
      </w:pPr>
    </w:p>
    <w:p w14:paraId="5B1CCF8A" w14:textId="77777777" w:rsidR="00226D17" w:rsidRPr="00A24506" w:rsidRDefault="00226D17" w:rsidP="00226D17">
      <w:pPr>
        <w:keepNext/>
        <w:spacing w:after="240"/>
        <w:outlineLvl w:val="1"/>
        <w:rPr>
          <w:b/>
          <w:bCs/>
          <w:lang w:val="en-CA"/>
        </w:rPr>
      </w:pPr>
      <w:r w:rsidRPr="00A24506">
        <w:rPr>
          <w:b/>
          <w:bCs/>
          <w:lang w:val="en-CA"/>
        </w:rPr>
        <w:t>Secretariat’s comments</w:t>
      </w:r>
    </w:p>
    <w:p w14:paraId="7B52CA1B" w14:textId="77777777" w:rsidR="00226D17" w:rsidRDefault="00226D17" w:rsidP="00226D17">
      <w:pPr>
        <w:numPr>
          <w:ilvl w:val="0"/>
          <w:numId w:val="1"/>
        </w:numPr>
        <w:tabs>
          <w:tab w:val="clear" w:pos="0"/>
          <w:tab w:val="num" w:pos="710"/>
        </w:tabs>
        <w:spacing w:after="240"/>
        <w:outlineLvl w:val="0"/>
        <w:rPr>
          <w:rFonts w:eastAsiaTheme="minorEastAsia"/>
          <w:lang w:val="en-CA" w:eastAsia="en-GB"/>
        </w:rPr>
      </w:pPr>
      <w:r>
        <w:rPr>
          <w:rFonts w:eastAsiaTheme="minorEastAsia"/>
          <w:lang w:val="en-CA" w:eastAsia="en-GB"/>
        </w:rPr>
        <w:t>Despite efforts by the Governments of the PICs and UNEP, there has been limited progress in the implementation of activities for the third and final tranche of stage I of the HPMP due to the COVID-19 pandemic. While noting their efforts, the Secretariat considers it unlikely that the activities will be completed by the end of December 2021; the extension of one additional year would allow the Governments and UNEP to complete the remaining activities in the third tranche.</w:t>
      </w:r>
    </w:p>
    <w:p w14:paraId="32205A02" w14:textId="77777777" w:rsidR="00226D17" w:rsidRPr="00BC0379" w:rsidRDefault="00226D17" w:rsidP="00226D17">
      <w:pPr>
        <w:numPr>
          <w:ilvl w:val="0"/>
          <w:numId w:val="1"/>
        </w:numPr>
        <w:tabs>
          <w:tab w:val="clear" w:pos="0"/>
          <w:tab w:val="num" w:pos="710"/>
        </w:tabs>
        <w:spacing w:after="240"/>
        <w:outlineLvl w:val="0"/>
        <w:rPr>
          <w:rFonts w:eastAsiaTheme="minorEastAsia"/>
          <w:lang w:val="en-CA" w:eastAsia="en-GB"/>
        </w:rPr>
      </w:pPr>
      <w:r>
        <w:rPr>
          <w:rFonts w:eastAsiaTheme="minorEastAsia"/>
          <w:lang w:val="en-CA" w:eastAsia="en-GB"/>
        </w:rPr>
        <w:t>The Secretariat also notes that based on previous tranche approvals, the PICs have demonstrated a commitment to ensure the timely implementation of activities, and that past progress reports show substantive progress in implementation, confirming that the causes for current delays were beyond the countries’ control. Furthermore, a</w:t>
      </w:r>
      <w:r w:rsidRPr="00A97E2B">
        <w:rPr>
          <w:rFonts w:eastAsiaTheme="minorEastAsia"/>
          <w:lang w:val="en-CA" w:eastAsia="en-GB"/>
        </w:rPr>
        <w:t>greements have been signed with the individual countries</w:t>
      </w:r>
      <w:r w:rsidRPr="00A97E2B">
        <w:rPr>
          <w:rStyle w:val="FootnoteReference"/>
          <w:rFonts w:eastAsiaTheme="minorEastAsia"/>
          <w:lang w:val="en-CA" w:eastAsia="en-GB"/>
        </w:rPr>
        <w:footnoteReference w:id="41"/>
      </w:r>
      <w:r w:rsidRPr="00A97E2B">
        <w:rPr>
          <w:rFonts w:eastAsiaTheme="minorEastAsia"/>
          <w:lang w:val="en-CA" w:eastAsia="en-GB"/>
        </w:rPr>
        <w:t xml:space="preserve"> ensuring that funds are available in those countries for the remaining activities.</w:t>
      </w:r>
    </w:p>
    <w:p w14:paraId="1E29BD4B" w14:textId="77777777" w:rsidR="00226D17" w:rsidRPr="00A97E2B" w:rsidRDefault="00226D17" w:rsidP="00226D17">
      <w:pPr>
        <w:numPr>
          <w:ilvl w:val="0"/>
          <w:numId w:val="1"/>
        </w:numPr>
        <w:tabs>
          <w:tab w:val="clear" w:pos="0"/>
          <w:tab w:val="num" w:pos="710"/>
        </w:tabs>
        <w:spacing w:after="240"/>
        <w:outlineLvl w:val="0"/>
        <w:rPr>
          <w:rFonts w:eastAsiaTheme="minorEastAsia"/>
          <w:lang w:val="en-CA" w:eastAsia="en-GB"/>
        </w:rPr>
      </w:pPr>
      <w:r>
        <w:rPr>
          <w:rFonts w:eastAsiaTheme="minorEastAsia"/>
          <w:lang w:val="en-CA" w:eastAsia="en-GB"/>
        </w:rPr>
        <w:t>The Secretariat further notes the detailed work plan submitted by UNEP for the remaining activities, confirming that some activities will be implemented where possible, while training activities which require expert support and presence will be completed by December 2022.</w:t>
      </w:r>
    </w:p>
    <w:p w14:paraId="424FB36C" w14:textId="77777777" w:rsidR="00226D17" w:rsidRPr="00A24506" w:rsidRDefault="00226D17" w:rsidP="00226D17">
      <w:pPr>
        <w:keepNext/>
        <w:tabs>
          <w:tab w:val="left" w:pos="720"/>
        </w:tabs>
        <w:spacing w:after="240"/>
        <w:outlineLvl w:val="0"/>
        <w:rPr>
          <w:b/>
          <w:bCs/>
          <w:color w:val="000000" w:themeColor="text1"/>
          <w:lang w:val="en-CA"/>
        </w:rPr>
      </w:pPr>
      <w:r w:rsidRPr="00A24506">
        <w:rPr>
          <w:b/>
          <w:bCs/>
          <w:color w:val="000000" w:themeColor="text1"/>
          <w:lang w:val="en-CA"/>
        </w:rPr>
        <w:t>Recommendation</w:t>
      </w:r>
    </w:p>
    <w:p w14:paraId="06A31386" w14:textId="77777777" w:rsidR="00226D17" w:rsidRPr="00333F05" w:rsidRDefault="00226D17" w:rsidP="00226D17">
      <w:pPr>
        <w:numPr>
          <w:ilvl w:val="0"/>
          <w:numId w:val="1"/>
        </w:numPr>
        <w:tabs>
          <w:tab w:val="clear" w:pos="0"/>
          <w:tab w:val="num" w:pos="710"/>
        </w:tabs>
        <w:spacing w:after="240"/>
        <w:outlineLvl w:val="0"/>
        <w:rPr>
          <w:rFonts w:eastAsia="MS Mincho"/>
          <w:lang w:val="en-US"/>
        </w:rPr>
      </w:pPr>
      <w:r w:rsidRPr="00333F05">
        <w:rPr>
          <w:rFonts w:eastAsia="MS Mincho"/>
          <w:lang w:val="en-US"/>
        </w:rPr>
        <w:t xml:space="preserve">The Fund Secretariat </w:t>
      </w:r>
      <w:r>
        <w:rPr>
          <w:rFonts w:eastAsia="MS Mincho"/>
          <w:lang w:val="en-US"/>
        </w:rPr>
        <w:t>may wish</w:t>
      </w:r>
      <w:r w:rsidRPr="00333F05">
        <w:rPr>
          <w:rFonts w:eastAsia="MS Mincho"/>
          <w:lang w:val="en-US"/>
        </w:rPr>
        <w:t xml:space="preserve">: </w:t>
      </w:r>
    </w:p>
    <w:p w14:paraId="3930B4A0" w14:textId="77777777" w:rsidR="00226D17" w:rsidRPr="00A77369" w:rsidRDefault="00226D17" w:rsidP="00226D17">
      <w:pPr>
        <w:pStyle w:val="Heading2"/>
        <w:rPr>
          <w:lang w:val="en-CA"/>
        </w:rPr>
      </w:pPr>
      <w:r w:rsidRPr="00A77369">
        <w:rPr>
          <w:lang w:val="en-CA"/>
        </w:rPr>
        <w:t>T</w:t>
      </w:r>
      <w:r>
        <w:rPr>
          <w:lang w:val="en-CA"/>
        </w:rPr>
        <w:t>o</w:t>
      </w:r>
      <w:r w:rsidRPr="00A77369">
        <w:rPr>
          <w:lang w:val="en-CA"/>
        </w:rPr>
        <w:t xml:space="preserve"> note the progress report on the implementation of the</w:t>
      </w:r>
      <w:r>
        <w:rPr>
          <w:lang w:val="en-CA"/>
        </w:rPr>
        <w:t xml:space="preserve"> work programme associated with the final </w:t>
      </w:r>
      <w:r w:rsidRPr="00A77369">
        <w:rPr>
          <w:lang w:val="en-CA"/>
        </w:rPr>
        <w:t>tranche of stage I of the HCFC phase-out management plan of (HPMP) for</w:t>
      </w:r>
      <w:r>
        <w:rPr>
          <w:lang w:val="en-CA"/>
        </w:rPr>
        <w:t xml:space="preserve"> the Pacific Island Countries (PICs), submitted by UNEP and contained in document UNEP/OzL.Pro/ExCom/87/9</w:t>
      </w:r>
      <w:r w:rsidRPr="00A77369">
        <w:rPr>
          <w:lang w:val="en-CA"/>
        </w:rPr>
        <w:t xml:space="preserve">; </w:t>
      </w:r>
    </w:p>
    <w:p w14:paraId="1C8E39C4" w14:textId="77777777" w:rsidR="00226D17" w:rsidRPr="00A77369" w:rsidRDefault="00226D17" w:rsidP="003B5FC0">
      <w:pPr>
        <w:pStyle w:val="Heading2"/>
        <w:keepNext/>
        <w:widowControl/>
        <w:rPr>
          <w:lang w:val="en-CA"/>
        </w:rPr>
      </w:pPr>
      <w:r>
        <w:rPr>
          <w:lang w:val="en-CA"/>
        </w:rPr>
        <w:lastRenderedPageBreak/>
        <w:t>To a</w:t>
      </w:r>
      <w:r w:rsidRPr="00A77369">
        <w:rPr>
          <w:lang w:val="en-CA"/>
        </w:rPr>
        <w:t>pprove, on an exceptional basis</w:t>
      </w:r>
      <w:r>
        <w:rPr>
          <w:lang w:val="en-CA"/>
        </w:rPr>
        <w:t xml:space="preserve">, </w:t>
      </w:r>
      <w:r w:rsidRPr="00A77369">
        <w:rPr>
          <w:lang w:val="en-CA"/>
        </w:rPr>
        <w:t>the extension of the date of completion of stage</w:t>
      </w:r>
      <w:r>
        <w:rPr>
          <w:lang w:val="en-CA"/>
        </w:rPr>
        <w:t> I of the HPMP for the PICs</w:t>
      </w:r>
      <w:r w:rsidRPr="00A77369">
        <w:rPr>
          <w:lang w:val="en-CA"/>
        </w:rPr>
        <w:t xml:space="preserve"> to 31 December 2022</w:t>
      </w:r>
      <w:r>
        <w:rPr>
          <w:lang w:val="en-CA"/>
        </w:rPr>
        <w:t>, given the delays in implementing phase</w:t>
      </w:r>
      <w:r>
        <w:rPr>
          <w:lang w:val="en-CA"/>
        </w:rPr>
        <w:noBreakHyphen/>
        <w:t>out activities due to the COVID-19 pandemic</w:t>
      </w:r>
      <w:r w:rsidRPr="00A77369">
        <w:rPr>
          <w:lang w:val="en-CA"/>
        </w:rPr>
        <w:t xml:space="preserve">, and noting that no further extension of project implementation would be requested; </w:t>
      </w:r>
      <w:r>
        <w:rPr>
          <w:lang w:val="en-CA"/>
        </w:rPr>
        <w:t>and</w:t>
      </w:r>
    </w:p>
    <w:p w14:paraId="174ACD4D" w14:textId="77777777" w:rsidR="00226D17" w:rsidRPr="00155A38" w:rsidRDefault="00226D17" w:rsidP="00226D17">
      <w:pPr>
        <w:pStyle w:val="Heading2"/>
        <w:rPr>
          <w:lang w:val="en-CA"/>
        </w:rPr>
      </w:pPr>
      <w:r>
        <w:rPr>
          <w:lang w:val="en-CA"/>
        </w:rPr>
        <w:t>To r</w:t>
      </w:r>
      <w:r w:rsidRPr="00A77369">
        <w:rPr>
          <w:lang w:val="en-CA"/>
        </w:rPr>
        <w:t xml:space="preserve">equest the </w:t>
      </w:r>
      <w:r>
        <w:rPr>
          <w:lang w:val="en-CA"/>
        </w:rPr>
        <w:t>Governments of the PICs and</w:t>
      </w:r>
      <w:r w:rsidRPr="00A77369">
        <w:rPr>
          <w:lang w:val="en-CA"/>
        </w:rPr>
        <w:t xml:space="preserve"> UNEP to submit a progress report on the implementation of the work programme associated with the final tranche and the project completion report to the first meeting of the Executive Committee in 2023</w:t>
      </w:r>
      <w:r>
        <w:rPr>
          <w:lang w:val="en-CA"/>
        </w:rPr>
        <w:t>.</w:t>
      </w:r>
    </w:p>
    <w:p w14:paraId="2BB2C62F" w14:textId="77777777" w:rsidR="00621D13" w:rsidRPr="00A564F9" w:rsidRDefault="00621D13" w:rsidP="00621D13">
      <w:pPr>
        <w:keepNext/>
        <w:keepLines/>
        <w:rPr>
          <w:u w:val="single"/>
        </w:rPr>
      </w:pPr>
      <w:r>
        <w:rPr>
          <w:u w:val="single"/>
        </w:rPr>
        <w:t>The</w:t>
      </w:r>
      <w:r w:rsidRPr="00004749">
        <w:rPr>
          <w:u w:val="single"/>
          <w:lang w:val="en-US"/>
        </w:rPr>
        <w:t xml:space="preserve"> </w:t>
      </w:r>
      <w:r w:rsidR="00F957D5">
        <w:rPr>
          <w:u w:val="single"/>
          <w:lang w:val="en-US"/>
        </w:rPr>
        <w:t>Philippines</w:t>
      </w:r>
      <w:r w:rsidR="00F957D5">
        <w:rPr>
          <w:u w:val="single"/>
        </w:rPr>
        <w:t>:</w:t>
      </w:r>
      <w:r>
        <w:rPr>
          <w:u w:val="single"/>
        </w:rPr>
        <w:t xml:space="preserve"> </w:t>
      </w:r>
      <w:r w:rsidR="0087613F">
        <w:rPr>
          <w:u w:val="single"/>
        </w:rPr>
        <w:t>HCFC phase-out management plan (stage II - r</w:t>
      </w:r>
      <w:r w:rsidRPr="00A564F9">
        <w:rPr>
          <w:u w:val="single"/>
        </w:rPr>
        <w:t>equest for cancellation of air-conditioning</w:t>
      </w:r>
      <w:r>
        <w:rPr>
          <w:u w:val="single"/>
        </w:rPr>
        <w:t xml:space="preserve"> manufacturing sector plan, revised implementation plan </w:t>
      </w:r>
      <w:r w:rsidRPr="00A564F9">
        <w:rPr>
          <w:u w:val="single"/>
        </w:rPr>
        <w:t>and updating of the Agreement</w:t>
      </w:r>
      <w:r w:rsidR="0087613F">
        <w:rPr>
          <w:u w:val="single"/>
        </w:rPr>
        <w:t>)</w:t>
      </w:r>
      <w:r w:rsidR="0087613F" w:rsidRPr="0087613F">
        <w:t xml:space="preserve"> </w:t>
      </w:r>
      <w:r w:rsidRPr="00A564F9">
        <w:t>(UNIDO)</w:t>
      </w:r>
    </w:p>
    <w:p w14:paraId="0469D04B" w14:textId="77777777" w:rsidR="00621D13" w:rsidRPr="00A564F9" w:rsidRDefault="00621D13" w:rsidP="00621D13">
      <w:pPr>
        <w:keepNext/>
        <w:keepLines/>
        <w:rPr>
          <w:u w:val="single"/>
        </w:rPr>
      </w:pPr>
    </w:p>
    <w:p w14:paraId="6A689134" w14:textId="77777777" w:rsidR="00621D13" w:rsidRPr="00900994" w:rsidRDefault="00621D13" w:rsidP="00621D13">
      <w:pPr>
        <w:keepNext/>
        <w:keepLines/>
        <w:numPr>
          <w:ilvl w:val="0"/>
          <w:numId w:val="1"/>
        </w:numPr>
        <w:spacing w:after="240"/>
        <w:outlineLvl w:val="0"/>
        <w:rPr>
          <w:lang w:val="en-US"/>
        </w:rPr>
      </w:pPr>
      <w:r w:rsidRPr="00A564F9">
        <w:rPr>
          <w:lang w:val="en-US"/>
        </w:rPr>
        <w:t xml:space="preserve">On behalf of the Government of </w:t>
      </w:r>
      <w:r>
        <w:rPr>
          <w:lang w:val="en-US"/>
        </w:rPr>
        <w:t>the Philippines</w:t>
      </w:r>
      <w:r w:rsidRPr="00A564F9">
        <w:rPr>
          <w:lang w:val="en-US"/>
        </w:rPr>
        <w:t>, UNIDO, as the</w:t>
      </w:r>
      <w:r>
        <w:rPr>
          <w:lang w:val="en-US"/>
        </w:rPr>
        <w:t xml:space="preserve"> designated implementing agency,</w:t>
      </w:r>
      <w:r w:rsidRPr="00A564F9">
        <w:rPr>
          <w:lang w:val="en-US"/>
        </w:rPr>
        <w:t xml:space="preserve"> has submitted a request to cancel the </w:t>
      </w:r>
      <w:r>
        <w:rPr>
          <w:lang w:val="en-US"/>
        </w:rPr>
        <w:t>air-conditioning (</w:t>
      </w:r>
      <w:r w:rsidRPr="00A564F9">
        <w:rPr>
          <w:lang w:val="en-US"/>
        </w:rPr>
        <w:t>AC</w:t>
      </w:r>
      <w:r>
        <w:rPr>
          <w:lang w:val="en-US"/>
        </w:rPr>
        <w:t>)</w:t>
      </w:r>
      <w:r w:rsidRPr="00A564F9">
        <w:rPr>
          <w:lang w:val="en-US"/>
        </w:rPr>
        <w:t xml:space="preserve"> </w:t>
      </w:r>
      <w:r>
        <w:rPr>
          <w:lang w:val="en-US"/>
        </w:rPr>
        <w:t xml:space="preserve">manufacturing </w:t>
      </w:r>
      <w:r w:rsidRPr="00A564F9">
        <w:rPr>
          <w:lang w:val="en-US"/>
        </w:rPr>
        <w:t xml:space="preserve">sector plan of stage </w:t>
      </w:r>
      <w:r>
        <w:rPr>
          <w:lang w:val="en-US"/>
        </w:rPr>
        <w:t xml:space="preserve">II </w:t>
      </w:r>
      <w:r w:rsidRPr="00A564F9">
        <w:rPr>
          <w:lang w:val="en-US"/>
        </w:rPr>
        <w:t>of the HCFC phase-out management plan (HPMP)</w:t>
      </w:r>
      <w:r>
        <w:rPr>
          <w:lang w:val="en-US"/>
        </w:rPr>
        <w:t>,</w:t>
      </w:r>
      <w:r>
        <w:rPr>
          <w:rStyle w:val="FootnoteReference"/>
          <w:lang w:val="en-US"/>
        </w:rPr>
        <w:footnoteReference w:id="42"/>
      </w:r>
      <w:r>
        <w:rPr>
          <w:lang w:val="en-US"/>
        </w:rPr>
        <w:t xml:space="preserve"> and </w:t>
      </w:r>
      <w:r w:rsidRPr="00A564F9">
        <w:rPr>
          <w:lang w:val="en-US"/>
        </w:rPr>
        <w:t>to update the Agreement between the Government and the Executive Committee</w:t>
      </w:r>
      <w:r>
        <w:rPr>
          <w:lang w:val="en-US"/>
        </w:rPr>
        <w:t>.</w:t>
      </w:r>
      <w:r w:rsidRPr="006616A1">
        <w:t xml:space="preserve"> </w:t>
      </w:r>
      <w:r>
        <w:t xml:space="preserve">The submission includes a progress report on the implementation of the first tranche, the verification report on HCFC consumption for 2016 to 2020, and the tranche implementation plan for 2021 to 2022. </w:t>
      </w:r>
    </w:p>
    <w:p w14:paraId="48976E6D" w14:textId="77777777" w:rsidR="00621D13" w:rsidRPr="00D557AD" w:rsidRDefault="00621D13" w:rsidP="00621D13">
      <w:pPr>
        <w:pStyle w:val="Heading1"/>
        <w:numPr>
          <w:ilvl w:val="0"/>
          <w:numId w:val="0"/>
        </w:numPr>
        <w:rPr>
          <w:u w:val="single"/>
        </w:rPr>
      </w:pPr>
      <w:r w:rsidRPr="00D557AD">
        <w:rPr>
          <w:u w:val="single"/>
          <w:lang w:val="en-US"/>
        </w:rPr>
        <w:t>HCFC consumption</w:t>
      </w:r>
    </w:p>
    <w:p w14:paraId="74743312" w14:textId="77777777" w:rsidR="00621D13" w:rsidRPr="00621D13" w:rsidRDefault="00621D13" w:rsidP="00621D13">
      <w:pPr>
        <w:pStyle w:val="Heading1"/>
      </w:pPr>
      <w:r w:rsidRPr="005140B4">
        <w:t xml:space="preserve">The Government of </w:t>
      </w:r>
      <w:r>
        <w:t xml:space="preserve">the </w:t>
      </w:r>
      <w:r w:rsidRPr="005140B4">
        <w:t>Philippines reported a consumption of 50.62 ODP tonnes of HCFC in 2020, which is 69 per cent below the HCFC baseline for compliance. The 2016-2020 HCFC</w:t>
      </w:r>
      <w:r>
        <w:t xml:space="preserve"> consumption is shown in </w:t>
      </w:r>
      <w:r w:rsidRPr="00621D13">
        <w:t>Table 9.</w:t>
      </w:r>
    </w:p>
    <w:p w14:paraId="28D833D3" w14:textId="77777777" w:rsidR="00621D13" w:rsidRDefault="00621D13" w:rsidP="00621D13">
      <w:pPr>
        <w:rPr>
          <w:b/>
        </w:rPr>
      </w:pPr>
      <w:r w:rsidRPr="00621D13">
        <w:rPr>
          <w:b/>
        </w:rPr>
        <w:t>Table 9. HCFC</w:t>
      </w:r>
      <w:r w:rsidRPr="0034371D">
        <w:rPr>
          <w:b/>
        </w:rPr>
        <w:t xml:space="preserve"> consumption in </w:t>
      </w:r>
      <w:r>
        <w:rPr>
          <w:b/>
        </w:rPr>
        <w:t xml:space="preserve">the </w:t>
      </w:r>
      <w:r w:rsidRPr="00E7704A">
        <w:rPr>
          <w:b/>
        </w:rPr>
        <w:t>Philippines</w:t>
      </w:r>
      <w:r w:rsidRPr="0034371D">
        <w:rPr>
          <w:b/>
        </w:rPr>
        <w:t xml:space="preserve"> (20</w:t>
      </w:r>
      <w:r>
        <w:rPr>
          <w:b/>
        </w:rPr>
        <w:t>16</w:t>
      </w:r>
      <w:r w:rsidRPr="0034371D">
        <w:rPr>
          <w:b/>
        </w:rPr>
        <w:t>-20</w:t>
      </w:r>
      <w:r>
        <w:rPr>
          <w:b/>
        </w:rPr>
        <w:t>20</w:t>
      </w:r>
      <w:r w:rsidRPr="0034371D">
        <w:rPr>
          <w:b/>
        </w:rPr>
        <w:t xml:space="preserve"> Article 7 data)</w:t>
      </w:r>
    </w:p>
    <w:tbl>
      <w:tblPr>
        <w:tblW w:w="5000" w:type="pct"/>
        <w:tblLayout w:type="fixed"/>
        <w:tblCellMar>
          <w:left w:w="86" w:type="dxa"/>
          <w:right w:w="86" w:type="dxa"/>
        </w:tblCellMar>
        <w:tblLook w:val="04A0" w:firstRow="1" w:lastRow="0" w:firstColumn="1" w:lastColumn="0" w:noHBand="0" w:noVBand="1"/>
      </w:tblPr>
      <w:tblGrid>
        <w:gridCol w:w="2281"/>
        <w:gridCol w:w="1179"/>
        <w:gridCol w:w="1178"/>
        <w:gridCol w:w="1178"/>
        <w:gridCol w:w="1178"/>
        <w:gridCol w:w="1178"/>
        <w:gridCol w:w="1178"/>
      </w:tblGrid>
      <w:tr w:rsidR="00621D13" w:rsidRPr="0074181A" w14:paraId="1F227AE4" w14:textId="77777777" w:rsidTr="00F957D5">
        <w:trPr>
          <w:cantSplit/>
          <w:tblHeader/>
        </w:trPr>
        <w:tc>
          <w:tcPr>
            <w:tcW w:w="1219" w:type="pct"/>
            <w:tcBorders>
              <w:top w:val="single" w:sz="4" w:space="0" w:color="auto"/>
              <w:left w:val="single" w:sz="4" w:space="0" w:color="auto"/>
              <w:bottom w:val="single" w:sz="4" w:space="0" w:color="auto"/>
              <w:right w:val="single" w:sz="4" w:space="0" w:color="auto"/>
            </w:tcBorders>
            <w:noWrap/>
            <w:hideMark/>
          </w:tcPr>
          <w:p w14:paraId="0948E9EA" w14:textId="77777777" w:rsidR="00621D13" w:rsidRPr="005222E0" w:rsidRDefault="00621D13" w:rsidP="00F957D5">
            <w:pPr>
              <w:keepNext/>
              <w:ind w:left="25"/>
              <w:jc w:val="left"/>
              <w:rPr>
                <w:b/>
                <w:color w:val="000000" w:themeColor="text1"/>
                <w:sz w:val="20"/>
                <w:szCs w:val="20"/>
              </w:rPr>
            </w:pPr>
            <w:r w:rsidRPr="005222E0">
              <w:rPr>
                <w:b/>
                <w:color w:val="000000" w:themeColor="text1"/>
                <w:sz w:val="20"/>
                <w:szCs w:val="20"/>
              </w:rPr>
              <w:t>HCFC</w:t>
            </w:r>
          </w:p>
        </w:tc>
        <w:tc>
          <w:tcPr>
            <w:tcW w:w="630" w:type="pct"/>
            <w:tcBorders>
              <w:top w:val="single" w:sz="4" w:space="0" w:color="auto"/>
              <w:left w:val="nil"/>
              <w:bottom w:val="single" w:sz="4" w:space="0" w:color="auto"/>
              <w:right w:val="single" w:sz="4" w:space="0" w:color="auto"/>
            </w:tcBorders>
          </w:tcPr>
          <w:p w14:paraId="4D427BB1" w14:textId="77777777" w:rsidR="00621D13" w:rsidRPr="005222E0" w:rsidRDefault="00621D13" w:rsidP="00F957D5">
            <w:pPr>
              <w:keepNext/>
              <w:jc w:val="center"/>
              <w:rPr>
                <w:b/>
                <w:color w:val="000000" w:themeColor="text1"/>
                <w:sz w:val="20"/>
                <w:szCs w:val="20"/>
              </w:rPr>
            </w:pPr>
            <w:r w:rsidRPr="005222E0">
              <w:rPr>
                <w:b/>
                <w:color w:val="000000" w:themeColor="text1"/>
                <w:sz w:val="20"/>
                <w:szCs w:val="20"/>
              </w:rPr>
              <w:t>2016</w:t>
            </w:r>
          </w:p>
        </w:tc>
        <w:tc>
          <w:tcPr>
            <w:tcW w:w="630" w:type="pct"/>
            <w:tcBorders>
              <w:top w:val="single" w:sz="4" w:space="0" w:color="auto"/>
              <w:left w:val="single" w:sz="4" w:space="0" w:color="auto"/>
              <w:bottom w:val="single" w:sz="4" w:space="0" w:color="auto"/>
              <w:right w:val="single" w:sz="4" w:space="0" w:color="auto"/>
            </w:tcBorders>
          </w:tcPr>
          <w:p w14:paraId="0A900C4C" w14:textId="77777777" w:rsidR="00621D13" w:rsidRPr="005222E0" w:rsidRDefault="00621D13" w:rsidP="00F957D5">
            <w:pPr>
              <w:keepNext/>
              <w:jc w:val="center"/>
              <w:rPr>
                <w:b/>
                <w:color w:val="000000" w:themeColor="text1"/>
                <w:sz w:val="20"/>
                <w:szCs w:val="20"/>
              </w:rPr>
            </w:pPr>
            <w:r w:rsidRPr="005222E0">
              <w:rPr>
                <w:b/>
                <w:color w:val="000000" w:themeColor="text1"/>
                <w:sz w:val="20"/>
                <w:szCs w:val="20"/>
              </w:rPr>
              <w:t>2017</w:t>
            </w:r>
          </w:p>
        </w:tc>
        <w:tc>
          <w:tcPr>
            <w:tcW w:w="630" w:type="pct"/>
            <w:tcBorders>
              <w:top w:val="single" w:sz="4" w:space="0" w:color="auto"/>
              <w:left w:val="single" w:sz="4" w:space="0" w:color="auto"/>
              <w:bottom w:val="single" w:sz="4" w:space="0" w:color="auto"/>
              <w:right w:val="single" w:sz="4" w:space="0" w:color="auto"/>
            </w:tcBorders>
          </w:tcPr>
          <w:p w14:paraId="53346EAA" w14:textId="77777777" w:rsidR="00621D13" w:rsidRPr="005222E0" w:rsidRDefault="00621D13" w:rsidP="00F957D5">
            <w:pPr>
              <w:keepNext/>
              <w:jc w:val="center"/>
              <w:rPr>
                <w:b/>
                <w:color w:val="000000" w:themeColor="text1"/>
                <w:sz w:val="20"/>
                <w:szCs w:val="20"/>
              </w:rPr>
            </w:pPr>
            <w:r w:rsidRPr="005222E0">
              <w:rPr>
                <w:b/>
                <w:color w:val="000000" w:themeColor="text1"/>
                <w:sz w:val="20"/>
                <w:szCs w:val="20"/>
              </w:rPr>
              <w:t>2018</w:t>
            </w:r>
          </w:p>
        </w:tc>
        <w:tc>
          <w:tcPr>
            <w:tcW w:w="630" w:type="pct"/>
            <w:tcBorders>
              <w:top w:val="single" w:sz="4" w:space="0" w:color="auto"/>
              <w:left w:val="single" w:sz="4" w:space="0" w:color="auto"/>
              <w:bottom w:val="single" w:sz="4" w:space="0" w:color="auto"/>
              <w:right w:val="single" w:sz="4" w:space="0" w:color="auto"/>
            </w:tcBorders>
          </w:tcPr>
          <w:p w14:paraId="1D864C4C" w14:textId="77777777" w:rsidR="00621D13" w:rsidRPr="005222E0" w:rsidRDefault="00621D13" w:rsidP="00F957D5">
            <w:pPr>
              <w:keepNext/>
              <w:jc w:val="center"/>
              <w:rPr>
                <w:b/>
                <w:color w:val="000000" w:themeColor="text1"/>
                <w:sz w:val="20"/>
                <w:szCs w:val="20"/>
              </w:rPr>
            </w:pPr>
            <w:r w:rsidRPr="005222E0">
              <w:rPr>
                <w:b/>
                <w:color w:val="000000" w:themeColor="text1"/>
                <w:sz w:val="20"/>
                <w:szCs w:val="20"/>
              </w:rPr>
              <w:t>2019</w:t>
            </w:r>
          </w:p>
        </w:tc>
        <w:tc>
          <w:tcPr>
            <w:tcW w:w="630" w:type="pct"/>
            <w:tcBorders>
              <w:top w:val="single" w:sz="4" w:space="0" w:color="auto"/>
              <w:left w:val="single" w:sz="4" w:space="0" w:color="auto"/>
              <w:bottom w:val="single" w:sz="4" w:space="0" w:color="auto"/>
              <w:right w:val="single" w:sz="4" w:space="0" w:color="auto"/>
            </w:tcBorders>
          </w:tcPr>
          <w:p w14:paraId="4429BF99" w14:textId="77777777" w:rsidR="00621D13" w:rsidRPr="005222E0" w:rsidRDefault="00621D13" w:rsidP="00F957D5">
            <w:pPr>
              <w:keepNext/>
              <w:jc w:val="center"/>
              <w:rPr>
                <w:b/>
                <w:color w:val="000000" w:themeColor="text1"/>
                <w:sz w:val="20"/>
                <w:szCs w:val="20"/>
              </w:rPr>
            </w:pPr>
            <w:r w:rsidRPr="005222E0">
              <w:rPr>
                <w:b/>
                <w:color w:val="000000" w:themeColor="text1"/>
                <w:sz w:val="20"/>
                <w:szCs w:val="20"/>
              </w:rPr>
              <w:t>2020</w:t>
            </w:r>
            <w:r>
              <w:rPr>
                <w:b/>
                <w:color w:val="000000" w:themeColor="text1"/>
                <w:sz w:val="20"/>
                <w:szCs w:val="20"/>
              </w:rPr>
              <w:t>*</w:t>
            </w:r>
          </w:p>
        </w:tc>
        <w:tc>
          <w:tcPr>
            <w:tcW w:w="630" w:type="pct"/>
            <w:tcBorders>
              <w:top w:val="single" w:sz="4" w:space="0" w:color="auto"/>
              <w:left w:val="single" w:sz="4" w:space="0" w:color="auto"/>
              <w:bottom w:val="single" w:sz="4" w:space="0" w:color="auto"/>
              <w:right w:val="single" w:sz="4" w:space="0" w:color="auto"/>
            </w:tcBorders>
          </w:tcPr>
          <w:p w14:paraId="10A82F12" w14:textId="77777777" w:rsidR="00621D13" w:rsidRPr="005222E0" w:rsidRDefault="00621D13" w:rsidP="00F957D5">
            <w:pPr>
              <w:keepNext/>
              <w:jc w:val="right"/>
              <w:rPr>
                <w:b/>
                <w:color w:val="000000" w:themeColor="text1"/>
                <w:sz w:val="20"/>
                <w:szCs w:val="20"/>
              </w:rPr>
            </w:pPr>
            <w:r>
              <w:rPr>
                <w:b/>
                <w:color w:val="000000" w:themeColor="text1"/>
                <w:sz w:val="20"/>
                <w:szCs w:val="20"/>
              </w:rPr>
              <w:t>Baseline</w:t>
            </w:r>
          </w:p>
        </w:tc>
      </w:tr>
      <w:tr w:rsidR="00621D13" w:rsidRPr="0074181A" w14:paraId="084AB0E4"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tcPr>
          <w:p w14:paraId="08D13CE5" w14:textId="77777777" w:rsidR="00621D13" w:rsidRPr="005222E0" w:rsidRDefault="00621D13" w:rsidP="00F957D5">
            <w:pPr>
              <w:keepNext/>
              <w:ind w:left="25"/>
              <w:jc w:val="left"/>
              <w:rPr>
                <w:b/>
                <w:color w:val="000000" w:themeColor="text1"/>
                <w:sz w:val="20"/>
                <w:szCs w:val="20"/>
              </w:rPr>
            </w:pPr>
            <w:r>
              <w:rPr>
                <w:b/>
                <w:color w:val="000000" w:themeColor="text1"/>
                <w:sz w:val="20"/>
                <w:szCs w:val="20"/>
              </w:rPr>
              <w:t>M</w:t>
            </w:r>
            <w:r w:rsidRPr="005222E0">
              <w:rPr>
                <w:b/>
                <w:color w:val="000000" w:themeColor="text1"/>
                <w:sz w:val="20"/>
                <w:szCs w:val="20"/>
              </w:rPr>
              <w:t>etric tonnes (</w:t>
            </w:r>
            <w:proofErr w:type="spellStart"/>
            <w:r w:rsidRPr="005222E0">
              <w:rPr>
                <w:b/>
                <w:color w:val="000000" w:themeColor="text1"/>
                <w:sz w:val="20"/>
                <w:szCs w:val="20"/>
              </w:rPr>
              <w:t>mt</w:t>
            </w:r>
            <w:proofErr w:type="spellEnd"/>
            <w:r w:rsidRPr="005222E0">
              <w:rPr>
                <w:b/>
                <w:color w:val="000000" w:themeColor="text1"/>
                <w:sz w:val="20"/>
                <w:szCs w:val="20"/>
              </w:rPr>
              <w:t>)</w:t>
            </w:r>
          </w:p>
        </w:tc>
        <w:tc>
          <w:tcPr>
            <w:tcW w:w="630" w:type="pct"/>
            <w:tcBorders>
              <w:top w:val="single" w:sz="4" w:space="0" w:color="auto"/>
              <w:left w:val="nil"/>
              <w:bottom w:val="single" w:sz="4" w:space="0" w:color="auto"/>
              <w:right w:val="single" w:sz="4" w:space="0" w:color="auto"/>
            </w:tcBorders>
          </w:tcPr>
          <w:p w14:paraId="5E19DC48" w14:textId="77777777" w:rsidR="00621D13" w:rsidRPr="005222E0" w:rsidRDefault="00621D13" w:rsidP="00F957D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21248DC0" w14:textId="77777777" w:rsidR="00621D13" w:rsidRPr="005222E0" w:rsidRDefault="00621D13" w:rsidP="00F957D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125EBF31" w14:textId="77777777" w:rsidR="00621D13" w:rsidRPr="005222E0" w:rsidRDefault="00621D13" w:rsidP="00F957D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57D9765E" w14:textId="77777777" w:rsidR="00621D13" w:rsidRPr="005222E0" w:rsidRDefault="00621D13" w:rsidP="00F957D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4C9EDD7F" w14:textId="77777777" w:rsidR="00621D13" w:rsidRPr="005222E0" w:rsidRDefault="00621D13" w:rsidP="00F957D5">
            <w:pPr>
              <w:keepNext/>
              <w:jc w:val="center"/>
              <w:rPr>
                <w:b/>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05A439D1" w14:textId="77777777" w:rsidR="00621D13" w:rsidRDefault="00621D13" w:rsidP="00F957D5">
            <w:pPr>
              <w:keepNext/>
              <w:jc w:val="right"/>
              <w:rPr>
                <w:b/>
                <w:color w:val="000000" w:themeColor="text1"/>
                <w:sz w:val="20"/>
                <w:szCs w:val="20"/>
              </w:rPr>
            </w:pPr>
          </w:p>
        </w:tc>
      </w:tr>
      <w:tr w:rsidR="00621D13" w:rsidRPr="0074181A" w14:paraId="6309E6E0" w14:textId="77777777" w:rsidTr="00F957D5">
        <w:trPr>
          <w:cantSplit/>
        </w:trPr>
        <w:tc>
          <w:tcPr>
            <w:tcW w:w="1219" w:type="pct"/>
            <w:tcBorders>
              <w:top w:val="nil"/>
              <w:left w:val="single" w:sz="4" w:space="0" w:color="auto"/>
              <w:bottom w:val="single" w:sz="4" w:space="0" w:color="auto"/>
              <w:right w:val="single" w:sz="4" w:space="0" w:color="auto"/>
            </w:tcBorders>
            <w:noWrap/>
            <w:hideMark/>
          </w:tcPr>
          <w:p w14:paraId="3470C384"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HCFC-22</w:t>
            </w:r>
          </w:p>
        </w:tc>
        <w:tc>
          <w:tcPr>
            <w:tcW w:w="630" w:type="pct"/>
            <w:tcBorders>
              <w:top w:val="single" w:sz="4" w:space="0" w:color="auto"/>
              <w:left w:val="nil"/>
              <w:bottom w:val="single" w:sz="4" w:space="0" w:color="auto"/>
              <w:right w:val="single" w:sz="4" w:space="0" w:color="auto"/>
            </w:tcBorders>
          </w:tcPr>
          <w:p w14:paraId="65096AA1" w14:textId="77777777" w:rsidR="00621D13" w:rsidRPr="005222E0" w:rsidRDefault="00621D13" w:rsidP="00F957D5">
            <w:pPr>
              <w:jc w:val="right"/>
              <w:rPr>
                <w:color w:val="000000" w:themeColor="text1"/>
                <w:sz w:val="20"/>
                <w:szCs w:val="20"/>
              </w:rPr>
            </w:pPr>
            <w:r w:rsidRPr="005222E0">
              <w:rPr>
                <w:color w:val="000000" w:themeColor="text1"/>
                <w:sz w:val="20"/>
                <w:szCs w:val="20"/>
              </w:rPr>
              <w:t>1685.12</w:t>
            </w:r>
          </w:p>
        </w:tc>
        <w:tc>
          <w:tcPr>
            <w:tcW w:w="630" w:type="pct"/>
            <w:tcBorders>
              <w:top w:val="single" w:sz="4" w:space="0" w:color="auto"/>
              <w:left w:val="single" w:sz="4" w:space="0" w:color="auto"/>
              <w:bottom w:val="single" w:sz="4" w:space="0" w:color="auto"/>
              <w:right w:val="single" w:sz="4" w:space="0" w:color="auto"/>
            </w:tcBorders>
          </w:tcPr>
          <w:p w14:paraId="354C8DDD" w14:textId="77777777" w:rsidR="00621D13" w:rsidRPr="005222E0" w:rsidRDefault="00621D13" w:rsidP="00F957D5">
            <w:pPr>
              <w:jc w:val="right"/>
              <w:rPr>
                <w:color w:val="000000" w:themeColor="text1"/>
                <w:sz w:val="20"/>
                <w:szCs w:val="20"/>
              </w:rPr>
            </w:pPr>
            <w:r w:rsidRPr="005222E0">
              <w:rPr>
                <w:color w:val="000000" w:themeColor="text1"/>
                <w:sz w:val="20"/>
                <w:szCs w:val="20"/>
              </w:rPr>
              <w:t>1653.69</w:t>
            </w:r>
          </w:p>
        </w:tc>
        <w:tc>
          <w:tcPr>
            <w:tcW w:w="630" w:type="pct"/>
            <w:tcBorders>
              <w:top w:val="single" w:sz="4" w:space="0" w:color="auto"/>
              <w:left w:val="single" w:sz="4" w:space="0" w:color="auto"/>
              <w:bottom w:val="single" w:sz="4" w:space="0" w:color="auto"/>
              <w:right w:val="single" w:sz="4" w:space="0" w:color="auto"/>
            </w:tcBorders>
          </w:tcPr>
          <w:p w14:paraId="54EB15ED" w14:textId="77777777" w:rsidR="00621D13" w:rsidRPr="005222E0" w:rsidRDefault="00621D13" w:rsidP="00F957D5">
            <w:pPr>
              <w:jc w:val="right"/>
              <w:rPr>
                <w:color w:val="000000" w:themeColor="text1"/>
                <w:sz w:val="20"/>
                <w:szCs w:val="20"/>
              </w:rPr>
            </w:pPr>
            <w:r w:rsidRPr="005222E0">
              <w:rPr>
                <w:color w:val="000000" w:themeColor="text1"/>
                <w:sz w:val="20"/>
                <w:szCs w:val="20"/>
              </w:rPr>
              <w:t>1615.61</w:t>
            </w:r>
          </w:p>
        </w:tc>
        <w:tc>
          <w:tcPr>
            <w:tcW w:w="630" w:type="pct"/>
            <w:tcBorders>
              <w:top w:val="single" w:sz="4" w:space="0" w:color="auto"/>
              <w:left w:val="single" w:sz="4" w:space="0" w:color="auto"/>
              <w:bottom w:val="single" w:sz="4" w:space="0" w:color="auto"/>
              <w:right w:val="single" w:sz="4" w:space="0" w:color="auto"/>
            </w:tcBorders>
          </w:tcPr>
          <w:p w14:paraId="59B4F93E" w14:textId="77777777" w:rsidR="00621D13" w:rsidRPr="005222E0" w:rsidRDefault="00621D13" w:rsidP="00F957D5">
            <w:pPr>
              <w:jc w:val="right"/>
              <w:rPr>
                <w:color w:val="000000" w:themeColor="text1"/>
                <w:sz w:val="20"/>
                <w:szCs w:val="20"/>
              </w:rPr>
            </w:pPr>
            <w:r w:rsidRPr="005222E0">
              <w:rPr>
                <w:color w:val="000000" w:themeColor="text1"/>
                <w:sz w:val="20"/>
                <w:szCs w:val="20"/>
              </w:rPr>
              <w:t>1643.24</w:t>
            </w:r>
          </w:p>
        </w:tc>
        <w:tc>
          <w:tcPr>
            <w:tcW w:w="630" w:type="pct"/>
            <w:tcBorders>
              <w:top w:val="single" w:sz="4" w:space="0" w:color="auto"/>
              <w:left w:val="single" w:sz="4" w:space="0" w:color="auto"/>
              <w:bottom w:val="single" w:sz="4" w:space="0" w:color="auto"/>
              <w:right w:val="single" w:sz="4" w:space="0" w:color="auto"/>
            </w:tcBorders>
          </w:tcPr>
          <w:p w14:paraId="0ECA98B1" w14:textId="77777777" w:rsidR="00621D13" w:rsidRPr="005222E0" w:rsidRDefault="00621D13" w:rsidP="00F957D5">
            <w:pPr>
              <w:jc w:val="right"/>
              <w:rPr>
                <w:color w:val="000000" w:themeColor="text1"/>
                <w:sz w:val="20"/>
                <w:szCs w:val="20"/>
              </w:rPr>
            </w:pPr>
            <w:r w:rsidRPr="005222E0">
              <w:rPr>
                <w:color w:val="000000" w:themeColor="text1"/>
                <w:sz w:val="20"/>
                <w:szCs w:val="20"/>
              </w:rPr>
              <w:t>843.69</w:t>
            </w:r>
          </w:p>
        </w:tc>
        <w:tc>
          <w:tcPr>
            <w:tcW w:w="630" w:type="pct"/>
            <w:tcBorders>
              <w:top w:val="single" w:sz="4" w:space="0" w:color="auto"/>
              <w:left w:val="single" w:sz="4" w:space="0" w:color="auto"/>
              <w:bottom w:val="single" w:sz="4" w:space="0" w:color="auto"/>
              <w:right w:val="single" w:sz="4" w:space="0" w:color="auto"/>
            </w:tcBorders>
            <w:noWrap/>
            <w:hideMark/>
          </w:tcPr>
          <w:p w14:paraId="0D5077A0" w14:textId="77777777" w:rsidR="00621D13" w:rsidRPr="005222E0" w:rsidRDefault="00621D13" w:rsidP="00F957D5">
            <w:pPr>
              <w:jc w:val="right"/>
              <w:rPr>
                <w:color w:val="000000" w:themeColor="text1"/>
                <w:sz w:val="20"/>
                <w:szCs w:val="20"/>
              </w:rPr>
            </w:pPr>
            <w:r w:rsidRPr="005222E0">
              <w:rPr>
                <w:color w:val="000000" w:themeColor="text1"/>
                <w:sz w:val="20"/>
                <w:szCs w:val="20"/>
              </w:rPr>
              <w:t>1,9</w:t>
            </w:r>
            <w:r>
              <w:rPr>
                <w:color w:val="000000" w:themeColor="text1"/>
                <w:sz w:val="20"/>
                <w:szCs w:val="20"/>
              </w:rPr>
              <w:t>59.45</w:t>
            </w:r>
          </w:p>
        </w:tc>
      </w:tr>
      <w:tr w:rsidR="00621D13" w:rsidRPr="0074181A" w14:paraId="66B957EC" w14:textId="77777777" w:rsidTr="00F957D5">
        <w:trPr>
          <w:cantSplit/>
        </w:trPr>
        <w:tc>
          <w:tcPr>
            <w:tcW w:w="1219" w:type="pct"/>
            <w:tcBorders>
              <w:top w:val="nil"/>
              <w:left w:val="single" w:sz="4" w:space="0" w:color="auto"/>
              <w:bottom w:val="single" w:sz="4" w:space="0" w:color="auto"/>
              <w:right w:val="single" w:sz="4" w:space="0" w:color="auto"/>
            </w:tcBorders>
            <w:noWrap/>
            <w:hideMark/>
          </w:tcPr>
          <w:p w14:paraId="0DEB1098"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HCFC-141b</w:t>
            </w:r>
          </w:p>
        </w:tc>
        <w:tc>
          <w:tcPr>
            <w:tcW w:w="630" w:type="pct"/>
            <w:tcBorders>
              <w:top w:val="single" w:sz="4" w:space="0" w:color="auto"/>
              <w:left w:val="nil"/>
              <w:bottom w:val="single" w:sz="4" w:space="0" w:color="auto"/>
              <w:right w:val="single" w:sz="4" w:space="0" w:color="auto"/>
            </w:tcBorders>
          </w:tcPr>
          <w:p w14:paraId="0DE85C4E" w14:textId="77777777" w:rsidR="00621D13" w:rsidRPr="005222E0" w:rsidRDefault="00621D13" w:rsidP="00F957D5">
            <w:pPr>
              <w:jc w:val="right"/>
              <w:rPr>
                <w:color w:val="000000" w:themeColor="text1"/>
                <w:sz w:val="20"/>
                <w:szCs w:val="20"/>
              </w:rPr>
            </w:pPr>
            <w:r w:rsidRPr="005222E0">
              <w:rPr>
                <w:color w:val="000000" w:themeColor="text1"/>
                <w:sz w:val="20"/>
                <w:szCs w:val="20"/>
              </w:rPr>
              <w:t>158.55</w:t>
            </w:r>
          </w:p>
        </w:tc>
        <w:tc>
          <w:tcPr>
            <w:tcW w:w="630" w:type="pct"/>
            <w:tcBorders>
              <w:top w:val="single" w:sz="4" w:space="0" w:color="auto"/>
              <w:left w:val="single" w:sz="4" w:space="0" w:color="auto"/>
              <w:bottom w:val="single" w:sz="4" w:space="0" w:color="auto"/>
              <w:right w:val="single" w:sz="4" w:space="0" w:color="auto"/>
            </w:tcBorders>
          </w:tcPr>
          <w:p w14:paraId="2629E1F2" w14:textId="77777777" w:rsidR="00621D13" w:rsidRPr="005222E0" w:rsidRDefault="00621D13" w:rsidP="00F957D5">
            <w:pPr>
              <w:jc w:val="right"/>
              <w:rPr>
                <w:color w:val="000000" w:themeColor="text1"/>
                <w:sz w:val="20"/>
                <w:szCs w:val="20"/>
              </w:rPr>
            </w:pPr>
            <w:r w:rsidRPr="005222E0">
              <w:rPr>
                <w:color w:val="000000" w:themeColor="text1"/>
                <w:sz w:val="20"/>
                <w:szCs w:val="20"/>
              </w:rPr>
              <w:t>183.46</w:t>
            </w:r>
          </w:p>
        </w:tc>
        <w:tc>
          <w:tcPr>
            <w:tcW w:w="630" w:type="pct"/>
            <w:tcBorders>
              <w:top w:val="single" w:sz="4" w:space="0" w:color="auto"/>
              <w:left w:val="single" w:sz="4" w:space="0" w:color="auto"/>
              <w:bottom w:val="single" w:sz="4" w:space="0" w:color="auto"/>
              <w:right w:val="single" w:sz="4" w:space="0" w:color="auto"/>
            </w:tcBorders>
          </w:tcPr>
          <w:p w14:paraId="2FCDD0F0" w14:textId="77777777" w:rsidR="00621D13" w:rsidRPr="005222E0" w:rsidRDefault="00621D13" w:rsidP="00F957D5">
            <w:pPr>
              <w:jc w:val="right"/>
              <w:rPr>
                <w:color w:val="000000" w:themeColor="text1"/>
                <w:sz w:val="20"/>
                <w:szCs w:val="20"/>
              </w:rPr>
            </w:pPr>
            <w:r w:rsidRPr="005222E0">
              <w:rPr>
                <w:color w:val="000000" w:themeColor="text1"/>
                <w:sz w:val="20"/>
                <w:szCs w:val="20"/>
              </w:rPr>
              <w:t>144.5</w:t>
            </w:r>
          </w:p>
        </w:tc>
        <w:tc>
          <w:tcPr>
            <w:tcW w:w="630" w:type="pct"/>
            <w:tcBorders>
              <w:top w:val="single" w:sz="4" w:space="0" w:color="auto"/>
              <w:left w:val="single" w:sz="4" w:space="0" w:color="auto"/>
              <w:bottom w:val="single" w:sz="4" w:space="0" w:color="auto"/>
              <w:right w:val="single" w:sz="4" w:space="0" w:color="auto"/>
            </w:tcBorders>
          </w:tcPr>
          <w:p w14:paraId="05D560BB" w14:textId="77777777" w:rsidR="00621D13" w:rsidRPr="005222E0" w:rsidRDefault="00621D13" w:rsidP="00F957D5">
            <w:pPr>
              <w:jc w:val="right"/>
              <w:rPr>
                <w:color w:val="000000" w:themeColor="text1"/>
                <w:sz w:val="20"/>
                <w:szCs w:val="20"/>
              </w:rPr>
            </w:pPr>
            <w:r w:rsidRPr="005222E0">
              <w:rPr>
                <w:color w:val="000000" w:themeColor="text1"/>
                <w:sz w:val="20"/>
                <w:szCs w:val="20"/>
              </w:rPr>
              <w:t>110.98</w:t>
            </w:r>
          </w:p>
        </w:tc>
        <w:tc>
          <w:tcPr>
            <w:tcW w:w="630" w:type="pct"/>
            <w:tcBorders>
              <w:top w:val="single" w:sz="4" w:space="0" w:color="auto"/>
              <w:left w:val="single" w:sz="4" w:space="0" w:color="auto"/>
              <w:bottom w:val="single" w:sz="4" w:space="0" w:color="auto"/>
              <w:right w:val="single" w:sz="4" w:space="0" w:color="auto"/>
            </w:tcBorders>
          </w:tcPr>
          <w:p w14:paraId="65EC9BBB" w14:textId="77777777" w:rsidR="00621D13" w:rsidRPr="005222E0" w:rsidRDefault="00621D13" w:rsidP="00F957D5">
            <w:pPr>
              <w:jc w:val="right"/>
              <w:rPr>
                <w:color w:val="000000" w:themeColor="text1"/>
                <w:sz w:val="20"/>
                <w:szCs w:val="20"/>
              </w:rPr>
            </w:pPr>
            <w:r w:rsidRPr="005222E0">
              <w:rPr>
                <w:color w:val="000000" w:themeColor="text1"/>
                <w:sz w:val="20"/>
                <w:szCs w:val="20"/>
              </w:rPr>
              <w:t>18.90</w:t>
            </w:r>
          </w:p>
        </w:tc>
        <w:tc>
          <w:tcPr>
            <w:tcW w:w="630" w:type="pct"/>
            <w:tcBorders>
              <w:top w:val="single" w:sz="4" w:space="0" w:color="auto"/>
              <w:left w:val="single" w:sz="4" w:space="0" w:color="auto"/>
              <w:bottom w:val="single" w:sz="4" w:space="0" w:color="auto"/>
              <w:right w:val="single" w:sz="4" w:space="0" w:color="auto"/>
            </w:tcBorders>
            <w:noWrap/>
            <w:hideMark/>
          </w:tcPr>
          <w:p w14:paraId="411F3ECF" w14:textId="77777777" w:rsidR="00621D13" w:rsidRPr="005222E0" w:rsidRDefault="00621D13" w:rsidP="00F957D5">
            <w:pPr>
              <w:jc w:val="right"/>
              <w:rPr>
                <w:color w:val="000000" w:themeColor="text1"/>
                <w:sz w:val="20"/>
                <w:szCs w:val="20"/>
              </w:rPr>
            </w:pPr>
            <w:r w:rsidRPr="005222E0">
              <w:rPr>
                <w:color w:val="000000" w:themeColor="text1"/>
                <w:sz w:val="20"/>
                <w:szCs w:val="20"/>
              </w:rPr>
              <w:t>47</w:t>
            </w:r>
            <w:r>
              <w:rPr>
                <w:color w:val="000000" w:themeColor="text1"/>
                <w:sz w:val="20"/>
                <w:szCs w:val="20"/>
              </w:rPr>
              <w:t>5.05</w:t>
            </w:r>
          </w:p>
        </w:tc>
      </w:tr>
      <w:tr w:rsidR="00621D13" w:rsidRPr="0074181A" w14:paraId="35A92EE8" w14:textId="77777777" w:rsidTr="00F957D5">
        <w:trPr>
          <w:cantSplit/>
        </w:trPr>
        <w:tc>
          <w:tcPr>
            <w:tcW w:w="1219" w:type="pct"/>
            <w:tcBorders>
              <w:top w:val="nil"/>
              <w:left w:val="single" w:sz="4" w:space="0" w:color="auto"/>
              <w:bottom w:val="single" w:sz="4" w:space="0" w:color="auto"/>
              <w:right w:val="single" w:sz="4" w:space="0" w:color="auto"/>
            </w:tcBorders>
            <w:noWrap/>
          </w:tcPr>
          <w:p w14:paraId="6F6EF8EF" w14:textId="77777777" w:rsidR="00621D13" w:rsidRPr="005222E0" w:rsidRDefault="00621D13" w:rsidP="00F957D5">
            <w:pPr>
              <w:ind w:left="25"/>
              <w:jc w:val="left"/>
              <w:rPr>
                <w:color w:val="000000" w:themeColor="text1"/>
                <w:sz w:val="20"/>
                <w:szCs w:val="20"/>
              </w:rPr>
            </w:pPr>
            <w:r>
              <w:rPr>
                <w:color w:val="000000" w:themeColor="text1"/>
                <w:sz w:val="20"/>
                <w:szCs w:val="20"/>
              </w:rPr>
              <w:t>HCFC-142b</w:t>
            </w:r>
          </w:p>
        </w:tc>
        <w:tc>
          <w:tcPr>
            <w:tcW w:w="630" w:type="pct"/>
            <w:tcBorders>
              <w:top w:val="single" w:sz="4" w:space="0" w:color="auto"/>
              <w:left w:val="nil"/>
              <w:bottom w:val="single" w:sz="4" w:space="0" w:color="auto"/>
              <w:right w:val="single" w:sz="4" w:space="0" w:color="auto"/>
            </w:tcBorders>
          </w:tcPr>
          <w:p w14:paraId="0F50E0DD" w14:textId="77777777" w:rsidR="00621D13" w:rsidRPr="005222E0" w:rsidRDefault="00621D13" w:rsidP="00F957D5">
            <w:pPr>
              <w:jc w:val="right"/>
              <w:rPr>
                <w:color w:val="000000" w:themeColor="text1"/>
                <w:sz w:val="20"/>
                <w:szCs w:val="20"/>
              </w:rPr>
            </w:pPr>
            <w:r>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2CCF3176" w14:textId="77777777" w:rsidR="00621D13" w:rsidRPr="005222E0" w:rsidRDefault="00621D13" w:rsidP="00F957D5">
            <w:pPr>
              <w:jc w:val="right"/>
              <w:rPr>
                <w:color w:val="000000" w:themeColor="text1"/>
                <w:sz w:val="20"/>
                <w:szCs w:val="20"/>
              </w:rPr>
            </w:pPr>
            <w:r w:rsidRPr="009D7A26">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23A95808" w14:textId="77777777" w:rsidR="00621D13" w:rsidRPr="005222E0" w:rsidRDefault="00621D13" w:rsidP="00F957D5">
            <w:pPr>
              <w:jc w:val="right"/>
              <w:rPr>
                <w:color w:val="000000" w:themeColor="text1"/>
                <w:sz w:val="20"/>
                <w:szCs w:val="20"/>
              </w:rPr>
            </w:pPr>
            <w:r w:rsidRPr="009D7A26">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32A2EE6B" w14:textId="77777777" w:rsidR="00621D13" w:rsidRPr="005222E0" w:rsidRDefault="00621D13" w:rsidP="00F957D5">
            <w:pPr>
              <w:jc w:val="right"/>
              <w:rPr>
                <w:color w:val="000000" w:themeColor="text1"/>
                <w:sz w:val="20"/>
                <w:szCs w:val="20"/>
              </w:rPr>
            </w:pPr>
            <w:r w:rsidRPr="009D7A26">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2FA14B99" w14:textId="77777777" w:rsidR="00621D13" w:rsidRPr="005222E0" w:rsidRDefault="00621D13" w:rsidP="00F957D5">
            <w:pPr>
              <w:jc w:val="right"/>
              <w:rPr>
                <w:color w:val="000000" w:themeColor="text1"/>
                <w:sz w:val="20"/>
                <w:szCs w:val="20"/>
              </w:rPr>
            </w:pPr>
            <w:r w:rsidRPr="009D7A26">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noWrap/>
          </w:tcPr>
          <w:p w14:paraId="59DE066B" w14:textId="77777777" w:rsidR="00621D13" w:rsidRPr="005222E0" w:rsidRDefault="00621D13" w:rsidP="00F957D5">
            <w:pPr>
              <w:jc w:val="right"/>
              <w:rPr>
                <w:color w:val="000000" w:themeColor="text1"/>
                <w:sz w:val="20"/>
                <w:szCs w:val="20"/>
              </w:rPr>
            </w:pPr>
            <w:r>
              <w:rPr>
                <w:color w:val="000000" w:themeColor="text1"/>
                <w:sz w:val="20"/>
                <w:szCs w:val="20"/>
              </w:rPr>
              <w:t>3.99</w:t>
            </w:r>
          </w:p>
        </w:tc>
      </w:tr>
      <w:tr w:rsidR="00621D13" w:rsidRPr="0074181A" w14:paraId="0D9437D2" w14:textId="77777777" w:rsidTr="00F957D5">
        <w:trPr>
          <w:cantSplit/>
        </w:trPr>
        <w:tc>
          <w:tcPr>
            <w:tcW w:w="1219" w:type="pct"/>
            <w:tcBorders>
              <w:top w:val="nil"/>
              <w:left w:val="single" w:sz="4" w:space="0" w:color="auto"/>
              <w:bottom w:val="single" w:sz="4" w:space="0" w:color="auto"/>
              <w:right w:val="single" w:sz="4" w:space="0" w:color="auto"/>
            </w:tcBorders>
            <w:noWrap/>
            <w:hideMark/>
          </w:tcPr>
          <w:p w14:paraId="367953AC"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HCFC-123</w:t>
            </w:r>
          </w:p>
        </w:tc>
        <w:tc>
          <w:tcPr>
            <w:tcW w:w="630" w:type="pct"/>
            <w:tcBorders>
              <w:top w:val="single" w:sz="4" w:space="0" w:color="auto"/>
              <w:left w:val="nil"/>
              <w:bottom w:val="single" w:sz="4" w:space="0" w:color="auto"/>
              <w:right w:val="single" w:sz="4" w:space="0" w:color="auto"/>
            </w:tcBorders>
          </w:tcPr>
          <w:p w14:paraId="678BBBB5" w14:textId="77777777" w:rsidR="00621D13" w:rsidRPr="005222E0" w:rsidRDefault="00621D13" w:rsidP="00F957D5">
            <w:pPr>
              <w:jc w:val="right"/>
              <w:rPr>
                <w:color w:val="000000" w:themeColor="text1"/>
                <w:sz w:val="20"/>
                <w:szCs w:val="20"/>
              </w:rPr>
            </w:pPr>
            <w:r w:rsidRPr="005222E0">
              <w:rPr>
                <w:color w:val="000000" w:themeColor="text1"/>
                <w:sz w:val="20"/>
                <w:szCs w:val="20"/>
              </w:rPr>
              <w:t>263.06</w:t>
            </w:r>
          </w:p>
        </w:tc>
        <w:tc>
          <w:tcPr>
            <w:tcW w:w="630" w:type="pct"/>
            <w:tcBorders>
              <w:top w:val="single" w:sz="4" w:space="0" w:color="auto"/>
              <w:left w:val="single" w:sz="4" w:space="0" w:color="auto"/>
              <w:bottom w:val="single" w:sz="4" w:space="0" w:color="auto"/>
              <w:right w:val="single" w:sz="4" w:space="0" w:color="auto"/>
            </w:tcBorders>
          </w:tcPr>
          <w:p w14:paraId="76AD00DE" w14:textId="77777777" w:rsidR="00621D13" w:rsidRPr="005222E0" w:rsidRDefault="00621D13" w:rsidP="00F957D5">
            <w:pPr>
              <w:jc w:val="right"/>
              <w:rPr>
                <w:color w:val="000000" w:themeColor="text1"/>
                <w:sz w:val="20"/>
                <w:szCs w:val="20"/>
              </w:rPr>
            </w:pPr>
            <w:r w:rsidRPr="005222E0">
              <w:rPr>
                <w:color w:val="000000" w:themeColor="text1"/>
                <w:sz w:val="20"/>
                <w:szCs w:val="20"/>
              </w:rPr>
              <w:t>57.13</w:t>
            </w:r>
          </w:p>
        </w:tc>
        <w:tc>
          <w:tcPr>
            <w:tcW w:w="630" w:type="pct"/>
            <w:tcBorders>
              <w:top w:val="single" w:sz="4" w:space="0" w:color="auto"/>
              <w:left w:val="single" w:sz="4" w:space="0" w:color="auto"/>
              <w:bottom w:val="single" w:sz="4" w:space="0" w:color="auto"/>
              <w:right w:val="single" w:sz="4" w:space="0" w:color="auto"/>
            </w:tcBorders>
          </w:tcPr>
          <w:p w14:paraId="660736FD" w14:textId="77777777" w:rsidR="00621D13" w:rsidRPr="005222E0" w:rsidRDefault="00621D13" w:rsidP="00F957D5">
            <w:pPr>
              <w:jc w:val="right"/>
              <w:rPr>
                <w:color w:val="000000" w:themeColor="text1"/>
                <w:sz w:val="20"/>
                <w:szCs w:val="20"/>
              </w:rPr>
            </w:pPr>
            <w:r w:rsidRPr="005222E0">
              <w:rPr>
                <w:color w:val="000000" w:themeColor="text1"/>
                <w:sz w:val="20"/>
                <w:szCs w:val="20"/>
              </w:rPr>
              <w:t>57.4</w:t>
            </w:r>
          </w:p>
        </w:tc>
        <w:tc>
          <w:tcPr>
            <w:tcW w:w="630" w:type="pct"/>
            <w:tcBorders>
              <w:top w:val="single" w:sz="4" w:space="0" w:color="auto"/>
              <w:left w:val="single" w:sz="4" w:space="0" w:color="auto"/>
              <w:bottom w:val="single" w:sz="4" w:space="0" w:color="auto"/>
              <w:right w:val="single" w:sz="4" w:space="0" w:color="auto"/>
            </w:tcBorders>
          </w:tcPr>
          <w:p w14:paraId="3DD568F1" w14:textId="77777777" w:rsidR="00621D13" w:rsidRPr="005222E0" w:rsidRDefault="00621D13" w:rsidP="00F957D5">
            <w:pPr>
              <w:jc w:val="right"/>
              <w:rPr>
                <w:color w:val="000000" w:themeColor="text1"/>
                <w:sz w:val="20"/>
                <w:szCs w:val="20"/>
              </w:rPr>
            </w:pPr>
            <w:r w:rsidRPr="005222E0">
              <w:rPr>
                <w:color w:val="000000" w:themeColor="text1"/>
                <w:sz w:val="20"/>
                <w:szCs w:val="20"/>
              </w:rPr>
              <w:t>57.13</w:t>
            </w:r>
          </w:p>
        </w:tc>
        <w:tc>
          <w:tcPr>
            <w:tcW w:w="630" w:type="pct"/>
            <w:tcBorders>
              <w:top w:val="single" w:sz="4" w:space="0" w:color="auto"/>
              <w:left w:val="single" w:sz="4" w:space="0" w:color="auto"/>
              <w:bottom w:val="single" w:sz="4" w:space="0" w:color="auto"/>
              <w:right w:val="single" w:sz="4" w:space="0" w:color="auto"/>
            </w:tcBorders>
          </w:tcPr>
          <w:p w14:paraId="3F27C802" w14:textId="77777777" w:rsidR="00621D13" w:rsidRPr="005222E0" w:rsidRDefault="00621D13" w:rsidP="00F957D5">
            <w:pPr>
              <w:jc w:val="right"/>
              <w:rPr>
                <w:color w:val="000000" w:themeColor="text1"/>
                <w:sz w:val="20"/>
                <w:szCs w:val="20"/>
              </w:rPr>
            </w:pPr>
            <w:r w:rsidRPr="005222E0">
              <w:rPr>
                <w:color w:val="000000" w:themeColor="text1"/>
                <w:sz w:val="20"/>
                <w:szCs w:val="20"/>
              </w:rPr>
              <w:t>106.66</w:t>
            </w:r>
          </w:p>
        </w:tc>
        <w:tc>
          <w:tcPr>
            <w:tcW w:w="630" w:type="pct"/>
            <w:tcBorders>
              <w:top w:val="single" w:sz="4" w:space="0" w:color="auto"/>
              <w:left w:val="single" w:sz="4" w:space="0" w:color="auto"/>
              <w:bottom w:val="single" w:sz="4" w:space="0" w:color="auto"/>
              <w:right w:val="single" w:sz="4" w:space="0" w:color="auto"/>
            </w:tcBorders>
            <w:noWrap/>
            <w:hideMark/>
          </w:tcPr>
          <w:p w14:paraId="7430C220" w14:textId="77777777" w:rsidR="00621D13" w:rsidRPr="005222E0" w:rsidRDefault="00621D13" w:rsidP="00F957D5">
            <w:pPr>
              <w:jc w:val="right"/>
              <w:rPr>
                <w:color w:val="000000" w:themeColor="text1"/>
                <w:sz w:val="20"/>
                <w:szCs w:val="20"/>
              </w:rPr>
            </w:pPr>
            <w:r w:rsidRPr="005222E0">
              <w:rPr>
                <w:color w:val="000000" w:themeColor="text1"/>
                <w:sz w:val="20"/>
                <w:szCs w:val="20"/>
              </w:rPr>
              <w:t>8</w:t>
            </w:r>
            <w:r>
              <w:rPr>
                <w:color w:val="000000" w:themeColor="text1"/>
                <w:sz w:val="20"/>
                <w:szCs w:val="20"/>
              </w:rPr>
              <w:t>4.38</w:t>
            </w:r>
          </w:p>
        </w:tc>
      </w:tr>
      <w:tr w:rsidR="00621D13" w:rsidRPr="0074181A" w14:paraId="3A0DB28F" w14:textId="77777777" w:rsidTr="00F957D5">
        <w:trPr>
          <w:cantSplit/>
        </w:trPr>
        <w:tc>
          <w:tcPr>
            <w:tcW w:w="1219" w:type="pct"/>
            <w:tcBorders>
              <w:top w:val="nil"/>
              <w:left w:val="single" w:sz="4" w:space="0" w:color="auto"/>
              <w:bottom w:val="single" w:sz="4" w:space="0" w:color="auto"/>
              <w:right w:val="single" w:sz="4" w:space="0" w:color="auto"/>
            </w:tcBorders>
            <w:noWrap/>
          </w:tcPr>
          <w:p w14:paraId="0A2E1FE0" w14:textId="77777777" w:rsidR="00621D13" w:rsidRPr="005140B4" w:rsidRDefault="00621D13" w:rsidP="00F957D5">
            <w:pPr>
              <w:ind w:left="25"/>
              <w:jc w:val="left"/>
              <w:rPr>
                <w:color w:val="000000" w:themeColor="text1"/>
                <w:sz w:val="20"/>
                <w:szCs w:val="20"/>
              </w:rPr>
            </w:pPr>
            <w:r w:rsidRPr="005140B4">
              <w:rPr>
                <w:color w:val="000000" w:themeColor="text1"/>
                <w:sz w:val="20"/>
                <w:szCs w:val="20"/>
              </w:rPr>
              <w:t>HCFC-225</w:t>
            </w:r>
            <w:r>
              <w:rPr>
                <w:color w:val="000000" w:themeColor="text1"/>
                <w:sz w:val="20"/>
                <w:szCs w:val="20"/>
              </w:rPr>
              <w:t>ca</w:t>
            </w:r>
          </w:p>
        </w:tc>
        <w:tc>
          <w:tcPr>
            <w:tcW w:w="630" w:type="pct"/>
            <w:tcBorders>
              <w:top w:val="single" w:sz="4" w:space="0" w:color="auto"/>
              <w:left w:val="nil"/>
              <w:bottom w:val="single" w:sz="4" w:space="0" w:color="auto"/>
              <w:right w:val="single" w:sz="4" w:space="0" w:color="auto"/>
            </w:tcBorders>
          </w:tcPr>
          <w:p w14:paraId="26898AC6" w14:textId="77777777" w:rsidR="00621D13" w:rsidRPr="005140B4" w:rsidRDefault="00621D13" w:rsidP="00F957D5">
            <w:pPr>
              <w:jc w:val="right"/>
              <w:rPr>
                <w:color w:val="000000" w:themeColor="text1"/>
                <w:sz w:val="20"/>
                <w:szCs w:val="20"/>
              </w:rPr>
            </w:pPr>
            <w:r w:rsidRPr="005140B4">
              <w:rPr>
                <w:sz w:val="20"/>
                <w:szCs w:val="20"/>
              </w:rPr>
              <w:t>0.21</w:t>
            </w:r>
          </w:p>
        </w:tc>
        <w:tc>
          <w:tcPr>
            <w:tcW w:w="630" w:type="pct"/>
            <w:tcBorders>
              <w:top w:val="single" w:sz="4" w:space="0" w:color="auto"/>
              <w:left w:val="single" w:sz="4" w:space="0" w:color="auto"/>
              <w:bottom w:val="single" w:sz="4" w:space="0" w:color="auto"/>
              <w:right w:val="single" w:sz="4" w:space="0" w:color="auto"/>
            </w:tcBorders>
          </w:tcPr>
          <w:p w14:paraId="059DA2D4" w14:textId="77777777" w:rsidR="00621D13" w:rsidRPr="005140B4" w:rsidRDefault="00621D13" w:rsidP="00F957D5">
            <w:pPr>
              <w:jc w:val="right"/>
              <w:rPr>
                <w:color w:val="000000" w:themeColor="text1"/>
                <w:sz w:val="20"/>
                <w:szCs w:val="20"/>
              </w:rPr>
            </w:pPr>
            <w:r w:rsidRPr="005140B4">
              <w:rPr>
                <w:sz w:val="20"/>
                <w:szCs w:val="20"/>
              </w:rPr>
              <w:t>0.31</w:t>
            </w:r>
          </w:p>
        </w:tc>
        <w:tc>
          <w:tcPr>
            <w:tcW w:w="630" w:type="pct"/>
            <w:tcBorders>
              <w:top w:val="single" w:sz="4" w:space="0" w:color="auto"/>
              <w:left w:val="single" w:sz="4" w:space="0" w:color="auto"/>
              <w:bottom w:val="single" w:sz="4" w:space="0" w:color="auto"/>
              <w:right w:val="single" w:sz="4" w:space="0" w:color="auto"/>
            </w:tcBorders>
          </w:tcPr>
          <w:p w14:paraId="0B7C4AC7" w14:textId="77777777" w:rsidR="00621D13" w:rsidRPr="005140B4" w:rsidRDefault="00621D13" w:rsidP="00F957D5">
            <w:pPr>
              <w:jc w:val="right"/>
              <w:rPr>
                <w:color w:val="000000" w:themeColor="text1"/>
                <w:sz w:val="20"/>
                <w:szCs w:val="20"/>
              </w:rPr>
            </w:pPr>
            <w:r w:rsidRPr="005140B4">
              <w:rPr>
                <w:sz w:val="20"/>
                <w:szCs w:val="20"/>
              </w:rPr>
              <w:t>0.15</w:t>
            </w:r>
          </w:p>
        </w:tc>
        <w:tc>
          <w:tcPr>
            <w:tcW w:w="630" w:type="pct"/>
            <w:tcBorders>
              <w:top w:val="single" w:sz="4" w:space="0" w:color="auto"/>
              <w:left w:val="single" w:sz="4" w:space="0" w:color="auto"/>
              <w:bottom w:val="single" w:sz="4" w:space="0" w:color="auto"/>
              <w:right w:val="single" w:sz="4" w:space="0" w:color="auto"/>
            </w:tcBorders>
          </w:tcPr>
          <w:p w14:paraId="3A4D6AC4" w14:textId="77777777" w:rsidR="00621D13" w:rsidRPr="005140B4" w:rsidRDefault="00621D13" w:rsidP="00F957D5">
            <w:pPr>
              <w:jc w:val="right"/>
              <w:rPr>
                <w:color w:val="000000" w:themeColor="text1"/>
                <w:sz w:val="20"/>
                <w:szCs w:val="20"/>
              </w:rPr>
            </w:pPr>
            <w:r w:rsidRPr="005140B4">
              <w:rPr>
                <w:sz w:val="20"/>
                <w:szCs w:val="20"/>
              </w:rPr>
              <w:t>0.38</w:t>
            </w:r>
          </w:p>
        </w:tc>
        <w:tc>
          <w:tcPr>
            <w:tcW w:w="630" w:type="pct"/>
            <w:tcBorders>
              <w:top w:val="single" w:sz="4" w:space="0" w:color="auto"/>
              <w:left w:val="single" w:sz="4" w:space="0" w:color="auto"/>
              <w:bottom w:val="single" w:sz="4" w:space="0" w:color="auto"/>
              <w:right w:val="single" w:sz="4" w:space="0" w:color="auto"/>
            </w:tcBorders>
          </w:tcPr>
          <w:p w14:paraId="4705BD11" w14:textId="77777777" w:rsidR="00621D13" w:rsidRPr="005140B4" w:rsidRDefault="00621D13" w:rsidP="00F957D5">
            <w:pPr>
              <w:jc w:val="right"/>
              <w:rPr>
                <w:color w:val="000000" w:themeColor="text1"/>
                <w:sz w:val="20"/>
                <w:szCs w:val="20"/>
              </w:rPr>
            </w:pPr>
            <w:r w:rsidRPr="005140B4">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noWrap/>
          </w:tcPr>
          <w:p w14:paraId="4233032D" w14:textId="77777777" w:rsidR="00621D13" w:rsidRPr="005140B4" w:rsidRDefault="00621D13" w:rsidP="00F957D5">
            <w:pPr>
              <w:tabs>
                <w:tab w:val="left" w:pos="1220"/>
              </w:tabs>
              <w:jc w:val="right"/>
              <w:rPr>
                <w:color w:val="000000" w:themeColor="text1"/>
                <w:sz w:val="20"/>
                <w:szCs w:val="20"/>
              </w:rPr>
            </w:pPr>
            <w:r>
              <w:rPr>
                <w:color w:val="000000" w:themeColor="text1"/>
                <w:sz w:val="20"/>
                <w:szCs w:val="20"/>
              </w:rPr>
              <w:t>0.17</w:t>
            </w:r>
          </w:p>
        </w:tc>
      </w:tr>
      <w:tr w:rsidR="00621D13" w:rsidRPr="0074181A" w14:paraId="7C7AD683" w14:textId="77777777" w:rsidTr="00F957D5">
        <w:trPr>
          <w:cantSplit/>
        </w:trPr>
        <w:tc>
          <w:tcPr>
            <w:tcW w:w="1219" w:type="pct"/>
            <w:tcBorders>
              <w:top w:val="nil"/>
              <w:left w:val="single" w:sz="4" w:space="0" w:color="auto"/>
              <w:bottom w:val="single" w:sz="4" w:space="0" w:color="auto"/>
              <w:right w:val="single" w:sz="4" w:space="0" w:color="auto"/>
            </w:tcBorders>
            <w:noWrap/>
          </w:tcPr>
          <w:p w14:paraId="3A87F04A" w14:textId="77777777" w:rsidR="00621D13" w:rsidRPr="005140B4" w:rsidRDefault="00621D13" w:rsidP="00F957D5">
            <w:pPr>
              <w:ind w:left="25"/>
              <w:jc w:val="left"/>
              <w:rPr>
                <w:color w:val="000000" w:themeColor="text1"/>
                <w:sz w:val="20"/>
                <w:szCs w:val="20"/>
              </w:rPr>
            </w:pPr>
            <w:r w:rsidRPr="005140B4">
              <w:rPr>
                <w:color w:val="000000" w:themeColor="text1"/>
                <w:sz w:val="20"/>
                <w:szCs w:val="20"/>
              </w:rPr>
              <w:t>HCFC-225</w:t>
            </w:r>
            <w:r>
              <w:rPr>
                <w:color w:val="000000" w:themeColor="text1"/>
                <w:sz w:val="20"/>
                <w:szCs w:val="20"/>
              </w:rPr>
              <w:t>cb</w:t>
            </w:r>
          </w:p>
        </w:tc>
        <w:tc>
          <w:tcPr>
            <w:tcW w:w="630" w:type="pct"/>
            <w:tcBorders>
              <w:top w:val="single" w:sz="4" w:space="0" w:color="auto"/>
              <w:left w:val="nil"/>
              <w:bottom w:val="single" w:sz="4" w:space="0" w:color="auto"/>
              <w:right w:val="single" w:sz="4" w:space="0" w:color="auto"/>
            </w:tcBorders>
          </w:tcPr>
          <w:p w14:paraId="0C1A26A5" w14:textId="77777777" w:rsidR="00621D13" w:rsidRPr="005140B4" w:rsidRDefault="00621D13" w:rsidP="00F957D5">
            <w:pPr>
              <w:jc w:val="right"/>
              <w:rPr>
                <w:color w:val="000000" w:themeColor="text1"/>
                <w:sz w:val="20"/>
                <w:szCs w:val="20"/>
              </w:rPr>
            </w:pPr>
            <w:r w:rsidRPr="005140B4">
              <w:rPr>
                <w:sz w:val="20"/>
                <w:szCs w:val="20"/>
              </w:rPr>
              <w:t>0.21</w:t>
            </w:r>
          </w:p>
        </w:tc>
        <w:tc>
          <w:tcPr>
            <w:tcW w:w="630" w:type="pct"/>
            <w:tcBorders>
              <w:top w:val="single" w:sz="4" w:space="0" w:color="auto"/>
              <w:left w:val="single" w:sz="4" w:space="0" w:color="auto"/>
              <w:bottom w:val="single" w:sz="4" w:space="0" w:color="auto"/>
              <w:right w:val="single" w:sz="4" w:space="0" w:color="auto"/>
            </w:tcBorders>
          </w:tcPr>
          <w:p w14:paraId="624940A9" w14:textId="77777777" w:rsidR="00621D13" w:rsidRPr="005140B4" w:rsidRDefault="00621D13" w:rsidP="00F957D5">
            <w:pPr>
              <w:jc w:val="right"/>
              <w:rPr>
                <w:color w:val="000000" w:themeColor="text1"/>
                <w:sz w:val="20"/>
                <w:szCs w:val="20"/>
              </w:rPr>
            </w:pPr>
            <w:r w:rsidRPr="005140B4">
              <w:rPr>
                <w:sz w:val="20"/>
                <w:szCs w:val="20"/>
              </w:rPr>
              <w:t>0.31</w:t>
            </w:r>
          </w:p>
        </w:tc>
        <w:tc>
          <w:tcPr>
            <w:tcW w:w="630" w:type="pct"/>
            <w:tcBorders>
              <w:top w:val="single" w:sz="4" w:space="0" w:color="auto"/>
              <w:left w:val="single" w:sz="4" w:space="0" w:color="auto"/>
              <w:bottom w:val="single" w:sz="4" w:space="0" w:color="auto"/>
              <w:right w:val="single" w:sz="4" w:space="0" w:color="auto"/>
            </w:tcBorders>
          </w:tcPr>
          <w:p w14:paraId="2F42807E" w14:textId="77777777" w:rsidR="00621D13" w:rsidRPr="005140B4" w:rsidRDefault="00621D13" w:rsidP="00F957D5">
            <w:pPr>
              <w:jc w:val="right"/>
              <w:rPr>
                <w:color w:val="000000" w:themeColor="text1"/>
                <w:sz w:val="20"/>
                <w:szCs w:val="20"/>
              </w:rPr>
            </w:pPr>
            <w:r w:rsidRPr="005140B4">
              <w:rPr>
                <w:sz w:val="20"/>
                <w:szCs w:val="20"/>
              </w:rPr>
              <w:t>0.16</w:t>
            </w:r>
          </w:p>
        </w:tc>
        <w:tc>
          <w:tcPr>
            <w:tcW w:w="630" w:type="pct"/>
            <w:tcBorders>
              <w:top w:val="single" w:sz="4" w:space="0" w:color="auto"/>
              <w:left w:val="single" w:sz="4" w:space="0" w:color="auto"/>
              <w:bottom w:val="single" w:sz="4" w:space="0" w:color="auto"/>
              <w:right w:val="single" w:sz="4" w:space="0" w:color="auto"/>
            </w:tcBorders>
          </w:tcPr>
          <w:p w14:paraId="2548273C" w14:textId="77777777" w:rsidR="00621D13" w:rsidRPr="005140B4" w:rsidRDefault="00621D13" w:rsidP="00F957D5">
            <w:pPr>
              <w:jc w:val="right"/>
              <w:rPr>
                <w:color w:val="000000" w:themeColor="text1"/>
                <w:sz w:val="20"/>
                <w:szCs w:val="20"/>
              </w:rPr>
            </w:pPr>
            <w:r w:rsidRPr="005140B4">
              <w:rPr>
                <w:sz w:val="20"/>
                <w:szCs w:val="20"/>
              </w:rPr>
              <w:t>0.38</w:t>
            </w:r>
          </w:p>
        </w:tc>
        <w:tc>
          <w:tcPr>
            <w:tcW w:w="630" w:type="pct"/>
            <w:tcBorders>
              <w:top w:val="single" w:sz="4" w:space="0" w:color="auto"/>
              <w:left w:val="single" w:sz="4" w:space="0" w:color="auto"/>
              <w:bottom w:val="single" w:sz="4" w:space="0" w:color="auto"/>
              <w:right w:val="single" w:sz="4" w:space="0" w:color="auto"/>
            </w:tcBorders>
          </w:tcPr>
          <w:p w14:paraId="5C15EAE2" w14:textId="77777777" w:rsidR="00621D13" w:rsidRPr="005140B4" w:rsidRDefault="00621D13" w:rsidP="00F957D5">
            <w:pPr>
              <w:jc w:val="right"/>
              <w:rPr>
                <w:color w:val="000000" w:themeColor="text1"/>
                <w:sz w:val="20"/>
                <w:szCs w:val="20"/>
              </w:rPr>
            </w:pPr>
            <w:r w:rsidRPr="005140B4">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noWrap/>
          </w:tcPr>
          <w:p w14:paraId="4FE0C1E2" w14:textId="77777777" w:rsidR="00621D13" w:rsidRPr="005140B4" w:rsidRDefault="00621D13" w:rsidP="00F957D5">
            <w:pPr>
              <w:jc w:val="right"/>
              <w:rPr>
                <w:color w:val="000000" w:themeColor="text1"/>
                <w:sz w:val="20"/>
                <w:szCs w:val="20"/>
              </w:rPr>
            </w:pPr>
            <w:r>
              <w:rPr>
                <w:color w:val="000000" w:themeColor="text1"/>
                <w:sz w:val="20"/>
                <w:szCs w:val="20"/>
              </w:rPr>
              <w:t>0.17</w:t>
            </w:r>
          </w:p>
        </w:tc>
      </w:tr>
      <w:tr w:rsidR="00621D13" w:rsidRPr="0074181A" w14:paraId="0C72A20E" w14:textId="77777777" w:rsidTr="00F957D5">
        <w:trPr>
          <w:cantSplit/>
        </w:trPr>
        <w:tc>
          <w:tcPr>
            <w:tcW w:w="1219" w:type="pct"/>
            <w:tcBorders>
              <w:top w:val="nil"/>
              <w:left w:val="single" w:sz="4" w:space="0" w:color="auto"/>
              <w:bottom w:val="single" w:sz="4" w:space="0" w:color="auto"/>
              <w:right w:val="single" w:sz="4" w:space="0" w:color="auto"/>
            </w:tcBorders>
            <w:noWrap/>
            <w:hideMark/>
          </w:tcPr>
          <w:p w14:paraId="0F845083" w14:textId="77777777" w:rsidR="00621D13" w:rsidRPr="005222E0" w:rsidRDefault="00621D13" w:rsidP="00F957D5">
            <w:pPr>
              <w:ind w:left="25"/>
              <w:jc w:val="left"/>
              <w:rPr>
                <w:b/>
                <w:color w:val="000000" w:themeColor="text1"/>
                <w:sz w:val="20"/>
                <w:szCs w:val="20"/>
              </w:rPr>
            </w:pPr>
            <w:r w:rsidRPr="005222E0">
              <w:rPr>
                <w:b/>
                <w:color w:val="000000" w:themeColor="text1"/>
                <w:sz w:val="20"/>
                <w:szCs w:val="20"/>
              </w:rPr>
              <w:t>Total</w:t>
            </w:r>
          </w:p>
        </w:tc>
        <w:tc>
          <w:tcPr>
            <w:tcW w:w="630" w:type="pct"/>
            <w:tcBorders>
              <w:top w:val="single" w:sz="4" w:space="0" w:color="auto"/>
              <w:left w:val="nil"/>
              <w:bottom w:val="single" w:sz="4" w:space="0" w:color="auto"/>
              <w:right w:val="single" w:sz="4" w:space="0" w:color="auto"/>
            </w:tcBorders>
          </w:tcPr>
          <w:p w14:paraId="62115AE0" w14:textId="77777777" w:rsidR="00621D13" w:rsidRPr="005222E0" w:rsidRDefault="00621D13" w:rsidP="00F957D5">
            <w:pPr>
              <w:jc w:val="right"/>
              <w:rPr>
                <w:b/>
                <w:color w:val="000000" w:themeColor="text1"/>
                <w:sz w:val="20"/>
                <w:szCs w:val="20"/>
              </w:rPr>
            </w:pPr>
            <w:r w:rsidRPr="005222E0">
              <w:rPr>
                <w:b/>
                <w:color w:val="000000" w:themeColor="text1"/>
                <w:sz w:val="20"/>
                <w:szCs w:val="20"/>
              </w:rPr>
              <w:t>2</w:t>
            </w:r>
            <w:r>
              <w:rPr>
                <w:b/>
                <w:color w:val="000000" w:themeColor="text1"/>
                <w:sz w:val="20"/>
                <w:szCs w:val="20"/>
              </w:rPr>
              <w:t>,</w:t>
            </w:r>
            <w:r w:rsidRPr="005222E0">
              <w:rPr>
                <w:b/>
                <w:color w:val="000000" w:themeColor="text1"/>
                <w:sz w:val="20"/>
                <w:szCs w:val="20"/>
              </w:rPr>
              <w:t>106.73</w:t>
            </w:r>
          </w:p>
        </w:tc>
        <w:tc>
          <w:tcPr>
            <w:tcW w:w="630" w:type="pct"/>
            <w:tcBorders>
              <w:top w:val="single" w:sz="4" w:space="0" w:color="auto"/>
              <w:left w:val="single" w:sz="4" w:space="0" w:color="auto"/>
              <w:bottom w:val="single" w:sz="4" w:space="0" w:color="auto"/>
              <w:right w:val="single" w:sz="4" w:space="0" w:color="auto"/>
            </w:tcBorders>
          </w:tcPr>
          <w:p w14:paraId="4ED8206F" w14:textId="77777777" w:rsidR="00621D13" w:rsidRPr="005222E0" w:rsidRDefault="00621D13" w:rsidP="00F957D5">
            <w:pPr>
              <w:jc w:val="right"/>
              <w:rPr>
                <w:b/>
                <w:color w:val="000000" w:themeColor="text1"/>
                <w:sz w:val="20"/>
                <w:szCs w:val="20"/>
              </w:rPr>
            </w:pPr>
            <w:r w:rsidRPr="005222E0">
              <w:rPr>
                <w:b/>
                <w:color w:val="000000" w:themeColor="text1"/>
                <w:sz w:val="20"/>
                <w:szCs w:val="20"/>
              </w:rPr>
              <w:t>1</w:t>
            </w:r>
            <w:r>
              <w:rPr>
                <w:b/>
                <w:color w:val="000000" w:themeColor="text1"/>
                <w:sz w:val="20"/>
                <w:szCs w:val="20"/>
              </w:rPr>
              <w:t>,</w:t>
            </w:r>
            <w:r w:rsidRPr="005222E0">
              <w:rPr>
                <w:b/>
                <w:color w:val="000000" w:themeColor="text1"/>
                <w:sz w:val="20"/>
                <w:szCs w:val="20"/>
              </w:rPr>
              <w:t>894.28</w:t>
            </w:r>
          </w:p>
        </w:tc>
        <w:tc>
          <w:tcPr>
            <w:tcW w:w="630" w:type="pct"/>
            <w:tcBorders>
              <w:top w:val="single" w:sz="4" w:space="0" w:color="auto"/>
              <w:left w:val="single" w:sz="4" w:space="0" w:color="auto"/>
              <w:bottom w:val="single" w:sz="4" w:space="0" w:color="auto"/>
              <w:right w:val="single" w:sz="4" w:space="0" w:color="auto"/>
            </w:tcBorders>
          </w:tcPr>
          <w:p w14:paraId="54613317" w14:textId="77777777" w:rsidR="00621D13" w:rsidRPr="005222E0" w:rsidRDefault="00621D13" w:rsidP="00F957D5">
            <w:pPr>
              <w:jc w:val="right"/>
              <w:rPr>
                <w:b/>
                <w:color w:val="000000" w:themeColor="text1"/>
                <w:sz w:val="20"/>
                <w:szCs w:val="20"/>
              </w:rPr>
            </w:pPr>
            <w:r w:rsidRPr="005222E0">
              <w:rPr>
                <w:b/>
                <w:color w:val="000000" w:themeColor="text1"/>
                <w:sz w:val="20"/>
                <w:szCs w:val="20"/>
              </w:rPr>
              <w:t>1</w:t>
            </w:r>
            <w:r>
              <w:rPr>
                <w:b/>
                <w:color w:val="000000" w:themeColor="text1"/>
                <w:sz w:val="20"/>
                <w:szCs w:val="20"/>
              </w:rPr>
              <w:t>,</w:t>
            </w:r>
            <w:r w:rsidRPr="005222E0">
              <w:rPr>
                <w:b/>
                <w:color w:val="000000" w:themeColor="text1"/>
                <w:sz w:val="20"/>
                <w:szCs w:val="20"/>
              </w:rPr>
              <w:t>817.51</w:t>
            </w:r>
          </w:p>
        </w:tc>
        <w:tc>
          <w:tcPr>
            <w:tcW w:w="630" w:type="pct"/>
            <w:tcBorders>
              <w:top w:val="single" w:sz="4" w:space="0" w:color="auto"/>
              <w:left w:val="single" w:sz="4" w:space="0" w:color="auto"/>
              <w:bottom w:val="single" w:sz="4" w:space="0" w:color="auto"/>
              <w:right w:val="single" w:sz="4" w:space="0" w:color="auto"/>
            </w:tcBorders>
          </w:tcPr>
          <w:p w14:paraId="2FF1E15B" w14:textId="77777777" w:rsidR="00621D13" w:rsidRPr="005222E0" w:rsidRDefault="00621D13" w:rsidP="00F957D5">
            <w:pPr>
              <w:jc w:val="right"/>
              <w:rPr>
                <w:b/>
                <w:color w:val="000000" w:themeColor="text1"/>
                <w:sz w:val="20"/>
                <w:szCs w:val="20"/>
              </w:rPr>
            </w:pPr>
            <w:r w:rsidRPr="005222E0">
              <w:rPr>
                <w:b/>
                <w:color w:val="000000" w:themeColor="text1"/>
                <w:sz w:val="20"/>
                <w:szCs w:val="20"/>
              </w:rPr>
              <w:t>1</w:t>
            </w:r>
            <w:r>
              <w:rPr>
                <w:b/>
                <w:color w:val="000000" w:themeColor="text1"/>
                <w:sz w:val="20"/>
                <w:szCs w:val="20"/>
              </w:rPr>
              <w:t>,</w:t>
            </w:r>
            <w:r w:rsidRPr="005222E0">
              <w:rPr>
                <w:b/>
                <w:color w:val="000000" w:themeColor="text1"/>
                <w:sz w:val="20"/>
                <w:szCs w:val="20"/>
              </w:rPr>
              <w:t>811.36</w:t>
            </w:r>
          </w:p>
        </w:tc>
        <w:tc>
          <w:tcPr>
            <w:tcW w:w="630" w:type="pct"/>
            <w:tcBorders>
              <w:top w:val="single" w:sz="4" w:space="0" w:color="auto"/>
              <w:left w:val="single" w:sz="4" w:space="0" w:color="auto"/>
              <w:bottom w:val="single" w:sz="4" w:space="0" w:color="auto"/>
              <w:right w:val="single" w:sz="4" w:space="0" w:color="auto"/>
            </w:tcBorders>
          </w:tcPr>
          <w:p w14:paraId="6D5F3E64" w14:textId="77777777" w:rsidR="00621D13" w:rsidRPr="005222E0" w:rsidRDefault="00621D13" w:rsidP="00F957D5">
            <w:pPr>
              <w:jc w:val="right"/>
              <w:rPr>
                <w:b/>
                <w:color w:val="000000" w:themeColor="text1"/>
                <w:sz w:val="20"/>
                <w:szCs w:val="20"/>
              </w:rPr>
            </w:pPr>
            <w:r w:rsidRPr="005222E0">
              <w:rPr>
                <w:b/>
                <w:color w:val="000000" w:themeColor="text1"/>
                <w:sz w:val="20"/>
                <w:szCs w:val="20"/>
              </w:rPr>
              <w:t>969.25</w:t>
            </w:r>
          </w:p>
        </w:tc>
        <w:tc>
          <w:tcPr>
            <w:tcW w:w="630" w:type="pct"/>
            <w:tcBorders>
              <w:top w:val="single" w:sz="4" w:space="0" w:color="auto"/>
              <w:left w:val="single" w:sz="4" w:space="0" w:color="auto"/>
              <w:bottom w:val="single" w:sz="4" w:space="0" w:color="auto"/>
              <w:right w:val="single" w:sz="4" w:space="0" w:color="auto"/>
            </w:tcBorders>
            <w:noWrap/>
            <w:hideMark/>
          </w:tcPr>
          <w:p w14:paraId="79E97677" w14:textId="77777777" w:rsidR="00621D13" w:rsidRPr="005222E0" w:rsidRDefault="00621D13" w:rsidP="00F957D5">
            <w:pPr>
              <w:jc w:val="right"/>
              <w:rPr>
                <w:b/>
                <w:color w:val="000000" w:themeColor="text1"/>
                <w:sz w:val="20"/>
                <w:szCs w:val="20"/>
              </w:rPr>
            </w:pPr>
            <w:r w:rsidRPr="005222E0">
              <w:rPr>
                <w:b/>
                <w:color w:val="000000" w:themeColor="text1"/>
                <w:sz w:val="20"/>
                <w:szCs w:val="20"/>
              </w:rPr>
              <w:t>2,5</w:t>
            </w:r>
            <w:r>
              <w:rPr>
                <w:b/>
                <w:color w:val="000000" w:themeColor="text1"/>
                <w:sz w:val="20"/>
                <w:szCs w:val="20"/>
              </w:rPr>
              <w:t>23.21</w:t>
            </w:r>
          </w:p>
        </w:tc>
      </w:tr>
      <w:tr w:rsidR="00621D13" w:rsidRPr="00855936" w14:paraId="01501B1B"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tcPr>
          <w:p w14:paraId="24BF9914" w14:textId="77777777" w:rsidR="00621D13" w:rsidRPr="00855936" w:rsidRDefault="00621D13" w:rsidP="00F957D5">
            <w:pPr>
              <w:ind w:left="25"/>
              <w:jc w:val="left"/>
              <w:rPr>
                <w:b/>
                <w:bCs/>
                <w:color w:val="000000" w:themeColor="text1"/>
                <w:sz w:val="20"/>
                <w:szCs w:val="20"/>
              </w:rPr>
            </w:pPr>
            <w:r w:rsidRPr="00855936">
              <w:rPr>
                <w:b/>
                <w:bCs/>
                <w:color w:val="000000" w:themeColor="text1"/>
                <w:sz w:val="20"/>
                <w:szCs w:val="20"/>
              </w:rPr>
              <w:t>ODP tonnes</w:t>
            </w:r>
          </w:p>
        </w:tc>
        <w:tc>
          <w:tcPr>
            <w:tcW w:w="630" w:type="pct"/>
            <w:tcBorders>
              <w:top w:val="single" w:sz="4" w:space="0" w:color="auto"/>
              <w:left w:val="nil"/>
              <w:bottom w:val="single" w:sz="4" w:space="0" w:color="auto"/>
              <w:right w:val="single" w:sz="4" w:space="0" w:color="auto"/>
            </w:tcBorders>
          </w:tcPr>
          <w:p w14:paraId="65604B43" w14:textId="77777777" w:rsidR="00621D13" w:rsidRPr="00855936" w:rsidRDefault="00621D13" w:rsidP="00F957D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3A342F9E" w14:textId="77777777" w:rsidR="00621D13" w:rsidRPr="00855936" w:rsidRDefault="00621D13" w:rsidP="00F957D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7F1397E9" w14:textId="77777777" w:rsidR="00621D13" w:rsidRPr="00855936" w:rsidRDefault="00621D13" w:rsidP="00F957D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2DB7CBD8" w14:textId="77777777" w:rsidR="00621D13" w:rsidRPr="00855936" w:rsidRDefault="00621D13" w:rsidP="00F957D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tcPr>
          <w:p w14:paraId="7F13DD3B" w14:textId="77777777" w:rsidR="00621D13" w:rsidRPr="00855936" w:rsidRDefault="00621D13" w:rsidP="00F957D5">
            <w:pPr>
              <w:jc w:val="right"/>
              <w:rPr>
                <w:b/>
                <w:bCs/>
                <w:color w:val="000000" w:themeColor="text1"/>
                <w:sz w:val="20"/>
                <w:szCs w:val="20"/>
              </w:rPr>
            </w:pPr>
          </w:p>
        </w:tc>
        <w:tc>
          <w:tcPr>
            <w:tcW w:w="630" w:type="pct"/>
            <w:tcBorders>
              <w:top w:val="single" w:sz="4" w:space="0" w:color="auto"/>
              <w:left w:val="single" w:sz="4" w:space="0" w:color="auto"/>
              <w:bottom w:val="single" w:sz="4" w:space="0" w:color="auto"/>
              <w:right w:val="single" w:sz="4" w:space="0" w:color="auto"/>
            </w:tcBorders>
            <w:noWrap/>
          </w:tcPr>
          <w:p w14:paraId="381B1061" w14:textId="77777777" w:rsidR="00621D13" w:rsidRPr="00855936" w:rsidRDefault="00621D13" w:rsidP="00F957D5">
            <w:pPr>
              <w:jc w:val="right"/>
              <w:rPr>
                <w:b/>
                <w:bCs/>
                <w:color w:val="000000" w:themeColor="text1"/>
                <w:sz w:val="20"/>
                <w:szCs w:val="20"/>
              </w:rPr>
            </w:pPr>
          </w:p>
        </w:tc>
      </w:tr>
      <w:tr w:rsidR="00621D13" w:rsidRPr="0074181A" w14:paraId="7132117D"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792C8152"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HCFC-22</w:t>
            </w:r>
          </w:p>
        </w:tc>
        <w:tc>
          <w:tcPr>
            <w:tcW w:w="630" w:type="pct"/>
            <w:tcBorders>
              <w:top w:val="single" w:sz="4" w:space="0" w:color="auto"/>
              <w:left w:val="nil"/>
              <w:bottom w:val="single" w:sz="4" w:space="0" w:color="auto"/>
              <w:right w:val="single" w:sz="4" w:space="0" w:color="auto"/>
            </w:tcBorders>
          </w:tcPr>
          <w:p w14:paraId="3B6A0E91" w14:textId="77777777" w:rsidR="00621D13" w:rsidRPr="005222E0" w:rsidRDefault="00621D13" w:rsidP="00F957D5">
            <w:pPr>
              <w:jc w:val="right"/>
              <w:rPr>
                <w:color w:val="000000" w:themeColor="text1"/>
                <w:sz w:val="20"/>
                <w:szCs w:val="20"/>
              </w:rPr>
            </w:pPr>
            <w:r w:rsidRPr="005222E0">
              <w:rPr>
                <w:color w:val="000000" w:themeColor="text1"/>
                <w:sz w:val="20"/>
                <w:szCs w:val="20"/>
              </w:rPr>
              <w:t>92.68</w:t>
            </w:r>
          </w:p>
        </w:tc>
        <w:tc>
          <w:tcPr>
            <w:tcW w:w="630" w:type="pct"/>
            <w:tcBorders>
              <w:top w:val="single" w:sz="4" w:space="0" w:color="auto"/>
              <w:left w:val="single" w:sz="4" w:space="0" w:color="auto"/>
              <w:bottom w:val="single" w:sz="4" w:space="0" w:color="auto"/>
              <w:right w:val="single" w:sz="4" w:space="0" w:color="auto"/>
            </w:tcBorders>
          </w:tcPr>
          <w:p w14:paraId="6EBDA5B8" w14:textId="77777777" w:rsidR="00621D13" w:rsidRPr="005222E0" w:rsidRDefault="00621D13" w:rsidP="00F957D5">
            <w:pPr>
              <w:jc w:val="right"/>
              <w:rPr>
                <w:color w:val="000000" w:themeColor="text1"/>
                <w:sz w:val="20"/>
                <w:szCs w:val="20"/>
              </w:rPr>
            </w:pPr>
            <w:r w:rsidRPr="005222E0">
              <w:rPr>
                <w:color w:val="000000" w:themeColor="text1"/>
                <w:sz w:val="20"/>
                <w:szCs w:val="20"/>
              </w:rPr>
              <w:t>90.95</w:t>
            </w:r>
          </w:p>
        </w:tc>
        <w:tc>
          <w:tcPr>
            <w:tcW w:w="630" w:type="pct"/>
            <w:tcBorders>
              <w:top w:val="single" w:sz="4" w:space="0" w:color="auto"/>
              <w:left w:val="single" w:sz="4" w:space="0" w:color="auto"/>
              <w:bottom w:val="single" w:sz="4" w:space="0" w:color="auto"/>
              <w:right w:val="single" w:sz="4" w:space="0" w:color="auto"/>
            </w:tcBorders>
          </w:tcPr>
          <w:p w14:paraId="7C8B63E6" w14:textId="77777777" w:rsidR="00621D13" w:rsidRPr="005222E0" w:rsidRDefault="00621D13" w:rsidP="00F957D5">
            <w:pPr>
              <w:jc w:val="right"/>
              <w:rPr>
                <w:color w:val="000000" w:themeColor="text1"/>
                <w:sz w:val="20"/>
                <w:szCs w:val="20"/>
              </w:rPr>
            </w:pPr>
            <w:r w:rsidRPr="005222E0">
              <w:rPr>
                <w:color w:val="000000" w:themeColor="text1"/>
                <w:sz w:val="20"/>
                <w:szCs w:val="20"/>
              </w:rPr>
              <w:t>88.86</w:t>
            </w:r>
          </w:p>
        </w:tc>
        <w:tc>
          <w:tcPr>
            <w:tcW w:w="630" w:type="pct"/>
            <w:tcBorders>
              <w:top w:val="single" w:sz="4" w:space="0" w:color="auto"/>
              <w:left w:val="single" w:sz="4" w:space="0" w:color="auto"/>
              <w:bottom w:val="single" w:sz="4" w:space="0" w:color="auto"/>
              <w:right w:val="single" w:sz="4" w:space="0" w:color="auto"/>
            </w:tcBorders>
          </w:tcPr>
          <w:p w14:paraId="0A8469AA" w14:textId="77777777" w:rsidR="00621D13" w:rsidRPr="005222E0" w:rsidRDefault="00621D13" w:rsidP="00F957D5">
            <w:pPr>
              <w:jc w:val="right"/>
              <w:rPr>
                <w:color w:val="000000" w:themeColor="text1"/>
                <w:sz w:val="20"/>
                <w:szCs w:val="20"/>
              </w:rPr>
            </w:pPr>
            <w:r w:rsidRPr="005222E0">
              <w:rPr>
                <w:color w:val="000000" w:themeColor="text1"/>
                <w:sz w:val="20"/>
                <w:szCs w:val="20"/>
              </w:rPr>
              <w:t>90.38</w:t>
            </w:r>
          </w:p>
        </w:tc>
        <w:tc>
          <w:tcPr>
            <w:tcW w:w="630" w:type="pct"/>
            <w:tcBorders>
              <w:top w:val="single" w:sz="4" w:space="0" w:color="auto"/>
              <w:left w:val="single" w:sz="4" w:space="0" w:color="auto"/>
              <w:bottom w:val="single" w:sz="4" w:space="0" w:color="auto"/>
              <w:right w:val="single" w:sz="4" w:space="0" w:color="auto"/>
            </w:tcBorders>
          </w:tcPr>
          <w:p w14:paraId="14D66305" w14:textId="77777777" w:rsidR="00621D13" w:rsidRPr="005222E0" w:rsidRDefault="00621D13" w:rsidP="00F957D5">
            <w:pPr>
              <w:jc w:val="right"/>
              <w:rPr>
                <w:color w:val="000000" w:themeColor="text1"/>
                <w:sz w:val="20"/>
                <w:szCs w:val="20"/>
              </w:rPr>
            </w:pPr>
            <w:r w:rsidRPr="005222E0">
              <w:rPr>
                <w:color w:val="000000" w:themeColor="text1"/>
                <w:sz w:val="20"/>
                <w:szCs w:val="20"/>
              </w:rPr>
              <w:t>46.40</w:t>
            </w:r>
          </w:p>
        </w:tc>
        <w:tc>
          <w:tcPr>
            <w:tcW w:w="630" w:type="pct"/>
            <w:tcBorders>
              <w:top w:val="single" w:sz="4" w:space="0" w:color="auto"/>
              <w:left w:val="single" w:sz="4" w:space="0" w:color="auto"/>
              <w:bottom w:val="single" w:sz="4" w:space="0" w:color="auto"/>
              <w:right w:val="single" w:sz="4" w:space="0" w:color="auto"/>
            </w:tcBorders>
            <w:noWrap/>
            <w:hideMark/>
          </w:tcPr>
          <w:p w14:paraId="7FA17C7F" w14:textId="77777777" w:rsidR="00621D13" w:rsidRPr="005222E0" w:rsidRDefault="00621D13" w:rsidP="00F957D5">
            <w:pPr>
              <w:jc w:val="right"/>
              <w:rPr>
                <w:color w:val="000000" w:themeColor="text1"/>
                <w:sz w:val="20"/>
                <w:szCs w:val="20"/>
              </w:rPr>
            </w:pPr>
            <w:r w:rsidRPr="005222E0">
              <w:rPr>
                <w:color w:val="000000" w:themeColor="text1"/>
                <w:sz w:val="20"/>
                <w:szCs w:val="20"/>
              </w:rPr>
              <w:t>10</w:t>
            </w:r>
            <w:r>
              <w:rPr>
                <w:color w:val="000000" w:themeColor="text1"/>
                <w:sz w:val="20"/>
                <w:szCs w:val="20"/>
              </w:rPr>
              <w:t>7</w:t>
            </w:r>
            <w:r w:rsidRPr="005222E0">
              <w:rPr>
                <w:color w:val="000000" w:themeColor="text1"/>
                <w:sz w:val="20"/>
                <w:szCs w:val="20"/>
              </w:rPr>
              <w:t>.</w:t>
            </w:r>
            <w:r>
              <w:rPr>
                <w:color w:val="000000" w:themeColor="text1"/>
                <w:sz w:val="20"/>
                <w:szCs w:val="20"/>
              </w:rPr>
              <w:t>77</w:t>
            </w:r>
          </w:p>
        </w:tc>
      </w:tr>
      <w:tr w:rsidR="00621D13" w:rsidRPr="0074181A" w14:paraId="2698981B"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28D5E445"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HCFC-141b</w:t>
            </w:r>
          </w:p>
        </w:tc>
        <w:tc>
          <w:tcPr>
            <w:tcW w:w="630" w:type="pct"/>
            <w:tcBorders>
              <w:top w:val="single" w:sz="4" w:space="0" w:color="auto"/>
              <w:left w:val="nil"/>
              <w:bottom w:val="single" w:sz="4" w:space="0" w:color="auto"/>
              <w:right w:val="single" w:sz="4" w:space="0" w:color="auto"/>
            </w:tcBorders>
          </w:tcPr>
          <w:p w14:paraId="30A2E849" w14:textId="77777777" w:rsidR="00621D13" w:rsidRPr="005222E0" w:rsidRDefault="00621D13" w:rsidP="00F957D5">
            <w:pPr>
              <w:jc w:val="right"/>
              <w:rPr>
                <w:color w:val="000000" w:themeColor="text1"/>
                <w:sz w:val="20"/>
                <w:szCs w:val="20"/>
              </w:rPr>
            </w:pPr>
            <w:r w:rsidRPr="005222E0">
              <w:rPr>
                <w:color w:val="000000" w:themeColor="text1"/>
                <w:sz w:val="20"/>
                <w:szCs w:val="20"/>
              </w:rPr>
              <w:t>17.44</w:t>
            </w:r>
          </w:p>
        </w:tc>
        <w:tc>
          <w:tcPr>
            <w:tcW w:w="630" w:type="pct"/>
            <w:tcBorders>
              <w:top w:val="single" w:sz="4" w:space="0" w:color="auto"/>
              <w:left w:val="single" w:sz="4" w:space="0" w:color="auto"/>
              <w:bottom w:val="single" w:sz="4" w:space="0" w:color="auto"/>
              <w:right w:val="single" w:sz="4" w:space="0" w:color="auto"/>
            </w:tcBorders>
          </w:tcPr>
          <w:p w14:paraId="74B5FB5A" w14:textId="77777777" w:rsidR="00621D13" w:rsidRPr="005222E0" w:rsidRDefault="00621D13" w:rsidP="00F957D5">
            <w:pPr>
              <w:jc w:val="right"/>
              <w:rPr>
                <w:color w:val="000000" w:themeColor="text1"/>
                <w:sz w:val="20"/>
                <w:szCs w:val="20"/>
              </w:rPr>
            </w:pPr>
            <w:r w:rsidRPr="005222E0">
              <w:rPr>
                <w:color w:val="000000" w:themeColor="text1"/>
                <w:sz w:val="20"/>
                <w:szCs w:val="20"/>
              </w:rPr>
              <w:t>20.18</w:t>
            </w:r>
          </w:p>
        </w:tc>
        <w:tc>
          <w:tcPr>
            <w:tcW w:w="630" w:type="pct"/>
            <w:tcBorders>
              <w:top w:val="single" w:sz="4" w:space="0" w:color="auto"/>
              <w:left w:val="single" w:sz="4" w:space="0" w:color="auto"/>
              <w:bottom w:val="single" w:sz="4" w:space="0" w:color="auto"/>
              <w:right w:val="single" w:sz="4" w:space="0" w:color="auto"/>
            </w:tcBorders>
          </w:tcPr>
          <w:p w14:paraId="0478ACCD" w14:textId="77777777" w:rsidR="00621D13" w:rsidRPr="005222E0" w:rsidRDefault="00621D13" w:rsidP="00F957D5">
            <w:pPr>
              <w:jc w:val="right"/>
              <w:rPr>
                <w:color w:val="000000" w:themeColor="text1"/>
                <w:sz w:val="20"/>
                <w:szCs w:val="20"/>
              </w:rPr>
            </w:pPr>
            <w:r w:rsidRPr="005222E0">
              <w:rPr>
                <w:color w:val="000000" w:themeColor="text1"/>
                <w:sz w:val="20"/>
                <w:szCs w:val="20"/>
              </w:rPr>
              <w:t>15.90</w:t>
            </w:r>
          </w:p>
        </w:tc>
        <w:tc>
          <w:tcPr>
            <w:tcW w:w="630" w:type="pct"/>
            <w:tcBorders>
              <w:top w:val="single" w:sz="4" w:space="0" w:color="auto"/>
              <w:left w:val="single" w:sz="4" w:space="0" w:color="auto"/>
              <w:bottom w:val="single" w:sz="4" w:space="0" w:color="auto"/>
              <w:right w:val="single" w:sz="4" w:space="0" w:color="auto"/>
            </w:tcBorders>
          </w:tcPr>
          <w:p w14:paraId="2489E6C0" w14:textId="77777777" w:rsidR="00621D13" w:rsidRPr="005222E0" w:rsidRDefault="00621D13" w:rsidP="00F957D5">
            <w:pPr>
              <w:jc w:val="right"/>
              <w:rPr>
                <w:color w:val="000000" w:themeColor="text1"/>
                <w:sz w:val="20"/>
                <w:szCs w:val="20"/>
              </w:rPr>
            </w:pPr>
            <w:r w:rsidRPr="005222E0">
              <w:rPr>
                <w:color w:val="000000" w:themeColor="text1"/>
                <w:sz w:val="20"/>
                <w:szCs w:val="20"/>
              </w:rPr>
              <w:t>12.21</w:t>
            </w:r>
          </w:p>
        </w:tc>
        <w:tc>
          <w:tcPr>
            <w:tcW w:w="630" w:type="pct"/>
            <w:tcBorders>
              <w:top w:val="single" w:sz="4" w:space="0" w:color="auto"/>
              <w:left w:val="single" w:sz="4" w:space="0" w:color="auto"/>
              <w:bottom w:val="single" w:sz="4" w:space="0" w:color="auto"/>
              <w:right w:val="single" w:sz="4" w:space="0" w:color="auto"/>
            </w:tcBorders>
          </w:tcPr>
          <w:p w14:paraId="59662904" w14:textId="77777777" w:rsidR="00621D13" w:rsidRPr="005222E0" w:rsidRDefault="00621D13" w:rsidP="00F957D5">
            <w:pPr>
              <w:jc w:val="right"/>
              <w:rPr>
                <w:color w:val="000000" w:themeColor="text1"/>
                <w:sz w:val="20"/>
                <w:szCs w:val="20"/>
              </w:rPr>
            </w:pPr>
            <w:r w:rsidRPr="005222E0">
              <w:rPr>
                <w:color w:val="000000" w:themeColor="text1"/>
                <w:sz w:val="20"/>
                <w:szCs w:val="20"/>
              </w:rPr>
              <w:t>2.08</w:t>
            </w:r>
          </w:p>
        </w:tc>
        <w:tc>
          <w:tcPr>
            <w:tcW w:w="630" w:type="pct"/>
            <w:tcBorders>
              <w:top w:val="single" w:sz="4" w:space="0" w:color="auto"/>
              <w:left w:val="single" w:sz="4" w:space="0" w:color="auto"/>
              <w:bottom w:val="single" w:sz="4" w:space="0" w:color="auto"/>
              <w:right w:val="single" w:sz="4" w:space="0" w:color="auto"/>
            </w:tcBorders>
            <w:noWrap/>
            <w:hideMark/>
          </w:tcPr>
          <w:p w14:paraId="3F40736B" w14:textId="77777777" w:rsidR="00621D13" w:rsidRPr="005222E0" w:rsidRDefault="00621D13" w:rsidP="00F957D5">
            <w:pPr>
              <w:jc w:val="right"/>
              <w:rPr>
                <w:color w:val="000000" w:themeColor="text1"/>
                <w:sz w:val="20"/>
                <w:szCs w:val="20"/>
              </w:rPr>
            </w:pPr>
            <w:r w:rsidRPr="005222E0">
              <w:rPr>
                <w:color w:val="000000" w:themeColor="text1"/>
                <w:sz w:val="20"/>
                <w:szCs w:val="20"/>
              </w:rPr>
              <w:t>5</w:t>
            </w:r>
            <w:r>
              <w:rPr>
                <w:color w:val="000000" w:themeColor="text1"/>
                <w:sz w:val="20"/>
                <w:szCs w:val="20"/>
              </w:rPr>
              <w:t>2</w:t>
            </w:r>
            <w:r w:rsidRPr="005222E0">
              <w:rPr>
                <w:color w:val="000000" w:themeColor="text1"/>
                <w:sz w:val="20"/>
                <w:szCs w:val="20"/>
              </w:rPr>
              <w:t>.</w:t>
            </w:r>
            <w:r>
              <w:rPr>
                <w:color w:val="000000" w:themeColor="text1"/>
                <w:sz w:val="20"/>
                <w:szCs w:val="20"/>
              </w:rPr>
              <w:t>26</w:t>
            </w:r>
          </w:p>
        </w:tc>
      </w:tr>
      <w:tr w:rsidR="00621D13" w:rsidRPr="0074181A" w14:paraId="303E1D66"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tcPr>
          <w:p w14:paraId="470FFB2E" w14:textId="77777777" w:rsidR="00621D13" w:rsidRPr="005222E0" w:rsidRDefault="00621D13" w:rsidP="00F957D5">
            <w:pPr>
              <w:ind w:left="25"/>
              <w:jc w:val="left"/>
              <w:rPr>
                <w:color w:val="000000" w:themeColor="text1"/>
                <w:sz w:val="20"/>
                <w:szCs w:val="20"/>
              </w:rPr>
            </w:pPr>
            <w:r>
              <w:rPr>
                <w:color w:val="000000" w:themeColor="text1"/>
                <w:sz w:val="20"/>
                <w:szCs w:val="20"/>
              </w:rPr>
              <w:t>HCFC-142b</w:t>
            </w:r>
          </w:p>
        </w:tc>
        <w:tc>
          <w:tcPr>
            <w:tcW w:w="630" w:type="pct"/>
            <w:tcBorders>
              <w:top w:val="single" w:sz="4" w:space="0" w:color="auto"/>
              <w:left w:val="nil"/>
              <w:bottom w:val="single" w:sz="4" w:space="0" w:color="auto"/>
              <w:right w:val="single" w:sz="4" w:space="0" w:color="auto"/>
            </w:tcBorders>
          </w:tcPr>
          <w:p w14:paraId="4B23F677" w14:textId="77777777" w:rsidR="00621D13" w:rsidRPr="005222E0" w:rsidRDefault="00621D13" w:rsidP="00F957D5">
            <w:pPr>
              <w:jc w:val="right"/>
              <w:rPr>
                <w:color w:val="000000" w:themeColor="text1"/>
                <w:sz w:val="20"/>
                <w:szCs w:val="20"/>
              </w:rPr>
            </w:pPr>
            <w:r w:rsidRPr="007762B8">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3DB31C81" w14:textId="77777777" w:rsidR="00621D13" w:rsidRPr="005222E0" w:rsidRDefault="00621D13" w:rsidP="00F957D5">
            <w:pPr>
              <w:jc w:val="right"/>
              <w:rPr>
                <w:color w:val="000000" w:themeColor="text1"/>
                <w:sz w:val="20"/>
                <w:szCs w:val="20"/>
              </w:rPr>
            </w:pPr>
            <w:r w:rsidRPr="007762B8">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1B596293" w14:textId="77777777" w:rsidR="00621D13" w:rsidRPr="005222E0" w:rsidRDefault="00621D13" w:rsidP="00F957D5">
            <w:pPr>
              <w:jc w:val="right"/>
              <w:rPr>
                <w:color w:val="000000" w:themeColor="text1"/>
                <w:sz w:val="20"/>
                <w:szCs w:val="20"/>
              </w:rPr>
            </w:pPr>
            <w:r w:rsidRPr="007762B8">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4F274F7C" w14:textId="77777777" w:rsidR="00621D13" w:rsidRPr="005222E0" w:rsidRDefault="00621D13" w:rsidP="00F957D5">
            <w:pPr>
              <w:jc w:val="right"/>
              <w:rPr>
                <w:color w:val="000000" w:themeColor="text1"/>
                <w:sz w:val="20"/>
                <w:szCs w:val="20"/>
              </w:rPr>
            </w:pPr>
            <w:r w:rsidRPr="007762B8">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tcPr>
          <w:p w14:paraId="322116B9" w14:textId="77777777" w:rsidR="00621D13" w:rsidRPr="005222E0" w:rsidRDefault="00621D13" w:rsidP="00F957D5">
            <w:pPr>
              <w:jc w:val="right"/>
              <w:rPr>
                <w:color w:val="000000" w:themeColor="text1"/>
                <w:sz w:val="20"/>
                <w:szCs w:val="20"/>
              </w:rPr>
            </w:pPr>
            <w:r w:rsidRPr="007762B8">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noWrap/>
          </w:tcPr>
          <w:p w14:paraId="3A718668" w14:textId="77777777" w:rsidR="00621D13" w:rsidRPr="005222E0" w:rsidRDefault="00621D13" w:rsidP="00F957D5">
            <w:pPr>
              <w:jc w:val="right"/>
              <w:rPr>
                <w:color w:val="000000" w:themeColor="text1"/>
                <w:sz w:val="20"/>
                <w:szCs w:val="20"/>
              </w:rPr>
            </w:pPr>
            <w:r>
              <w:rPr>
                <w:color w:val="000000" w:themeColor="text1"/>
                <w:sz w:val="20"/>
                <w:szCs w:val="20"/>
              </w:rPr>
              <w:t>0.26</w:t>
            </w:r>
          </w:p>
        </w:tc>
      </w:tr>
      <w:tr w:rsidR="00621D13" w:rsidRPr="0074181A" w14:paraId="78EAB38B"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59FA8ED2"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HCFC-123</w:t>
            </w:r>
          </w:p>
        </w:tc>
        <w:tc>
          <w:tcPr>
            <w:tcW w:w="630" w:type="pct"/>
            <w:tcBorders>
              <w:top w:val="single" w:sz="4" w:space="0" w:color="auto"/>
              <w:left w:val="nil"/>
              <w:bottom w:val="single" w:sz="4" w:space="0" w:color="auto"/>
              <w:right w:val="single" w:sz="4" w:space="0" w:color="auto"/>
            </w:tcBorders>
          </w:tcPr>
          <w:p w14:paraId="7C45F40A" w14:textId="77777777" w:rsidR="00621D13" w:rsidRPr="005222E0" w:rsidRDefault="00621D13" w:rsidP="00F957D5">
            <w:pPr>
              <w:jc w:val="right"/>
              <w:rPr>
                <w:color w:val="000000" w:themeColor="text1"/>
                <w:sz w:val="20"/>
                <w:szCs w:val="20"/>
              </w:rPr>
            </w:pPr>
            <w:r w:rsidRPr="005222E0">
              <w:rPr>
                <w:color w:val="000000" w:themeColor="text1"/>
                <w:sz w:val="20"/>
                <w:szCs w:val="20"/>
              </w:rPr>
              <w:t>5.26</w:t>
            </w:r>
          </w:p>
        </w:tc>
        <w:tc>
          <w:tcPr>
            <w:tcW w:w="630" w:type="pct"/>
            <w:tcBorders>
              <w:top w:val="single" w:sz="4" w:space="0" w:color="auto"/>
              <w:left w:val="single" w:sz="4" w:space="0" w:color="auto"/>
              <w:bottom w:val="single" w:sz="4" w:space="0" w:color="auto"/>
              <w:right w:val="single" w:sz="4" w:space="0" w:color="auto"/>
            </w:tcBorders>
          </w:tcPr>
          <w:p w14:paraId="22B01719" w14:textId="77777777" w:rsidR="00621D13" w:rsidRPr="005222E0" w:rsidRDefault="00621D13" w:rsidP="00F957D5">
            <w:pPr>
              <w:jc w:val="right"/>
              <w:rPr>
                <w:color w:val="000000" w:themeColor="text1"/>
                <w:sz w:val="20"/>
                <w:szCs w:val="20"/>
              </w:rPr>
            </w:pPr>
            <w:r w:rsidRPr="005222E0">
              <w:rPr>
                <w:color w:val="000000" w:themeColor="text1"/>
                <w:sz w:val="20"/>
                <w:szCs w:val="20"/>
              </w:rPr>
              <w:t>1.14</w:t>
            </w:r>
          </w:p>
        </w:tc>
        <w:tc>
          <w:tcPr>
            <w:tcW w:w="630" w:type="pct"/>
            <w:tcBorders>
              <w:top w:val="single" w:sz="4" w:space="0" w:color="auto"/>
              <w:left w:val="single" w:sz="4" w:space="0" w:color="auto"/>
              <w:bottom w:val="single" w:sz="4" w:space="0" w:color="auto"/>
              <w:right w:val="single" w:sz="4" w:space="0" w:color="auto"/>
            </w:tcBorders>
          </w:tcPr>
          <w:p w14:paraId="5872F079" w14:textId="77777777" w:rsidR="00621D13" w:rsidRPr="005222E0" w:rsidRDefault="00621D13" w:rsidP="00F957D5">
            <w:pPr>
              <w:jc w:val="right"/>
              <w:rPr>
                <w:color w:val="000000" w:themeColor="text1"/>
                <w:sz w:val="20"/>
                <w:szCs w:val="20"/>
              </w:rPr>
            </w:pPr>
            <w:r w:rsidRPr="005222E0">
              <w:rPr>
                <w:color w:val="000000" w:themeColor="text1"/>
                <w:sz w:val="20"/>
                <w:szCs w:val="20"/>
              </w:rPr>
              <w:t>1.15</w:t>
            </w:r>
          </w:p>
        </w:tc>
        <w:tc>
          <w:tcPr>
            <w:tcW w:w="630" w:type="pct"/>
            <w:tcBorders>
              <w:top w:val="single" w:sz="4" w:space="0" w:color="auto"/>
              <w:left w:val="single" w:sz="4" w:space="0" w:color="auto"/>
              <w:bottom w:val="single" w:sz="4" w:space="0" w:color="auto"/>
              <w:right w:val="single" w:sz="4" w:space="0" w:color="auto"/>
            </w:tcBorders>
          </w:tcPr>
          <w:p w14:paraId="4C803C5B" w14:textId="77777777" w:rsidR="00621D13" w:rsidRPr="005222E0" w:rsidRDefault="00621D13" w:rsidP="00F957D5">
            <w:pPr>
              <w:jc w:val="right"/>
              <w:rPr>
                <w:color w:val="000000" w:themeColor="text1"/>
                <w:sz w:val="20"/>
                <w:szCs w:val="20"/>
              </w:rPr>
            </w:pPr>
            <w:r w:rsidRPr="005222E0">
              <w:rPr>
                <w:color w:val="000000" w:themeColor="text1"/>
                <w:sz w:val="20"/>
                <w:szCs w:val="20"/>
              </w:rPr>
              <w:t>1.14</w:t>
            </w:r>
          </w:p>
        </w:tc>
        <w:tc>
          <w:tcPr>
            <w:tcW w:w="630" w:type="pct"/>
            <w:tcBorders>
              <w:top w:val="single" w:sz="4" w:space="0" w:color="auto"/>
              <w:left w:val="single" w:sz="4" w:space="0" w:color="auto"/>
              <w:bottom w:val="single" w:sz="4" w:space="0" w:color="auto"/>
              <w:right w:val="single" w:sz="4" w:space="0" w:color="auto"/>
            </w:tcBorders>
          </w:tcPr>
          <w:p w14:paraId="6E984633" w14:textId="77777777" w:rsidR="00621D13" w:rsidRPr="005222E0" w:rsidRDefault="00621D13" w:rsidP="00F957D5">
            <w:pPr>
              <w:jc w:val="right"/>
              <w:rPr>
                <w:color w:val="000000" w:themeColor="text1"/>
                <w:sz w:val="20"/>
                <w:szCs w:val="20"/>
              </w:rPr>
            </w:pPr>
            <w:r w:rsidRPr="005222E0">
              <w:rPr>
                <w:color w:val="000000" w:themeColor="text1"/>
                <w:sz w:val="20"/>
                <w:szCs w:val="20"/>
              </w:rPr>
              <w:t>2.13</w:t>
            </w:r>
          </w:p>
        </w:tc>
        <w:tc>
          <w:tcPr>
            <w:tcW w:w="630" w:type="pct"/>
            <w:tcBorders>
              <w:top w:val="single" w:sz="4" w:space="0" w:color="auto"/>
              <w:left w:val="single" w:sz="4" w:space="0" w:color="auto"/>
              <w:bottom w:val="single" w:sz="4" w:space="0" w:color="auto"/>
              <w:right w:val="single" w:sz="4" w:space="0" w:color="auto"/>
            </w:tcBorders>
            <w:noWrap/>
            <w:hideMark/>
          </w:tcPr>
          <w:p w14:paraId="62C9F5E1" w14:textId="77777777" w:rsidR="00621D13" w:rsidRPr="005222E0" w:rsidRDefault="00621D13" w:rsidP="00F957D5">
            <w:pPr>
              <w:jc w:val="right"/>
              <w:rPr>
                <w:color w:val="000000" w:themeColor="text1"/>
                <w:sz w:val="20"/>
                <w:szCs w:val="20"/>
              </w:rPr>
            </w:pPr>
            <w:r w:rsidRPr="005222E0">
              <w:rPr>
                <w:color w:val="000000" w:themeColor="text1"/>
                <w:sz w:val="20"/>
                <w:szCs w:val="20"/>
              </w:rPr>
              <w:t>1.</w:t>
            </w:r>
            <w:r>
              <w:rPr>
                <w:color w:val="000000" w:themeColor="text1"/>
                <w:sz w:val="20"/>
                <w:szCs w:val="20"/>
              </w:rPr>
              <w:t>69</w:t>
            </w:r>
          </w:p>
        </w:tc>
      </w:tr>
      <w:tr w:rsidR="00621D13" w:rsidRPr="0074181A" w14:paraId="1C864ADC"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tcPr>
          <w:p w14:paraId="5EF6D088"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HCFC-225</w:t>
            </w:r>
            <w:r>
              <w:rPr>
                <w:color w:val="000000" w:themeColor="text1"/>
                <w:sz w:val="20"/>
                <w:szCs w:val="20"/>
              </w:rPr>
              <w:t>ca</w:t>
            </w:r>
          </w:p>
        </w:tc>
        <w:tc>
          <w:tcPr>
            <w:tcW w:w="630" w:type="pct"/>
            <w:tcBorders>
              <w:top w:val="single" w:sz="4" w:space="0" w:color="auto"/>
              <w:left w:val="nil"/>
              <w:bottom w:val="single" w:sz="4" w:space="0" w:color="auto"/>
              <w:right w:val="single" w:sz="4" w:space="0" w:color="auto"/>
            </w:tcBorders>
            <w:vAlign w:val="bottom"/>
          </w:tcPr>
          <w:p w14:paraId="3DAAE71E"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vAlign w:val="bottom"/>
          </w:tcPr>
          <w:p w14:paraId="60715173"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vAlign w:val="bottom"/>
          </w:tcPr>
          <w:p w14:paraId="764E83AA" w14:textId="77777777" w:rsidR="00621D13" w:rsidRPr="005222E0" w:rsidRDefault="00621D13" w:rsidP="00F957D5">
            <w:pPr>
              <w:jc w:val="right"/>
              <w:rPr>
                <w:color w:val="000000" w:themeColor="text1"/>
                <w:sz w:val="20"/>
                <w:szCs w:val="20"/>
              </w:rPr>
            </w:pPr>
            <w:r w:rsidRPr="005222E0">
              <w:rPr>
                <w:color w:val="000000"/>
                <w:sz w:val="20"/>
                <w:szCs w:val="20"/>
              </w:rPr>
              <w:t>0.00</w:t>
            </w:r>
          </w:p>
        </w:tc>
        <w:tc>
          <w:tcPr>
            <w:tcW w:w="630" w:type="pct"/>
            <w:tcBorders>
              <w:top w:val="single" w:sz="4" w:space="0" w:color="auto"/>
              <w:left w:val="single" w:sz="4" w:space="0" w:color="auto"/>
              <w:bottom w:val="single" w:sz="4" w:space="0" w:color="auto"/>
              <w:right w:val="single" w:sz="4" w:space="0" w:color="auto"/>
            </w:tcBorders>
            <w:vAlign w:val="bottom"/>
          </w:tcPr>
          <w:p w14:paraId="3D1DF743"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tcPr>
          <w:p w14:paraId="41A38B66" w14:textId="77777777" w:rsidR="00621D13" w:rsidRPr="005222E0" w:rsidRDefault="00621D13" w:rsidP="00F957D5">
            <w:pPr>
              <w:jc w:val="right"/>
              <w:rPr>
                <w:color w:val="000000" w:themeColor="text1"/>
                <w:sz w:val="20"/>
                <w:szCs w:val="20"/>
              </w:rPr>
            </w:pPr>
            <w:r w:rsidRPr="005222E0">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noWrap/>
          </w:tcPr>
          <w:p w14:paraId="3A279B87" w14:textId="77777777" w:rsidR="00621D13" w:rsidRPr="005222E0" w:rsidRDefault="00621D13" w:rsidP="00F957D5">
            <w:pPr>
              <w:jc w:val="right"/>
              <w:rPr>
                <w:color w:val="000000" w:themeColor="text1"/>
                <w:sz w:val="20"/>
                <w:szCs w:val="20"/>
              </w:rPr>
            </w:pPr>
            <w:r>
              <w:rPr>
                <w:color w:val="000000" w:themeColor="text1"/>
                <w:sz w:val="20"/>
                <w:szCs w:val="20"/>
              </w:rPr>
              <w:t>0.00</w:t>
            </w:r>
          </w:p>
        </w:tc>
      </w:tr>
      <w:tr w:rsidR="00621D13" w:rsidRPr="0074181A" w14:paraId="20C16132"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tcPr>
          <w:p w14:paraId="66F291F7" w14:textId="77777777" w:rsidR="00621D13" w:rsidRPr="005222E0" w:rsidRDefault="00621D13" w:rsidP="00F957D5">
            <w:pPr>
              <w:ind w:left="25"/>
              <w:jc w:val="left"/>
              <w:rPr>
                <w:color w:val="000000" w:themeColor="text1"/>
                <w:sz w:val="20"/>
                <w:szCs w:val="20"/>
              </w:rPr>
            </w:pPr>
            <w:r w:rsidRPr="005222E0">
              <w:rPr>
                <w:color w:val="000000" w:themeColor="text1"/>
                <w:sz w:val="20"/>
                <w:szCs w:val="20"/>
              </w:rPr>
              <w:t>HCFC-225</w:t>
            </w:r>
            <w:r>
              <w:rPr>
                <w:color w:val="000000" w:themeColor="text1"/>
                <w:sz w:val="20"/>
                <w:szCs w:val="20"/>
              </w:rPr>
              <w:t>cb</w:t>
            </w:r>
          </w:p>
        </w:tc>
        <w:tc>
          <w:tcPr>
            <w:tcW w:w="630" w:type="pct"/>
            <w:tcBorders>
              <w:top w:val="single" w:sz="4" w:space="0" w:color="auto"/>
              <w:left w:val="nil"/>
              <w:bottom w:val="single" w:sz="4" w:space="0" w:color="auto"/>
              <w:right w:val="single" w:sz="4" w:space="0" w:color="auto"/>
            </w:tcBorders>
            <w:vAlign w:val="bottom"/>
          </w:tcPr>
          <w:p w14:paraId="02D6ABD7"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vAlign w:val="bottom"/>
          </w:tcPr>
          <w:p w14:paraId="008B1B4B"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vAlign w:val="bottom"/>
          </w:tcPr>
          <w:p w14:paraId="73A2CAF6"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vAlign w:val="bottom"/>
          </w:tcPr>
          <w:p w14:paraId="4751317A" w14:textId="77777777" w:rsidR="00621D13" w:rsidRPr="005222E0" w:rsidRDefault="00621D13" w:rsidP="00F957D5">
            <w:pPr>
              <w:jc w:val="right"/>
              <w:rPr>
                <w:color w:val="000000" w:themeColor="text1"/>
                <w:sz w:val="20"/>
                <w:szCs w:val="20"/>
              </w:rPr>
            </w:pPr>
            <w:r w:rsidRPr="005222E0">
              <w:rPr>
                <w:color w:val="000000"/>
                <w:sz w:val="20"/>
                <w:szCs w:val="20"/>
              </w:rPr>
              <w:t>0.01</w:t>
            </w:r>
          </w:p>
        </w:tc>
        <w:tc>
          <w:tcPr>
            <w:tcW w:w="630" w:type="pct"/>
            <w:tcBorders>
              <w:top w:val="single" w:sz="4" w:space="0" w:color="auto"/>
              <w:left w:val="single" w:sz="4" w:space="0" w:color="auto"/>
              <w:bottom w:val="single" w:sz="4" w:space="0" w:color="auto"/>
              <w:right w:val="single" w:sz="4" w:space="0" w:color="auto"/>
            </w:tcBorders>
          </w:tcPr>
          <w:p w14:paraId="10E3F48F" w14:textId="77777777" w:rsidR="00621D13" w:rsidRPr="005222E0" w:rsidRDefault="00621D13" w:rsidP="00F957D5">
            <w:pPr>
              <w:jc w:val="right"/>
              <w:rPr>
                <w:color w:val="000000" w:themeColor="text1"/>
                <w:sz w:val="20"/>
                <w:szCs w:val="20"/>
              </w:rPr>
            </w:pPr>
            <w:r w:rsidRPr="005222E0">
              <w:rPr>
                <w:color w:val="000000" w:themeColor="text1"/>
                <w:sz w:val="20"/>
                <w:szCs w:val="20"/>
              </w:rPr>
              <w:t>0.00</w:t>
            </w:r>
          </w:p>
        </w:tc>
        <w:tc>
          <w:tcPr>
            <w:tcW w:w="630" w:type="pct"/>
            <w:tcBorders>
              <w:top w:val="single" w:sz="4" w:space="0" w:color="auto"/>
              <w:left w:val="single" w:sz="4" w:space="0" w:color="auto"/>
              <w:bottom w:val="single" w:sz="4" w:space="0" w:color="auto"/>
              <w:right w:val="single" w:sz="4" w:space="0" w:color="auto"/>
            </w:tcBorders>
            <w:noWrap/>
          </w:tcPr>
          <w:p w14:paraId="1429C042" w14:textId="77777777" w:rsidR="00621D13" w:rsidRPr="005222E0" w:rsidRDefault="00621D13" w:rsidP="00F957D5">
            <w:pPr>
              <w:jc w:val="right"/>
              <w:rPr>
                <w:color w:val="000000" w:themeColor="text1"/>
                <w:sz w:val="20"/>
                <w:szCs w:val="20"/>
              </w:rPr>
            </w:pPr>
            <w:r>
              <w:rPr>
                <w:color w:val="000000" w:themeColor="text1"/>
                <w:sz w:val="20"/>
                <w:szCs w:val="20"/>
              </w:rPr>
              <w:t>0.00</w:t>
            </w:r>
          </w:p>
        </w:tc>
      </w:tr>
      <w:tr w:rsidR="00621D13" w:rsidRPr="0074181A" w14:paraId="7BED5618" w14:textId="77777777" w:rsidTr="00F957D5">
        <w:trPr>
          <w:cantSplit/>
        </w:trPr>
        <w:tc>
          <w:tcPr>
            <w:tcW w:w="1219" w:type="pct"/>
            <w:tcBorders>
              <w:top w:val="single" w:sz="4" w:space="0" w:color="auto"/>
              <w:left w:val="single" w:sz="4" w:space="0" w:color="auto"/>
              <w:bottom w:val="single" w:sz="4" w:space="0" w:color="auto"/>
              <w:right w:val="single" w:sz="4" w:space="0" w:color="auto"/>
            </w:tcBorders>
            <w:noWrap/>
            <w:hideMark/>
          </w:tcPr>
          <w:p w14:paraId="35BA7E00" w14:textId="77777777" w:rsidR="00621D13" w:rsidRPr="005222E0" w:rsidRDefault="00621D13" w:rsidP="00F957D5">
            <w:pPr>
              <w:ind w:left="25"/>
              <w:jc w:val="left"/>
              <w:rPr>
                <w:b/>
                <w:color w:val="000000" w:themeColor="text1"/>
                <w:sz w:val="20"/>
                <w:szCs w:val="20"/>
              </w:rPr>
            </w:pPr>
            <w:r w:rsidRPr="005222E0">
              <w:rPr>
                <w:b/>
                <w:color w:val="000000" w:themeColor="text1"/>
                <w:sz w:val="20"/>
                <w:szCs w:val="20"/>
              </w:rPr>
              <w:t xml:space="preserve">Total </w:t>
            </w:r>
          </w:p>
        </w:tc>
        <w:tc>
          <w:tcPr>
            <w:tcW w:w="630" w:type="pct"/>
            <w:tcBorders>
              <w:top w:val="single" w:sz="4" w:space="0" w:color="auto"/>
              <w:left w:val="nil"/>
              <w:bottom w:val="single" w:sz="4" w:space="0" w:color="auto"/>
              <w:right w:val="single" w:sz="4" w:space="0" w:color="auto"/>
            </w:tcBorders>
          </w:tcPr>
          <w:p w14:paraId="4E80A0BD" w14:textId="77777777" w:rsidR="00621D13" w:rsidRPr="005222E0" w:rsidRDefault="00621D13" w:rsidP="00F957D5">
            <w:pPr>
              <w:jc w:val="right"/>
              <w:rPr>
                <w:b/>
                <w:color w:val="000000" w:themeColor="text1"/>
                <w:sz w:val="20"/>
                <w:szCs w:val="20"/>
              </w:rPr>
            </w:pPr>
            <w:r w:rsidRPr="005222E0">
              <w:rPr>
                <w:b/>
                <w:color w:val="000000" w:themeColor="text1"/>
                <w:sz w:val="20"/>
                <w:szCs w:val="20"/>
              </w:rPr>
              <w:t>115.38</w:t>
            </w:r>
          </w:p>
        </w:tc>
        <w:tc>
          <w:tcPr>
            <w:tcW w:w="630" w:type="pct"/>
            <w:tcBorders>
              <w:top w:val="single" w:sz="4" w:space="0" w:color="auto"/>
              <w:left w:val="single" w:sz="4" w:space="0" w:color="auto"/>
              <w:bottom w:val="single" w:sz="4" w:space="0" w:color="auto"/>
              <w:right w:val="single" w:sz="4" w:space="0" w:color="auto"/>
            </w:tcBorders>
          </w:tcPr>
          <w:p w14:paraId="37A34B3A" w14:textId="77777777" w:rsidR="00621D13" w:rsidRPr="005222E0" w:rsidRDefault="00621D13" w:rsidP="00F957D5">
            <w:pPr>
              <w:jc w:val="right"/>
              <w:rPr>
                <w:b/>
                <w:color w:val="000000" w:themeColor="text1"/>
                <w:sz w:val="20"/>
                <w:szCs w:val="20"/>
              </w:rPr>
            </w:pPr>
            <w:r w:rsidRPr="005222E0">
              <w:rPr>
                <w:b/>
                <w:color w:val="000000" w:themeColor="text1"/>
                <w:sz w:val="20"/>
                <w:szCs w:val="20"/>
              </w:rPr>
              <w:t>112.28</w:t>
            </w:r>
          </w:p>
        </w:tc>
        <w:tc>
          <w:tcPr>
            <w:tcW w:w="630" w:type="pct"/>
            <w:tcBorders>
              <w:top w:val="single" w:sz="4" w:space="0" w:color="auto"/>
              <w:left w:val="single" w:sz="4" w:space="0" w:color="auto"/>
              <w:bottom w:val="single" w:sz="4" w:space="0" w:color="auto"/>
              <w:right w:val="single" w:sz="4" w:space="0" w:color="auto"/>
            </w:tcBorders>
          </w:tcPr>
          <w:p w14:paraId="0E89BE60" w14:textId="77777777" w:rsidR="00621D13" w:rsidRPr="005222E0" w:rsidRDefault="00621D13" w:rsidP="00F957D5">
            <w:pPr>
              <w:jc w:val="right"/>
              <w:rPr>
                <w:b/>
                <w:color w:val="000000" w:themeColor="text1"/>
                <w:sz w:val="20"/>
                <w:szCs w:val="20"/>
              </w:rPr>
            </w:pPr>
            <w:r w:rsidRPr="005222E0">
              <w:rPr>
                <w:b/>
                <w:color w:val="000000" w:themeColor="text1"/>
                <w:sz w:val="20"/>
                <w:szCs w:val="20"/>
              </w:rPr>
              <w:t>105.90</w:t>
            </w:r>
          </w:p>
        </w:tc>
        <w:tc>
          <w:tcPr>
            <w:tcW w:w="630" w:type="pct"/>
            <w:tcBorders>
              <w:top w:val="single" w:sz="4" w:space="0" w:color="auto"/>
              <w:left w:val="single" w:sz="4" w:space="0" w:color="auto"/>
              <w:bottom w:val="single" w:sz="4" w:space="0" w:color="auto"/>
              <w:right w:val="single" w:sz="4" w:space="0" w:color="auto"/>
            </w:tcBorders>
          </w:tcPr>
          <w:p w14:paraId="5559153B" w14:textId="77777777" w:rsidR="00621D13" w:rsidRPr="005222E0" w:rsidRDefault="00621D13" w:rsidP="00F957D5">
            <w:pPr>
              <w:jc w:val="right"/>
              <w:rPr>
                <w:b/>
                <w:color w:val="000000" w:themeColor="text1"/>
                <w:sz w:val="20"/>
                <w:szCs w:val="20"/>
              </w:rPr>
            </w:pPr>
            <w:r w:rsidRPr="005222E0">
              <w:rPr>
                <w:b/>
                <w:color w:val="000000" w:themeColor="text1"/>
                <w:sz w:val="20"/>
                <w:szCs w:val="20"/>
              </w:rPr>
              <w:t>103.73</w:t>
            </w:r>
          </w:p>
        </w:tc>
        <w:tc>
          <w:tcPr>
            <w:tcW w:w="630" w:type="pct"/>
            <w:tcBorders>
              <w:top w:val="single" w:sz="4" w:space="0" w:color="auto"/>
              <w:left w:val="single" w:sz="4" w:space="0" w:color="auto"/>
              <w:bottom w:val="single" w:sz="4" w:space="0" w:color="auto"/>
              <w:right w:val="single" w:sz="4" w:space="0" w:color="auto"/>
            </w:tcBorders>
          </w:tcPr>
          <w:p w14:paraId="559066A7" w14:textId="77777777" w:rsidR="00621D13" w:rsidRPr="005222E0" w:rsidRDefault="00621D13" w:rsidP="00F957D5">
            <w:pPr>
              <w:jc w:val="right"/>
              <w:rPr>
                <w:b/>
                <w:color w:val="000000" w:themeColor="text1"/>
                <w:sz w:val="20"/>
                <w:szCs w:val="20"/>
              </w:rPr>
            </w:pPr>
            <w:r w:rsidRPr="005222E0">
              <w:rPr>
                <w:b/>
                <w:color w:val="000000" w:themeColor="text1"/>
                <w:sz w:val="20"/>
                <w:szCs w:val="20"/>
              </w:rPr>
              <w:t>50.62</w:t>
            </w:r>
          </w:p>
        </w:tc>
        <w:tc>
          <w:tcPr>
            <w:tcW w:w="630" w:type="pct"/>
            <w:tcBorders>
              <w:top w:val="single" w:sz="4" w:space="0" w:color="auto"/>
              <w:left w:val="single" w:sz="4" w:space="0" w:color="auto"/>
              <w:bottom w:val="single" w:sz="4" w:space="0" w:color="auto"/>
              <w:right w:val="single" w:sz="4" w:space="0" w:color="auto"/>
            </w:tcBorders>
            <w:noWrap/>
            <w:hideMark/>
          </w:tcPr>
          <w:p w14:paraId="1FBEF5ED" w14:textId="77777777" w:rsidR="00621D13" w:rsidRPr="005222E0" w:rsidRDefault="00621D13" w:rsidP="00F957D5">
            <w:pPr>
              <w:jc w:val="right"/>
              <w:rPr>
                <w:b/>
                <w:color w:val="000000" w:themeColor="text1"/>
                <w:sz w:val="20"/>
                <w:szCs w:val="20"/>
              </w:rPr>
            </w:pPr>
            <w:r w:rsidRPr="005222E0">
              <w:rPr>
                <w:b/>
                <w:color w:val="000000" w:themeColor="text1"/>
                <w:sz w:val="20"/>
                <w:szCs w:val="20"/>
              </w:rPr>
              <w:t>16</w:t>
            </w:r>
            <w:r>
              <w:rPr>
                <w:b/>
                <w:color w:val="000000" w:themeColor="text1"/>
                <w:sz w:val="20"/>
                <w:szCs w:val="20"/>
              </w:rPr>
              <w:t>1</w:t>
            </w:r>
            <w:r w:rsidRPr="005222E0">
              <w:rPr>
                <w:b/>
                <w:color w:val="000000" w:themeColor="text1"/>
                <w:sz w:val="20"/>
                <w:szCs w:val="20"/>
              </w:rPr>
              <w:t>.</w:t>
            </w:r>
            <w:r>
              <w:rPr>
                <w:b/>
                <w:color w:val="000000" w:themeColor="text1"/>
                <w:sz w:val="20"/>
                <w:szCs w:val="20"/>
              </w:rPr>
              <w:t>9</w:t>
            </w:r>
            <w:r w:rsidRPr="005222E0">
              <w:rPr>
                <w:b/>
                <w:color w:val="000000" w:themeColor="text1"/>
                <w:sz w:val="20"/>
                <w:szCs w:val="20"/>
              </w:rPr>
              <w:t>8</w:t>
            </w:r>
          </w:p>
        </w:tc>
      </w:tr>
    </w:tbl>
    <w:p w14:paraId="5B0CBE1E" w14:textId="77777777" w:rsidR="00621D13" w:rsidRDefault="00621D13" w:rsidP="00621D13">
      <w:pPr>
        <w:rPr>
          <w:strike/>
          <w:sz w:val="16"/>
          <w:szCs w:val="16"/>
        </w:rPr>
      </w:pPr>
      <w:r>
        <w:rPr>
          <w:sz w:val="16"/>
          <w:szCs w:val="16"/>
        </w:rPr>
        <w:t xml:space="preserve">* Data from the verification report on HCFC consumption. </w:t>
      </w:r>
    </w:p>
    <w:p w14:paraId="12E67837" w14:textId="77777777" w:rsidR="00621D13" w:rsidRPr="0034371D" w:rsidRDefault="00621D13" w:rsidP="00621D13">
      <w:pPr>
        <w:rPr>
          <w:sz w:val="16"/>
          <w:szCs w:val="16"/>
        </w:rPr>
      </w:pPr>
    </w:p>
    <w:p w14:paraId="2E9E9E5D" w14:textId="77777777" w:rsidR="00621D13" w:rsidRDefault="00621D13" w:rsidP="00621D13">
      <w:pPr>
        <w:pStyle w:val="Heading1"/>
      </w:pPr>
      <w:r>
        <w:t>From 2016 to 2019 there was a gradual decline in the overall consumption of HCFCs; in 2020 consumption of HCFC-22 and HCFC-141b was sharply reduced which was attributed to the economic decline caused b</w:t>
      </w:r>
      <w:r w:rsidRPr="00EA3562">
        <w:t>y the COVID-19 pandemic, the ban on the importation of HCFC-22 for use in the refrigeration and air-conditioning (RAC) manufacturing sector</w:t>
      </w:r>
      <w:r w:rsidRPr="00EA3562">
        <w:rPr>
          <w:rStyle w:val="FootnoteReference"/>
        </w:rPr>
        <w:footnoteReference w:id="43"/>
      </w:r>
      <w:r w:rsidRPr="00EA3562">
        <w:t xml:space="preserve"> in effect as of 1 January 2020; and the </w:t>
      </w:r>
      <w:r w:rsidRPr="00EA3562">
        <w:lastRenderedPageBreak/>
        <w:t>introduction of HFC-based RAC equipment. The increase in the consumption of HCFC-123 in 2020 was due to a request from an importer for an increased quota allocation in exchange for a corresponding deduction in the importer’s quota for HCFC</w:t>
      </w:r>
      <w:r w:rsidRPr="00EA3562">
        <w:noBreakHyphen/>
        <w:t xml:space="preserve">141b. </w:t>
      </w:r>
      <w:r w:rsidRPr="00EA3562">
        <w:rPr>
          <w:rFonts w:cstheme="minorHAnsi"/>
        </w:rPr>
        <w:t>The Government implemented a ban on the use of HCFC-141b in the foam manufacturing sector starting 1 January</w:t>
      </w:r>
      <w:r>
        <w:rPr>
          <w:rFonts w:cstheme="minorHAnsi"/>
        </w:rPr>
        <w:t xml:space="preserve"> 2015; however, importation for HCFC</w:t>
      </w:r>
      <w:r>
        <w:rPr>
          <w:rFonts w:cstheme="minorHAnsi"/>
        </w:rPr>
        <w:noBreakHyphen/>
        <w:t xml:space="preserve">141b is still allowed for use in the servicing sector. Small quantities of </w:t>
      </w:r>
      <w:r>
        <w:rPr>
          <w:color w:val="000000" w:themeColor="text1"/>
        </w:rPr>
        <w:t>HCFC-225ca and HCFC</w:t>
      </w:r>
      <w:r>
        <w:rPr>
          <w:color w:val="000000" w:themeColor="text1"/>
        </w:rPr>
        <w:noBreakHyphen/>
        <w:t>225cb were used for cleaning refrigeration systems</w:t>
      </w:r>
      <w:r>
        <w:t>.</w:t>
      </w:r>
    </w:p>
    <w:p w14:paraId="162E1B19" w14:textId="77777777" w:rsidR="00621D13" w:rsidRPr="00D557AD" w:rsidRDefault="00621D13" w:rsidP="00621D13">
      <w:pPr>
        <w:widowControl w:val="0"/>
        <w:rPr>
          <w:i/>
          <w:u w:val="single"/>
        </w:rPr>
      </w:pPr>
      <w:r w:rsidRPr="00D557AD">
        <w:rPr>
          <w:i/>
          <w:u w:val="single"/>
        </w:rPr>
        <w:t xml:space="preserve">Country programme (CP) implementation report </w:t>
      </w:r>
    </w:p>
    <w:p w14:paraId="01D2423C" w14:textId="77777777" w:rsidR="00621D13" w:rsidRPr="0034371D" w:rsidRDefault="00621D13" w:rsidP="00621D13">
      <w:pPr>
        <w:widowControl w:val="0"/>
      </w:pPr>
    </w:p>
    <w:p w14:paraId="7A43BB74" w14:textId="77777777" w:rsidR="00621D13" w:rsidRDefault="00621D13" w:rsidP="00621D13">
      <w:pPr>
        <w:pStyle w:val="Heading1"/>
        <w:widowControl w:val="0"/>
      </w:pPr>
      <w:r w:rsidRPr="0034371D">
        <w:t xml:space="preserve">The Government of </w:t>
      </w:r>
      <w:r>
        <w:t xml:space="preserve">the </w:t>
      </w:r>
      <w:r w:rsidRPr="00102E2C">
        <w:t>Philippines reported</w:t>
      </w:r>
      <w:r w:rsidRPr="0034371D">
        <w:t xml:space="preserve"> HCFC sector consumption </w:t>
      </w:r>
      <w:r>
        <w:t xml:space="preserve">of 63.20 ODP tonnes </w:t>
      </w:r>
      <w:r w:rsidRPr="00336DD1">
        <w:t xml:space="preserve">under the 2020 CP </w:t>
      </w:r>
      <w:r w:rsidRPr="0034371D">
        <w:t xml:space="preserve">implementation report which is </w:t>
      </w:r>
      <w:r w:rsidRPr="002746DD">
        <w:t>inconsistent</w:t>
      </w:r>
      <w:r w:rsidRPr="0034371D">
        <w:t xml:space="preserve"> with the data reported </w:t>
      </w:r>
      <w:r w:rsidRPr="00336DD1">
        <w:t>under Article 7 of the Montreal Protocol</w:t>
      </w:r>
      <w:r>
        <w:t xml:space="preserve">. UNIDO explained </w:t>
      </w:r>
      <w:r w:rsidRPr="005140B4">
        <w:t xml:space="preserve">that </w:t>
      </w:r>
      <w:r>
        <w:t xml:space="preserve">the consumption </w:t>
      </w:r>
      <w:r w:rsidRPr="005140B4">
        <w:t>reported under the CP report for HCFC-22 (56.02 ODP tonnes) and HCFC</w:t>
      </w:r>
      <w:r w:rsidRPr="005140B4">
        <w:noBreakHyphen/>
        <w:t>141b (6.52 ODP tonnes) included stockpiles from previous years</w:t>
      </w:r>
      <w:r w:rsidRPr="001710D5">
        <w:t xml:space="preserve">. </w:t>
      </w:r>
    </w:p>
    <w:p w14:paraId="137B522C" w14:textId="77777777" w:rsidR="00621D13" w:rsidRPr="001710D5" w:rsidRDefault="00621D13" w:rsidP="00621D13">
      <w:pPr>
        <w:rPr>
          <w:i/>
        </w:rPr>
      </w:pPr>
      <w:r w:rsidRPr="001710D5">
        <w:rPr>
          <w:i/>
        </w:rPr>
        <w:t xml:space="preserve">Verification report </w:t>
      </w:r>
    </w:p>
    <w:p w14:paraId="7D0C244B" w14:textId="77777777" w:rsidR="00621D13" w:rsidRPr="0034371D" w:rsidRDefault="00621D13" w:rsidP="00621D13"/>
    <w:p w14:paraId="55D947EE" w14:textId="77777777" w:rsidR="00621D13" w:rsidRPr="00621D13" w:rsidRDefault="00621D13" w:rsidP="00621D13">
      <w:pPr>
        <w:pStyle w:val="Heading1"/>
      </w:pPr>
      <w:r w:rsidRPr="00621D13">
        <w:t>The verification report confirmed that the Government of the Philippines is implementing a licensing and quota system for HCFC imports and exports and that minor differences were found between the verified consumption for 2016, 2017, and 2018 and the data reported under Article 7 of the Montreal Protocol, as shown in Table 9 above (i.e., the verified data had a difference of -0.1, +0.61 and -0.03 ODP tonnes, respectively, attributed to rounding). The verification concluded that ODS consumption data is accurately reported; however, the verifier recommended that the Government revise the online licensing and monitoring system to include an early warning system to detect illegal trade, where imports without licences will be automatically flagged by the system, and the expansion of the system to include HFCs. These recommendations will be taken into account during the implementation of the remaining activities for the HPMP.</w:t>
      </w:r>
    </w:p>
    <w:p w14:paraId="0BA96AE1" w14:textId="77777777" w:rsidR="00621D13" w:rsidRPr="0034371D" w:rsidRDefault="00621D13" w:rsidP="00621D13">
      <w:pPr>
        <w:rPr>
          <w:u w:val="single"/>
        </w:rPr>
      </w:pPr>
      <w:r w:rsidRPr="0034371D">
        <w:rPr>
          <w:u w:val="single"/>
        </w:rPr>
        <w:t xml:space="preserve">Progress report on the implementation of </w:t>
      </w:r>
      <w:r w:rsidRPr="00102E2C">
        <w:rPr>
          <w:u w:val="single"/>
        </w:rPr>
        <w:t>the first tranche</w:t>
      </w:r>
      <w:r w:rsidRPr="0034371D">
        <w:rPr>
          <w:u w:val="single"/>
        </w:rPr>
        <w:t xml:space="preserve"> of </w:t>
      </w:r>
      <w:r>
        <w:rPr>
          <w:u w:val="single"/>
        </w:rPr>
        <w:t xml:space="preserve">stage II of </w:t>
      </w:r>
      <w:r w:rsidRPr="0034371D">
        <w:rPr>
          <w:u w:val="single"/>
        </w:rPr>
        <w:t>the HPMP</w:t>
      </w:r>
      <w:r>
        <w:rPr>
          <w:u w:val="single"/>
        </w:rPr>
        <w:t xml:space="preserve"> </w:t>
      </w:r>
    </w:p>
    <w:p w14:paraId="7D75DF0D" w14:textId="77777777" w:rsidR="00621D13" w:rsidRPr="0034371D" w:rsidRDefault="00621D13" w:rsidP="00621D13"/>
    <w:p w14:paraId="2DFAE119" w14:textId="77777777" w:rsidR="00621D13" w:rsidRPr="0034371D" w:rsidRDefault="00621D13" w:rsidP="00621D13">
      <w:pPr>
        <w:rPr>
          <w:i/>
        </w:rPr>
      </w:pPr>
      <w:r w:rsidRPr="0034371D">
        <w:rPr>
          <w:i/>
        </w:rPr>
        <w:t>Legal framework</w:t>
      </w:r>
    </w:p>
    <w:p w14:paraId="0C9A3ACD" w14:textId="77777777" w:rsidR="00621D13" w:rsidRPr="0034371D" w:rsidRDefault="00621D13" w:rsidP="00621D13"/>
    <w:p w14:paraId="13CE7F3A" w14:textId="77777777" w:rsidR="00621D13" w:rsidRDefault="00621D13" w:rsidP="00621D13">
      <w:pPr>
        <w:pStyle w:val="Heading1"/>
      </w:pPr>
      <w:r w:rsidRPr="003C6420">
        <w:t>The HCFC impo</w:t>
      </w:r>
      <w:r>
        <w:t>rt licensing and quota system has been</w:t>
      </w:r>
      <w:r w:rsidRPr="003C6420">
        <w:t xml:space="preserve"> operational since 2004. The Environmental Management Bureau (EMB) through the Philippine Ozone Desk (POD) establishes the annual import quotas for HCFCs in coordination with the Bureau of Customs. </w:t>
      </w:r>
      <w:r>
        <w:t>A</w:t>
      </w:r>
      <w:r w:rsidRPr="003C6420">
        <w:t xml:space="preserve"> certification</w:t>
      </w:r>
      <w:r>
        <w:t xml:space="preserve"> scheme for technicians, and a Harmonized C</w:t>
      </w:r>
      <w:r w:rsidRPr="003C6420">
        <w:t>ode system and labelling requirements</w:t>
      </w:r>
      <w:r>
        <w:t xml:space="preserve"> were introduced into the regulations in 2013; a </w:t>
      </w:r>
      <w:r w:rsidRPr="003C6420">
        <w:t xml:space="preserve">ban on </w:t>
      </w:r>
      <w:r>
        <w:t xml:space="preserve">the </w:t>
      </w:r>
      <w:r w:rsidRPr="003C6420">
        <w:t xml:space="preserve">import/export of </w:t>
      </w:r>
      <w:r w:rsidRPr="00FB7033">
        <w:t>HCFC-141b in the foam manufacturing sector</w:t>
      </w:r>
      <w:r>
        <w:t xml:space="preserve"> and</w:t>
      </w:r>
      <w:r w:rsidRPr="00077E8A">
        <w:t xml:space="preserve"> </w:t>
      </w:r>
      <w:r w:rsidRPr="003C6420">
        <w:t>contained in imported pre</w:t>
      </w:r>
      <w:r>
        <w:noBreakHyphen/>
      </w:r>
      <w:r w:rsidRPr="003C6420">
        <w:t>blended polyols</w:t>
      </w:r>
      <w:r>
        <w:t xml:space="preserve"> has been in place</w:t>
      </w:r>
      <w:r w:rsidRPr="003C6420">
        <w:t xml:space="preserve"> from 1 January 2015</w:t>
      </w:r>
      <w:r>
        <w:t xml:space="preserve">; and a ban on </w:t>
      </w:r>
      <w:r w:rsidRPr="00AB62BC">
        <w:t>the importati</w:t>
      </w:r>
      <w:r>
        <w:t xml:space="preserve">on of HCFC-22 </w:t>
      </w:r>
      <w:r w:rsidRPr="00AB62BC">
        <w:t xml:space="preserve">for </w:t>
      </w:r>
      <w:r>
        <w:t>use in the</w:t>
      </w:r>
      <w:r w:rsidRPr="00AB62BC">
        <w:t xml:space="preserve"> </w:t>
      </w:r>
      <w:r>
        <w:t xml:space="preserve">RAC </w:t>
      </w:r>
      <w:r w:rsidRPr="00AB62BC">
        <w:t>manufacturing</w:t>
      </w:r>
      <w:r>
        <w:t xml:space="preserve"> sector</w:t>
      </w:r>
      <w:r w:rsidRPr="00AB62BC">
        <w:t xml:space="preserve"> </w:t>
      </w:r>
      <w:r>
        <w:t>has been in place since 1 January 2020.</w:t>
      </w:r>
      <w:r w:rsidRPr="003C6420">
        <w:t xml:space="preserve"> Importers of non-ODS alternatives (i.e., HFCs) have been required to obtain a pre-shipment importation clearance since 2005, but there are currently no limits set for the import amount.</w:t>
      </w:r>
      <w:r>
        <w:t xml:space="preserve"> </w:t>
      </w:r>
    </w:p>
    <w:p w14:paraId="73F382BF" w14:textId="77777777" w:rsidR="00621D13" w:rsidRDefault="00621D13" w:rsidP="00621D13">
      <w:pPr>
        <w:pStyle w:val="Heading1"/>
      </w:pPr>
      <w:r>
        <w:t xml:space="preserve">Three training sessions for 70 customs and enforcement officers were held on the Montreal </w:t>
      </w:r>
      <w:r w:rsidRPr="00EA3562">
        <w:t>Protocol, the need for verification and vigilance during inspection and monitoring of actual imports, and on the use of refrigerant identifiers; a fourth training for 100 customs and regulatory officers was held online during the COVID-19 pandemic. As a result of these trainings, the Philippines joined the Informal Prior Informed Consent (</w:t>
      </w:r>
      <w:proofErr w:type="spellStart"/>
      <w:r w:rsidRPr="00EA3562">
        <w:t>iPIC</w:t>
      </w:r>
      <w:proofErr w:type="spellEnd"/>
      <w:r w:rsidRPr="00EA3562">
        <w:t>) network. The training handbook for customs and enforcement officers was reviewed and updated in 2020. Twenty</w:t>
      </w:r>
      <w:r w:rsidRPr="00EA3562">
        <w:noBreakHyphen/>
        <w:t>three refrigerant identifiers were procured which will be distributed to regional customs offices.</w:t>
      </w:r>
    </w:p>
    <w:p w14:paraId="5FEBDFCE" w14:textId="77777777" w:rsidR="00621D13" w:rsidRPr="00EA3562" w:rsidRDefault="00621D13" w:rsidP="00621D13">
      <w:pPr>
        <w:pStyle w:val="Heading1"/>
      </w:pPr>
      <w:r w:rsidRPr="00EA3562">
        <w:t xml:space="preserve">Three online meetings were held with registered importers to discuss the online registration system and annual data reporting requirements. The terms of reference were drafted for an information technology consultant to upgrade the licensing and data management system. Two coordination meetings with Government departments regarding ODS policy and regulations were held. Recommendations from the </w:t>
      </w:r>
      <w:r w:rsidRPr="00EA3562">
        <w:lastRenderedPageBreak/>
        <w:t>verification report will be taken into account by the NOU and the Customs authority when reviewing the overall system of monitoring imports of ODS and other controlled substances in order to adjust it as necessary to make it more effective.</w:t>
      </w:r>
    </w:p>
    <w:p w14:paraId="76F5DCF1" w14:textId="77777777" w:rsidR="00621D13" w:rsidRPr="00EA3562" w:rsidRDefault="00621D13" w:rsidP="00621D13">
      <w:pPr>
        <w:rPr>
          <w:i/>
        </w:rPr>
      </w:pPr>
      <w:r w:rsidRPr="00EA3562">
        <w:rPr>
          <w:i/>
        </w:rPr>
        <w:t>Manufacturing sector</w:t>
      </w:r>
    </w:p>
    <w:p w14:paraId="5129F419" w14:textId="77777777" w:rsidR="00621D13" w:rsidRPr="00EA3562" w:rsidRDefault="00621D13" w:rsidP="00621D13"/>
    <w:p w14:paraId="5186484F" w14:textId="77777777" w:rsidR="00621D13" w:rsidRDefault="00621D13" w:rsidP="00621D13">
      <w:pPr>
        <w:pStyle w:val="Heading1"/>
      </w:pPr>
      <w:r w:rsidRPr="00EA3562">
        <w:t xml:space="preserve">Stage II of the HPMP included the conversion of four HCFC-22-based AC manufacturing enterprises </w:t>
      </w:r>
      <w:r w:rsidRPr="00EA3562">
        <w:rPr>
          <w:color w:val="000000" w:themeColor="text1"/>
        </w:rPr>
        <w:t>(i.e., Concepcion Carrier, Hitachi,</w:t>
      </w:r>
      <w:r>
        <w:rPr>
          <w:color w:val="000000" w:themeColor="text1"/>
        </w:rPr>
        <w:t xml:space="preserve"> Koppel, and Panasonic) to HFC-32 technology, that would result in </w:t>
      </w:r>
      <w:r>
        <w:t>the phase</w:t>
      </w:r>
      <w:r>
        <w:noBreakHyphen/>
        <w:t xml:space="preserve">out of 15.57 ODP tonnes (283.12 </w:t>
      </w:r>
      <w:proofErr w:type="spellStart"/>
      <w:r>
        <w:t>mt</w:t>
      </w:r>
      <w:proofErr w:type="spellEnd"/>
      <w:r>
        <w:t>) of HCFC-22, at an agreed cost of US $1,793,307, plus agency support costs.</w:t>
      </w:r>
      <w:r>
        <w:rPr>
          <w:rStyle w:val="FootnoteReference"/>
        </w:rPr>
        <w:footnoteReference w:id="44"/>
      </w:r>
    </w:p>
    <w:p w14:paraId="2790E7C0" w14:textId="77777777" w:rsidR="00621D13" w:rsidRPr="00EA3562" w:rsidRDefault="00621D13" w:rsidP="00621D13">
      <w:pPr>
        <w:pStyle w:val="Heading1"/>
      </w:pPr>
      <w:r w:rsidRPr="00EA3562">
        <w:t>UNIDO indicated in the tranche request submitted to the 87</w:t>
      </w:r>
      <w:r w:rsidRPr="00EA3562">
        <w:rPr>
          <w:vertAlign w:val="superscript"/>
        </w:rPr>
        <w:t>th</w:t>
      </w:r>
      <w:r w:rsidRPr="00EA3562">
        <w:t xml:space="preserve"> meeting the beneficiary enterprises converted to R</w:t>
      </w:r>
      <w:r w:rsidRPr="00EA3562">
        <w:noBreakHyphen/>
        <w:t xml:space="preserve">410A technology on their own in the beginning of 2019 and that the HCFC-22 consumption associated with these enterprises has been phased out. The Government of the Philippines also indicated that these enterprises may be included as part of the HFC phase-down plan if eligible for funding in the context of decision XXVIII/2. </w:t>
      </w:r>
    </w:p>
    <w:p w14:paraId="7D177D8C" w14:textId="77777777" w:rsidR="00621D13" w:rsidRDefault="00621D13" w:rsidP="00621D13">
      <w:pPr>
        <w:pStyle w:val="Heading1"/>
      </w:pPr>
      <w:r w:rsidRPr="00EA3562">
        <w:rPr>
          <w:lang w:val="en-US"/>
        </w:rPr>
        <w:t>Conversion of these enterprises was significantly delayed due to changes in the management and structure of the POD, and to the change in the designated agency. In 2019, two enterprises (Panasonic and Hitachi) indicated that they had nearly phased out HCFC</w:t>
      </w:r>
      <w:r>
        <w:rPr>
          <w:lang w:val="en-US"/>
        </w:rPr>
        <w:t>-22 through conversion to R</w:t>
      </w:r>
      <w:r>
        <w:rPr>
          <w:lang w:val="en-US"/>
        </w:rPr>
        <w:noBreakHyphen/>
        <w:t xml:space="preserve">410A technology with their own resources; </w:t>
      </w:r>
      <w:r>
        <w:t>subsequent discussions with the other two enterprises (Concepcion and Panasonic) also indicated that they had also nearly completed their conversion to R</w:t>
      </w:r>
      <w:r>
        <w:noBreakHyphen/>
        <w:t xml:space="preserve">410A technology with their own resources. </w:t>
      </w:r>
    </w:p>
    <w:p w14:paraId="09386B09" w14:textId="77777777" w:rsidR="00621D13" w:rsidRPr="005140B4" w:rsidRDefault="00621D13" w:rsidP="00621D13">
      <w:pPr>
        <w:pStyle w:val="Heading1"/>
      </w:pPr>
      <w:r>
        <w:t xml:space="preserve">Through an official communication </w:t>
      </w:r>
      <w:r w:rsidRPr="008E2365">
        <w:t>on</w:t>
      </w:r>
      <w:r>
        <w:t xml:space="preserve"> </w:t>
      </w:r>
      <w:r w:rsidRPr="00D91E9C">
        <w:t>19 May 2021</w:t>
      </w:r>
      <w:r>
        <w:t>,</w:t>
      </w:r>
      <w:r w:rsidRPr="00D91E9C">
        <w:t xml:space="preserve"> </w:t>
      </w:r>
      <w:r w:rsidRPr="00A564F9">
        <w:t xml:space="preserve">the Government of </w:t>
      </w:r>
      <w:r>
        <w:t xml:space="preserve">the Philippines, </w:t>
      </w:r>
      <w:r w:rsidRPr="00A564F9">
        <w:t xml:space="preserve">after </w:t>
      </w:r>
      <w:r>
        <w:t xml:space="preserve">technical </w:t>
      </w:r>
      <w:r w:rsidRPr="00A564F9">
        <w:t xml:space="preserve">evaluation of the current situation in the AC </w:t>
      </w:r>
      <w:r>
        <w:t xml:space="preserve">manufacturing </w:t>
      </w:r>
      <w:r w:rsidRPr="00A564F9">
        <w:t>sector</w:t>
      </w:r>
      <w:r>
        <w:t xml:space="preserve">, </w:t>
      </w:r>
      <w:r w:rsidRPr="003A7970">
        <w:t xml:space="preserve">requested </w:t>
      </w:r>
      <w:r>
        <w:t>that UNIDO</w:t>
      </w:r>
      <w:r w:rsidRPr="00A564F9">
        <w:rPr>
          <w:rStyle w:val="FootnoteReference"/>
        </w:rPr>
        <w:footnoteReference w:id="45"/>
      </w:r>
      <w:r>
        <w:t xml:space="preserve"> cancel</w:t>
      </w:r>
      <w:r w:rsidRPr="00A564F9">
        <w:t xml:space="preserve"> the </w:t>
      </w:r>
      <w:r>
        <w:t xml:space="preserve">project for the conversion of the four AC manufacturing enterprises </w:t>
      </w:r>
      <w:r w:rsidRPr="00A564F9">
        <w:t xml:space="preserve">and to return </w:t>
      </w:r>
      <w:r>
        <w:t xml:space="preserve">the </w:t>
      </w:r>
      <w:r w:rsidRPr="005140B4">
        <w:t xml:space="preserve">balance </w:t>
      </w:r>
      <w:r>
        <w:t>to the Multilateral Fund</w:t>
      </w:r>
      <w:r w:rsidRPr="005140B4">
        <w:t xml:space="preserve">. </w:t>
      </w:r>
    </w:p>
    <w:p w14:paraId="546EDF75" w14:textId="77777777" w:rsidR="00621D13" w:rsidRPr="00EA3562" w:rsidRDefault="00621D13" w:rsidP="00621D13">
      <w:pPr>
        <w:pStyle w:val="Heading1"/>
        <w:widowControl w:val="0"/>
      </w:pPr>
      <w:r w:rsidRPr="00EA3562">
        <w:t>In addition to the funding for the conversion of the four enterprises, US $211,000 was approved as technical assistance and support for the manufacturing sector, to support the safe handling of AC equipment using flammable refrigerants. This funding for technical assistance will continue to be included in the remaining funds for stage II of the HPMP and will be used to support the RAC sector to explore the use of lower</w:t>
      </w:r>
      <w:r w:rsidRPr="00EA3562">
        <w:noBreakHyphen/>
        <w:t>GWP equipment and encourage their uptake in the market.</w:t>
      </w:r>
    </w:p>
    <w:p w14:paraId="3C7F6545" w14:textId="77777777" w:rsidR="00621D13" w:rsidRPr="00564C5D" w:rsidRDefault="00621D13" w:rsidP="00621D13">
      <w:pPr>
        <w:pStyle w:val="Heading1"/>
        <w:numPr>
          <w:ilvl w:val="0"/>
          <w:numId w:val="0"/>
        </w:numPr>
        <w:rPr>
          <w:i/>
        </w:rPr>
      </w:pPr>
      <w:r w:rsidRPr="00564C5D">
        <w:rPr>
          <w:i/>
        </w:rPr>
        <w:t>Refrigeration servicing sector</w:t>
      </w:r>
    </w:p>
    <w:p w14:paraId="7E5CD2C4" w14:textId="77777777" w:rsidR="00621D13" w:rsidRPr="0034371D" w:rsidRDefault="00621D13" w:rsidP="00621D13">
      <w:pPr>
        <w:pStyle w:val="Heading1"/>
      </w:pPr>
      <w:r>
        <w:rPr>
          <w:lang w:val="en-US"/>
        </w:rPr>
        <w:t xml:space="preserve">The change in the designated implementing agency and constraints imposed by the COVID-19 pandemic, has resulted in major delays in the implementation of the activities under the refrigeration servicing sector. </w:t>
      </w:r>
      <w:r>
        <w:t xml:space="preserve">Discussions were initiated with the recycling centre regarding the implementation of the collection of HCFCs and other refrigerants. </w:t>
      </w:r>
    </w:p>
    <w:p w14:paraId="4A0EAD14" w14:textId="77777777" w:rsidR="00621D13" w:rsidRPr="0034371D" w:rsidRDefault="00621D13" w:rsidP="00621D13">
      <w:pPr>
        <w:rPr>
          <w:i/>
        </w:rPr>
      </w:pPr>
      <w:r w:rsidRPr="0034371D">
        <w:rPr>
          <w:i/>
        </w:rPr>
        <w:t>Project implementation and monitoring</w:t>
      </w:r>
      <w:r>
        <w:rPr>
          <w:i/>
        </w:rPr>
        <w:t xml:space="preserve"> </w:t>
      </w:r>
    </w:p>
    <w:p w14:paraId="3012A61E" w14:textId="77777777" w:rsidR="00621D13" w:rsidRPr="0034371D" w:rsidRDefault="00621D13" w:rsidP="00621D13"/>
    <w:p w14:paraId="567B9C2C" w14:textId="77777777" w:rsidR="00621D13" w:rsidRDefault="00621D13" w:rsidP="00621D13">
      <w:pPr>
        <w:pStyle w:val="Heading1"/>
      </w:pPr>
      <w:r w:rsidRPr="00E01248">
        <w:t>O</w:t>
      </w:r>
      <w:r>
        <w:t xml:space="preserve">f the US $75,000 allocated to the project management unit (PMU) for the first tranche, US $25,500 was disbursed on project staff (US $17,500) and consulting services and recruitment of experts (US $8,000). </w:t>
      </w:r>
    </w:p>
    <w:p w14:paraId="5F232491" w14:textId="77777777" w:rsidR="00621D13" w:rsidRPr="00CE7D83" w:rsidRDefault="00621D13" w:rsidP="00621D13">
      <w:pPr>
        <w:pStyle w:val="Heading1"/>
        <w:keepNext/>
        <w:keepLines/>
        <w:numPr>
          <w:ilvl w:val="0"/>
          <w:numId w:val="0"/>
        </w:numPr>
        <w:rPr>
          <w:u w:val="single"/>
        </w:rPr>
      </w:pPr>
      <w:r w:rsidRPr="00CE7D83">
        <w:rPr>
          <w:u w:val="single"/>
        </w:rPr>
        <w:lastRenderedPageBreak/>
        <w:t>Level of fund disbursement</w:t>
      </w:r>
    </w:p>
    <w:p w14:paraId="623EADAF" w14:textId="77777777" w:rsidR="00621D13" w:rsidRDefault="00621D13" w:rsidP="00621D13">
      <w:pPr>
        <w:pStyle w:val="Heading1"/>
      </w:pPr>
      <w:r>
        <w:t>As of M</w:t>
      </w:r>
      <w:r w:rsidRPr="00E96589">
        <w:t xml:space="preserve">ay 2021, of the </w:t>
      </w:r>
      <w:r>
        <w:t>US $</w:t>
      </w:r>
      <w:r w:rsidRPr="00E96589">
        <w:t xml:space="preserve">1,010,023 approved so far, </w:t>
      </w:r>
      <w:r>
        <w:t>US $</w:t>
      </w:r>
      <w:r w:rsidRPr="00E96589">
        <w:t>201,438 (21 per cent) had been disbursed</w:t>
      </w:r>
      <w:r>
        <w:t xml:space="preserve">; no funding was disbursed for the conversion of the four AC manufacturing enterprises. </w:t>
      </w:r>
    </w:p>
    <w:p w14:paraId="1999F8B4" w14:textId="77777777" w:rsidR="00621D13" w:rsidRPr="00B20952" w:rsidRDefault="00621D13" w:rsidP="00621D13">
      <w:pPr>
        <w:keepNext/>
        <w:rPr>
          <w:u w:val="single"/>
        </w:rPr>
      </w:pPr>
      <w:r w:rsidRPr="00B20952">
        <w:rPr>
          <w:u w:val="single"/>
        </w:rPr>
        <w:t>Adjusted funding</w:t>
      </w:r>
    </w:p>
    <w:p w14:paraId="42E6DAF8" w14:textId="77777777" w:rsidR="00621D13" w:rsidRPr="00E578B1" w:rsidRDefault="00621D13" w:rsidP="00621D13">
      <w:pPr>
        <w:keepNext/>
      </w:pPr>
    </w:p>
    <w:p w14:paraId="2D6B442C" w14:textId="77777777" w:rsidR="00621D13" w:rsidRPr="00EA3562" w:rsidRDefault="00621D13" w:rsidP="00621D13">
      <w:pPr>
        <w:pStyle w:val="Heading1"/>
      </w:pPr>
      <w:r w:rsidRPr="00EA3562">
        <w:t>After deducting the funding for the AC manufacturing sector plan (US $1,793,307) and removing the funding component of the PMU associated with the RAC sector (US $145,000), the total funding remaining for stage II is US $811,750, plus agency support costs of US $56,823. UNIDO will return US $212,152 from the funding already provided in the first tranche to the Multilateral Fund including agency support costs, as shown in T</w:t>
      </w:r>
      <w:r>
        <w:t>able 10</w:t>
      </w:r>
      <w:r w:rsidRPr="00EA3562">
        <w:t xml:space="preserve"> below:</w:t>
      </w:r>
    </w:p>
    <w:p w14:paraId="07230AEE" w14:textId="77777777" w:rsidR="00621D13" w:rsidRDefault="00621D13" w:rsidP="00621D13">
      <w:pPr>
        <w:pStyle w:val="Heading1"/>
        <w:keepNext/>
        <w:keepLines/>
        <w:numPr>
          <w:ilvl w:val="0"/>
          <w:numId w:val="0"/>
        </w:numPr>
        <w:spacing w:after="0"/>
        <w:rPr>
          <w:b/>
          <w:bCs/>
          <w:lang w:val="en-US"/>
        </w:rPr>
      </w:pPr>
      <w:r>
        <w:rPr>
          <w:b/>
          <w:bCs/>
          <w:lang w:val="en-US"/>
        </w:rPr>
        <w:t>Table 10</w:t>
      </w:r>
      <w:r w:rsidRPr="00EA3562">
        <w:rPr>
          <w:b/>
          <w:bCs/>
          <w:lang w:val="en-US"/>
        </w:rPr>
        <w:t>. Revised funding for stage II of the HPMP for the Philippines (US $)</w:t>
      </w:r>
    </w:p>
    <w:tbl>
      <w:tblPr>
        <w:tblW w:w="9357" w:type="dxa"/>
        <w:tblInd w:w="-5" w:type="dxa"/>
        <w:tblLayout w:type="fixed"/>
        <w:tblLook w:val="04A0" w:firstRow="1" w:lastRow="0" w:firstColumn="1" w:lastColumn="0" w:noHBand="0" w:noVBand="1"/>
      </w:tblPr>
      <w:tblGrid>
        <w:gridCol w:w="1980"/>
        <w:gridCol w:w="1475"/>
        <w:gridCol w:w="1475"/>
        <w:gridCol w:w="1476"/>
        <w:gridCol w:w="1475"/>
        <w:gridCol w:w="1476"/>
      </w:tblGrid>
      <w:tr w:rsidR="00621D13" w:rsidRPr="008C7397" w14:paraId="3A02E552" w14:textId="77777777" w:rsidTr="00F957D5">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EFC0" w14:textId="77777777" w:rsidR="00621D13" w:rsidRPr="008C7397" w:rsidRDefault="00621D13" w:rsidP="00F957D5">
            <w:pPr>
              <w:keepNext/>
              <w:keepLines/>
              <w:jc w:val="left"/>
              <w:rPr>
                <w:b/>
                <w:bCs/>
                <w:sz w:val="20"/>
                <w:szCs w:val="20"/>
                <w:lang w:eastAsia="en-GB"/>
              </w:rPr>
            </w:pPr>
            <w:r w:rsidRPr="008C7397">
              <w:rPr>
                <w:b/>
                <w:bCs/>
                <w:sz w:val="20"/>
                <w:szCs w:val="20"/>
                <w:lang w:eastAsia="en-GB"/>
              </w:rPr>
              <w:t>Funding component</w:t>
            </w:r>
          </w:p>
        </w:tc>
        <w:tc>
          <w:tcPr>
            <w:tcW w:w="1475" w:type="dxa"/>
            <w:tcBorders>
              <w:top w:val="single" w:sz="4" w:space="0" w:color="auto"/>
              <w:left w:val="nil"/>
              <w:bottom w:val="single" w:sz="4" w:space="0" w:color="auto"/>
              <w:right w:val="single" w:sz="4" w:space="0" w:color="auto"/>
            </w:tcBorders>
            <w:shd w:val="clear" w:color="auto" w:fill="auto"/>
            <w:hideMark/>
          </w:tcPr>
          <w:p w14:paraId="160887CC" w14:textId="77777777" w:rsidR="00621D13" w:rsidRPr="008C7397" w:rsidRDefault="00621D13" w:rsidP="00F957D5">
            <w:pPr>
              <w:keepNext/>
              <w:keepLines/>
              <w:jc w:val="center"/>
              <w:rPr>
                <w:b/>
                <w:bCs/>
                <w:color w:val="000000"/>
                <w:sz w:val="20"/>
                <w:szCs w:val="20"/>
                <w:lang w:eastAsia="en-GB"/>
              </w:rPr>
            </w:pPr>
            <w:r w:rsidRPr="008C7397">
              <w:rPr>
                <w:b/>
                <w:bCs/>
                <w:color w:val="000000"/>
                <w:sz w:val="20"/>
                <w:szCs w:val="20"/>
                <w:lang w:eastAsia="en-GB"/>
              </w:rPr>
              <w:t>Approved costs for stage</w:t>
            </w:r>
            <w:r>
              <w:rPr>
                <w:b/>
                <w:bCs/>
                <w:color w:val="000000"/>
                <w:sz w:val="20"/>
                <w:szCs w:val="20"/>
                <w:lang w:eastAsia="en-GB"/>
              </w:rPr>
              <w:t xml:space="preserve"> </w:t>
            </w:r>
            <w:r w:rsidRPr="008C7397">
              <w:rPr>
                <w:b/>
                <w:bCs/>
                <w:color w:val="000000"/>
                <w:sz w:val="20"/>
                <w:szCs w:val="20"/>
                <w:lang w:eastAsia="en-GB"/>
              </w:rPr>
              <w:t xml:space="preserve">II </w:t>
            </w:r>
          </w:p>
        </w:tc>
        <w:tc>
          <w:tcPr>
            <w:tcW w:w="1475" w:type="dxa"/>
            <w:tcBorders>
              <w:top w:val="single" w:sz="4" w:space="0" w:color="auto"/>
              <w:left w:val="nil"/>
              <w:bottom w:val="single" w:sz="4" w:space="0" w:color="auto"/>
              <w:right w:val="single" w:sz="4" w:space="0" w:color="auto"/>
            </w:tcBorders>
            <w:shd w:val="clear" w:color="auto" w:fill="auto"/>
            <w:hideMark/>
          </w:tcPr>
          <w:p w14:paraId="604E57ED" w14:textId="77777777" w:rsidR="00621D13" w:rsidRPr="008C7397" w:rsidRDefault="00621D13" w:rsidP="00F957D5">
            <w:pPr>
              <w:keepNext/>
              <w:keepLines/>
              <w:jc w:val="center"/>
              <w:rPr>
                <w:b/>
                <w:bCs/>
                <w:color w:val="000000"/>
                <w:sz w:val="20"/>
                <w:szCs w:val="20"/>
                <w:lang w:eastAsia="en-GB"/>
              </w:rPr>
            </w:pPr>
            <w:r w:rsidRPr="008C7397">
              <w:rPr>
                <w:b/>
                <w:bCs/>
                <w:color w:val="000000"/>
                <w:sz w:val="20"/>
                <w:szCs w:val="20"/>
                <w:lang w:eastAsia="en-GB"/>
              </w:rPr>
              <w:t xml:space="preserve">Amount </w:t>
            </w:r>
            <w:r>
              <w:rPr>
                <w:b/>
                <w:bCs/>
                <w:color w:val="000000"/>
                <w:sz w:val="20"/>
                <w:szCs w:val="20"/>
                <w:lang w:eastAsia="en-GB"/>
              </w:rPr>
              <w:t xml:space="preserve">to be </w:t>
            </w:r>
            <w:r w:rsidRPr="008C7397">
              <w:rPr>
                <w:b/>
                <w:bCs/>
                <w:color w:val="000000"/>
                <w:sz w:val="20"/>
                <w:szCs w:val="20"/>
                <w:lang w:eastAsia="en-GB"/>
              </w:rPr>
              <w:t xml:space="preserve">removed from Agreement </w:t>
            </w:r>
          </w:p>
        </w:tc>
        <w:tc>
          <w:tcPr>
            <w:tcW w:w="1476" w:type="dxa"/>
            <w:tcBorders>
              <w:top w:val="single" w:sz="4" w:space="0" w:color="auto"/>
              <w:left w:val="nil"/>
              <w:bottom w:val="single" w:sz="4" w:space="0" w:color="auto"/>
              <w:right w:val="single" w:sz="4" w:space="0" w:color="auto"/>
            </w:tcBorders>
            <w:shd w:val="clear" w:color="auto" w:fill="auto"/>
            <w:hideMark/>
          </w:tcPr>
          <w:p w14:paraId="38900F7E" w14:textId="77777777" w:rsidR="00621D13" w:rsidRPr="008C7397" w:rsidRDefault="00621D13" w:rsidP="00F957D5">
            <w:pPr>
              <w:keepNext/>
              <w:keepLines/>
              <w:jc w:val="center"/>
              <w:rPr>
                <w:b/>
                <w:bCs/>
                <w:color w:val="000000"/>
                <w:sz w:val="20"/>
                <w:szCs w:val="20"/>
                <w:lang w:eastAsia="en-GB"/>
              </w:rPr>
            </w:pPr>
            <w:r w:rsidRPr="008C7397">
              <w:rPr>
                <w:b/>
                <w:bCs/>
                <w:color w:val="000000"/>
                <w:sz w:val="20"/>
                <w:szCs w:val="20"/>
                <w:lang w:eastAsia="en-GB"/>
              </w:rPr>
              <w:t xml:space="preserve">Revised project costs for stage II </w:t>
            </w:r>
          </w:p>
        </w:tc>
        <w:tc>
          <w:tcPr>
            <w:tcW w:w="1475" w:type="dxa"/>
            <w:tcBorders>
              <w:top w:val="single" w:sz="4" w:space="0" w:color="auto"/>
              <w:left w:val="nil"/>
              <w:bottom w:val="single" w:sz="4" w:space="0" w:color="auto"/>
              <w:right w:val="single" w:sz="4" w:space="0" w:color="auto"/>
            </w:tcBorders>
            <w:shd w:val="clear" w:color="auto" w:fill="auto"/>
            <w:hideMark/>
          </w:tcPr>
          <w:p w14:paraId="09AF19F0" w14:textId="77777777" w:rsidR="00621D13" w:rsidRPr="008C7397" w:rsidRDefault="00621D13" w:rsidP="00F957D5">
            <w:pPr>
              <w:keepNext/>
              <w:keepLines/>
              <w:jc w:val="center"/>
              <w:rPr>
                <w:b/>
                <w:bCs/>
                <w:color w:val="000000"/>
                <w:sz w:val="20"/>
                <w:szCs w:val="20"/>
                <w:lang w:eastAsia="en-GB"/>
              </w:rPr>
            </w:pPr>
            <w:r w:rsidRPr="008C7397">
              <w:rPr>
                <w:b/>
                <w:bCs/>
                <w:color w:val="000000"/>
                <w:sz w:val="20"/>
                <w:szCs w:val="20"/>
                <w:lang w:eastAsia="en-GB"/>
              </w:rPr>
              <w:t>Approved in first tranche</w:t>
            </w:r>
          </w:p>
        </w:tc>
        <w:tc>
          <w:tcPr>
            <w:tcW w:w="1476" w:type="dxa"/>
            <w:tcBorders>
              <w:top w:val="single" w:sz="4" w:space="0" w:color="auto"/>
              <w:left w:val="nil"/>
              <w:bottom w:val="single" w:sz="4" w:space="0" w:color="auto"/>
              <w:right w:val="single" w:sz="4" w:space="0" w:color="auto"/>
            </w:tcBorders>
            <w:shd w:val="clear" w:color="auto" w:fill="auto"/>
            <w:hideMark/>
          </w:tcPr>
          <w:p w14:paraId="1D82B267" w14:textId="77777777" w:rsidR="00621D13" w:rsidRPr="008C7397" w:rsidRDefault="00621D13" w:rsidP="00F957D5">
            <w:pPr>
              <w:keepNext/>
              <w:keepLines/>
              <w:jc w:val="center"/>
              <w:rPr>
                <w:b/>
                <w:bCs/>
                <w:sz w:val="20"/>
                <w:szCs w:val="20"/>
                <w:lang w:eastAsia="en-GB"/>
              </w:rPr>
            </w:pPr>
            <w:r>
              <w:rPr>
                <w:b/>
                <w:bCs/>
                <w:sz w:val="20"/>
                <w:szCs w:val="20"/>
                <w:lang w:eastAsia="en-GB"/>
              </w:rPr>
              <w:t>R</w:t>
            </w:r>
            <w:r w:rsidRPr="008C7397">
              <w:rPr>
                <w:b/>
                <w:bCs/>
                <w:sz w:val="20"/>
                <w:szCs w:val="20"/>
                <w:lang w:eastAsia="en-GB"/>
              </w:rPr>
              <w:t>eturn</w:t>
            </w:r>
            <w:r>
              <w:rPr>
                <w:b/>
                <w:bCs/>
                <w:sz w:val="20"/>
                <w:szCs w:val="20"/>
                <w:lang w:eastAsia="en-GB"/>
              </w:rPr>
              <w:t xml:space="preserve"> </w:t>
            </w:r>
            <w:r w:rsidRPr="008C7397">
              <w:rPr>
                <w:b/>
                <w:bCs/>
                <w:sz w:val="20"/>
                <w:szCs w:val="20"/>
                <w:lang w:eastAsia="en-GB"/>
              </w:rPr>
              <w:t xml:space="preserve">to </w:t>
            </w:r>
            <w:r>
              <w:rPr>
                <w:b/>
                <w:bCs/>
                <w:sz w:val="20"/>
                <w:szCs w:val="20"/>
                <w:lang w:eastAsia="en-GB"/>
              </w:rPr>
              <w:t xml:space="preserve">the </w:t>
            </w:r>
            <w:r w:rsidRPr="008C7397">
              <w:rPr>
                <w:b/>
                <w:bCs/>
                <w:sz w:val="20"/>
                <w:szCs w:val="20"/>
                <w:lang w:eastAsia="en-GB"/>
              </w:rPr>
              <w:t>Fund</w:t>
            </w:r>
          </w:p>
        </w:tc>
      </w:tr>
      <w:tr w:rsidR="00621D13" w:rsidRPr="008C7397" w14:paraId="1D224604" w14:textId="77777777" w:rsidTr="00F957D5">
        <w:tc>
          <w:tcPr>
            <w:tcW w:w="1980" w:type="dxa"/>
            <w:tcBorders>
              <w:top w:val="nil"/>
              <w:left w:val="single" w:sz="4" w:space="0" w:color="auto"/>
              <w:bottom w:val="single" w:sz="4" w:space="0" w:color="auto"/>
              <w:right w:val="single" w:sz="4" w:space="0" w:color="auto"/>
            </w:tcBorders>
            <w:shd w:val="clear" w:color="auto" w:fill="auto"/>
            <w:hideMark/>
          </w:tcPr>
          <w:p w14:paraId="1C2454B5" w14:textId="77777777" w:rsidR="00621D13" w:rsidRPr="008C7397" w:rsidRDefault="00621D13" w:rsidP="00F957D5">
            <w:pPr>
              <w:jc w:val="left"/>
              <w:rPr>
                <w:color w:val="000000"/>
                <w:sz w:val="20"/>
                <w:szCs w:val="20"/>
                <w:lang w:eastAsia="en-GB"/>
              </w:rPr>
            </w:pPr>
            <w:r w:rsidRPr="008C7397">
              <w:rPr>
                <w:color w:val="000000"/>
                <w:sz w:val="20"/>
                <w:szCs w:val="20"/>
                <w:lang w:eastAsia="en-GB"/>
              </w:rPr>
              <w:t>Conversion project</w:t>
            </w:r>
            <w:r>
              <w:rPr>
                <w:color w:val="000000"/>
                <w:sz w:val="20"/>
                <w:szCs w:val="20"/>
                <w:lang w:eastAsia="en-GB"/>
              </w:rPr>
              <w:t xml:space="preserve"> </w:t>
            </w:r>
            <w:r w:rsidRPr="008C7397">
              <w:rPr>
                <w:color w:val="000000"/>
                <w:sz w:val="20"/>
                <w:szCs w:val="20"/>
                <w:lang w:eastAsia="en-GB"/>
              </w:rPr>
              <w:t>in manufacturing enterprises</w:t>
            </w:r>
          </w:p>
        </w:tc>
        <w:tc>
          <w:tcPr>
            <w:tcW w:w="1475" w:type="dxa"/>
            <w:tcBorders>
              <w:top w:val="nil"/>
              <w:left w:val="nil"/>
              <w:bottom w:val="single" w:sz="4" w:space="0" w:color="auto"/>
              <w:right w:val="single" w:sz="4" w:space="0" w:color="auto"/>
            </w:tcBorders>
            <w:shd w:val="clear" w:color="auto" w:fill="auto"/>
            <w:noWrap/>
            <w:hideMark/>
          </w:tcPr>
          <w:p w14:paraId="38D25608" w14:textId="77777777" w:rsidR="00621D13" w:rsidRPr="008C7397" w:rsidRDefault="00621D13" w:rsidP="00F957D5">
            <w:pPr>
              <w:jc w:val="right"/>
              <w:rPr>
                <w:color w:val="000000"/>
                <w:sz w:val="20"/>
                <w:szCs w:val="20"/>
                <w:lang w:eastAsia="en-GB"/>
              </w:rPr>
            </w:pPr>
            <w:r w:rsidRPr="008C7397">
              <w:rPr>
                <w:color w:val="000000"/>
                <w:sz w:val="20"/>
                <w:szCs w:val="20"/>
                <w:lang w:eastAsia="en-GB"/>
              </w:rPr>
              <w:t>1,793,307</w:t>
            </w:r>
          </w:p>
        </w:tc>
        <w:tc>
          <w:tcPr>
            <w:tcW w:w="1475" w:type="dxa"/>
            <w:tcBorders>
              <w:top w:val="nil"/>
              <w:left w:val="nil"/>
              <w:bottom w:val="single" w:sz="4" w:space="0" w:color="auto"/>
              <w:right w:val="single" w:sz="4" w:space="0" w:color="auto"/>
            </w:tcBorders>
            <w:shd w:val="clear" w:color="auto" w:fill="auto"/>
            <w:noWrap/>
            <w:hideMark/>
          </w:tcPr>
          <w:p w14:paraId="783B462C" w14:textId="77777777" w:rsidR="00621D13" w:rsidRPr="008C7397" w:rsidRDefault="00621D13" w:rsidP="00F957D5">
            <w:pPr>
              <w:jc w:val="right"/>
              <w:rPr>
                <w:color w:val="000000"/>
                <w:sz w:val="20"/>
                <w:szCs w:val="20"/>
                <w:lang w:eastAsia="en-GB"/>
              </w:rPr>
            </w:pPr>
            <w:r w:rsidRPr="008C7397">
              <w:rPr>
                <w:color w:val="000000"/>
                <w:sz w:val="20"/>
                <w:szCs w:val="20"/>
                <w:lang w:eastAsia="en-GB"/>
              </w:rPr>
              <w:t>1,793,307</w:t>
            </w:r>
          </w:p>
        </w:tc>
        <w:tc>
          <w:tcPr>
            <w:tcW w:w="1476" w:type="dxa"/>
            <w:tcBorders>
              <w:top w:val="nil"/>
              <w:left w:val="nil"/>
              <w:bottom w:val="single" w:sz="4" w:space="0" w:color="auto"/>
              <w:right w:val="single" w:sz="4" w:space="0" w:color="auto"/>
            </w:tcBorders>
            <w:shd w:val="clear" w:color="auto" w:fill="auto"/>
            <w:noWrap/>
            <w:hideMark/>
          </w:tcPr>
          <w:p w14:paraId="14FFFAF3" w14:textId="77777777" w:rsidR="00621D13" w:rsidRPr="008C7397" w:rsidRDefault="00621D13" w:rsidP="00F957D5">
            <w:pPr>
              <w:jc w:val="right"/>
              <w:rPr>
                <w:color w:val="000000"/>
                <w:sz w:val="20"/>
                <w:szCs w:val="20"/>
                <w:lang w:eastAsia="en-GB"/>
              </w:rPr>
            </w:pPr>
            <w:r w:rsidRPr="008C7397">
              <w:rPr>
                <w:color w:val="000000"/>
                <w:sz w:val="20"/>
                <w:szCs w:val="20"/>
                <w:lang w:eastAsia="en-GB"/>
              </w:rPr>
              <w:t>0</w:t>
            </w:r>
          </w:p>
        </w:tc>
        <w:tc>
          <w:tcPr>
            <w:tcW w:w="1475" w:type="dxa"/>
            <w:tcBorders>
              <w:top w:val="nil"/>
              <w:left w:val="nil"/>
              <w:bottom w:val="single" w:sz="4" w:space="0" w:color="auto"/>
              <w:right w:val="single" w:sz="4" w:space="0" w:color="auto"/>
            </w:tcBorders>
            <w:shd w:val="clear" w:color="auto" w:fill="auto"/>
            <w:noWrap/>
            <w:hideMark/>
          </w:tcPr>
          <w:p w14:paraId="3B4B0495" w14:textId="77777777" w:rsidR="00621D13" w:rsidRPr="008C7397" w:rsidRDefault="00621D13" w:rsidP="00F957D5">
            <w:pPr>
              <w:jc w:val="right"/>
              <w:rPr>
                <w:color w:val="000000"/>
                <w:sz w:val="20"/>
                <w:szCs w:val="20"/>
                <w:lang w:eastAsia="en-GB"/>
              </w:rPr>
            </w:pPr>
            <w:r w:rsidRPr="008C7397">
              <w:rPr>
                <w:color w:val="000000"/>
                <w:sz w:val="20"/>
                <w:szCs w:val="20"/>
                <w:lang w:eastAsia="en-GB"/>
              </w:rPr>
              <w:t>642,783</w:t>
            </w:r>
          </w:p>
        </w:tc>
        <w:tc>
          <w:tcPr>
            <w:tcW w:w="1476" w:type="dxa"/>
            <w:tcBorders>
              <w:top w:val="nil"/>
              <w:left w:val="nil"/>
              <w:bottom w:val="single" w:sz="4" w:space="0" w:color="auto"/>
              <w:right w:val="single" w:sz="4" w:space="0" w:color="auto"/>
            </w:tcBorders>
            <w:shd w:val="clear" w:color="auto" w:fill="auto"/>
            <w:noWrap/>
            <w:hideMark/>
          </w:tcPr>
          <w:p w14:paraId="47FBACD5" w14:textId="77777777" w:rsidR="00621D13" w:rsidRPr="008C7397" w:rsidRDefault="00621D13" w:rsidP="00F957D5">
            <w:pPr>
              <w:jc w:val="right"/>
              <w:rPr>
                <w:b/>
                <w:bCs/>
                <w:sz w:val="20"/>
                <w:szCs w:val="20"/>
                <w:lang w:eastAsia="en-GB"/>
              </w:rPr>
            </w:pPr>
            <w:r w:rsidRPr="008C7397">
              <w:rPr>
                <w:b/>
                <w:bCs/>
                <w:sz w:val="20"/>
                <w:szCs w:val="20"/>
                <w:lang w:eastAsia="en-GB"/>
              </w:rPr>
              <w:t>-642,783</w:t>
            </w:r>
          </w:p>
        </w:tc>
      </w:tr>
      <w:tr w:rsidR="00621D13" w:rsidRPr="008C7397" w14:paraId="27CB0A14" w14:textId="77777777" w:rsidTr="00F957D5">
        <w:tc>
          <w:tcPr>
            <w:tcW w:w="1980" w:type="dxa"/>
            <w:tcBorders>
              <w:top w:val="nil"/>
              <w:left w:val="single" w:sz="4" w:space="0" w:color="auto"/>
              <w:bottom w:val="single" w:sz="4" w:space="0" w:color="auto"/>
              <w:right w:val="single" w:sz="4" w:space="0" w:color="auto"/>
            </w:tcBorders>
            <w:shd w:val="clear" w:color="auto" w:fill="auto"/>
            <w:noWrap/>
            <w:hideMark/>
          </w:tcPr>
          <w:p w14:paraId="46E4CABD" w14:textId="77777777" w:rsidR="00621D13" w:rsidRPr="008C7397" w:rsidRDefault="00621D13" w:rsidP="00F957D5">
            <w:pPr>
              <w:jc w:val="left"/>
              <w:rPr>
                <w:color w:val="000000"/>
                <w:sz w:val="20"/>
                <w:szCs w:val="20"/>
                <w:lang w:eastAsia="en-GB"/>
              </w:rPr>
            </w:pPr>
            <w:r w:rsidRPr="008C7397">
              <w:rPr>
                <w:color w:val="000000"/>
                <w:sz w:val="20"/>
                <w:szCs w:val="20"/>
                <w:lang w:eastAsia="en-GB"/>
              </w:rPr>
              <w:t>Technical assistance for enterprises</w:t>
            </w:r>
          </w:p>
        </w:tc>
        <w:tc>
          <w:tcPr>
            <w:tcW w:w="1475" w:type="dxa"/>
            <w:tcBorders>
              <w:top w:val="nil"/>
              <w:left w:val="nil"/>
              <w:bottom w:val="single" w:sz="4" w:space="0" w:color="auto"/>
              <w:right w:val="single" w:sz="4" w:space="0" w:color="auto"/>
            </w:tcBorders>
            <w:shd w:val="clear" w:color="auto" w:fill="auto"/>
            <w:noWrap/>
            <w:hideMark/>
          </w:tcPr>
          <w:p w14:paraId="524292D8" w14:textId="77777777" w:rsidR="00621D13" w:rsidRPr="008C7397" w:rsidRDefault="00621D13" w:rsidP="00F957D5">
            <w:pPr>
              <w:jc w:val="right"/>
              <w:rPr>
                <w:color w:val="000000"/>
                <w:sz w:val="20"/>
                <w:szCs w:val="20"/>
                <w:lang w:eastAsia="en-GB"/>
              </w:rPr>
            </w:pPr>
            <w:r w:rsidRPr="008C7397">
              <w:rPr>
                <w:color w:val="000000"/>
                <w:sz w:val="20"/>
                <w:szCs w:val="20"/>
                <w:lang w:eastAsia="en-GB"/>
              </w:rPr>
              <w:t>211,000</w:t>
            </w:r>
          </w:p>
        </w:tc>
        <w:tc>
          <w:tcPr>
            <w:tcW w:w="1475" w:type="dxa"/>
            <w:tcBorders>
              <w:top w:val="nil"/>
              <w:left w:val="nil"/>
              <w:bottom w:val="single" w:sz="4" w:space="0" w:color="auto"/>
              <w:right w:val="single" w:sz="4" w:space="0" w:color="auto"/>
            </w:tcBorders>
            <w:shd w:val="clear" w:color="auto" w:fill="auto"/>
            <w:noWrap/>
            <w:hideMark/>
          </w:tcPr>
          <w:p w14:paraId="5F084EAB" w14:textId="77777777" w:rsidR="00621D13" w:rsidRPr="008C7397" w:rsidRDefault="00621D13" w:rsidP="00F957D5">
            <w:pPr>
              <w:jc w:val="right"/>
              <w:rPr>
                <w:color w:val="000000"/>
                <w:sz w:val="20"/>
                <w:szCs w:val="20"/>
                <w:lang w:eastAsia="en-GB"/>
              </w:rPr>
            </w:pPr>
            <w:r w:rsidRPr="008C7397">
              <w:rPr>
                <w:color w:val="000000"/>
                <w:sz w:val="20"/>
                <w:szCs w:val="20"/>
                <w:lang w:eastAsia="en-GB"/>
              </w:rPr>
              <w:t>0</w:t>
            </w:r>
          </w:p>
        </w:tc>
        <w:tc>
          <w:tcPr>
            <w:tcW w:w="1476" w:type="dxa"/>
            <w:tcBorders>
              <w:top w:val="nil"/>
              <w:left w:val="nil"/>
              <w:bottom w:val="single" w:sz="4" w:space="0" w:color="auto"/>
              <w:right w:val="single" w:sz="4" w:space="0" w:color="auto"/>
            </w:tcBorders>
            <w:shd w:val="clear" w:color="auto" w:fill="auto"/>
            <w:noWrap/>
            <w:hideMark/>
          </w:tcPr>
          <w:p w14:paraId="5CBEED08" w14:textId="77777777" w:rsidR="00621D13" w:rsidRPr="008C7397" w:rsidRDefault="00621D13" w:rsidP="00F957D5">
            <w:pPr>
              <w:jc w:val="right"/>
              <w:rPr>
                <w:color w:val="000000"/>
                <w:sz w:val="20"/>
                <w:szCs w:val="20"/>
                <w:lang w:eastAsia="en-GB"/>
              </w:rPr>
            </w:pPr>
            <w:r w:rsidRPr="008C7397">
              <w:rPr>
                <w:color w:val="000000"/>
                <w:sz w:val="20"/>
                <w:szCs w:val="20"/>
                <w:lang w:eastAsia="en-GB"/>
              </w:rPr>
              <w:t>211,000</w:t>
            </w:r>
          </w:p>
        </w:tc>
        <w:tc>
          <w:tcPr>
            <w:tcW w:w="1475" w:type="dxa"/>
            <w:tcBorders>
              <w:top w:val="nil"/>
              <w:left w:val="nil"/>
              <w:bottom w:val="single" w:sz="4" w:space="0" w:color="auto"/>
              <w:right w:val="single" w:sz="4" w:space="0" w:color="auto"/>
            </w:tcBorders>
            <w:shd w:val="clear" w:color="auto" w:fill="auto"/>
            <w:noWrap/>
            <w:hideMark/>
          </w:tcPr>
          <w:p w14:paraId="23982FDD" w14:textId="77777777" w:rsidR="00621D13" w:rsidRPr="008C7397" w:rsidRDefault="00621D13" w:rsidP="00F957D5">
            <w:pPr>
              <w:jc w:val="right"/>
              <w:rPr>
                <w:color w:val="000000"/>
                <w:sz w:val="20"/>
                <w:szCs w:val="20"/>
                <w:lang w:eastAsia="en-GB"/>
              </w:rPr>
            </w:pPr>
            <w:r w:rsidRPr="008C7397">
              <w:rPr>
                <w:color w:val="000000"/>
                <w:sz w:val="20"/>
                <w:szCs w:val="20"/>
                <w:lang w:eastAsia="en-GB"/>
              </w:rPr>
              <w:t>99,146</w:t>
            </w:r>
          </w:p>
        </w:tc>
        <w:tc>
          <w:tcPr>
            <w:tcW w:w="1476" w:type="dxa"/>
            <w:tcBorders>
              <w:top w:val="nil"/>
              <w:left w:val="nil"/>
              <w:bottom w:val="single" w:sz="4" w:space="0" w:color="auto"/>
              <w:right w:val="single" w:sz="4" w:space="0" w:color="auto"/>
            </w:tcBorders>
            <w:shd w:val="clear" w:color="auto" w:fill="auto"/>
            <w:noWrap/>
            <w:hideMark/>
          </w:tcPr>
          <w:p w14:paraId="2070F09A" w14:textId="77777777" w:rsidR="00621D13" w:rsidRPr="008C7397" w:rsidRDefault="00621D13" w:rsidP="00F957D5">
            <w:pPr>
              <w:jc w:val="right"/>
              <w:rPr>
                <w:b/>
                <w:bCs/>
                <w:sz w:val="20"/>
                <w:szCs w:val="20"/>
                <w:lang w:eastAsia="en-GB"/>
              </w:rPr>
            </w:pPr>
            <w:r w:rsidRPr="008C7397">
              <w:rPr>
                <w:b/>
                <w:bCs/>
                <w:sz w:val="20"/>
                <w:szCs w:val="20"/>
                <w:lang w:eastAsia="en-GB"/>
              </w:rPr>
              <w:t>111,854</w:t>
            </w:r>
          </w:p>
        </w:tc>
      </w:tr>
      <w:tr w:rsidR="00621D13" w:rsidRPr="008C7397" w14:paraId="4432DEFD" w14:textId="77777777" w:rsidTr="00F957D5">
        <w:tc>
          <w:tcPr>
            <w:tcW w:w="1980" w:type="dxa"/>
            <w:tcBorders>
              <w:top w:val="nil"/>
              <w:left w:val="single" w:sz="4" w:space="0" w:color="auto"/>
              <w:bottom w:val="single" w:sz="4" w:space="0" w:color="auto"/>
              <w:right w:val="single" w:sz="4" w:space="0" w:color="auto"/>
            </w:tcBorders>
            <w:shd w:val="clear" w:color="auto" w:fill="auto"/>
            <w:noWrap/>
            <w:hideMark/>
          </w:tcPr>
          <w:p w14:paraId="334E7BB5" w14:textId="77777777" w:rsidR="00621D13" w:rsidRPr="008C7397" w:rsidRDefault="00621D13" w:rsidP="00F957D5">
            <w:pPr>
              <w:jc w:val="left"/>
              <w:rPr>
                <w:color w:val="000000"/>
                <w:sz w:val="20"/>
                <w:szCs w:val="20"/>
                <w:lang w:eastAsia="en-GB"/>
              </w:rPr>
            </w:pPr>
            <w:bookmarkStart w:id="2" w:name="RANGE!S5"/>
            <w:r w:rsidRPr="008C7397">
              <w:rPr>
                <w:color w:val="000000"/>
                <w:sz w:val="20"/>
                <w:szCs w:val="20"/>
                <w:lang w:eastAsia="en-GB"/>
              </w:rPr>
              <w:t>Phase-out activities in the servicing sector</w:t>
            </w:r>
            <w:bookmarkEnd w:id="2"/>
          </w:p>
        </w:tc>
        <w:tc>
          <w:tcPr>
            <w:tcW w:w="1475" w:type="dxa"/>
            <w:tcBorders>
              <w:top w:val="nil"/>
              <w:left w:val="nil"/>
              <w:bottom w:val="single" w:sz="4" w:space="0" w:color="auto"/>
              <w:right w:val="single" w:sz="4" w:space="0" w:color="auto"/>
            </w:tcBorders>
            <w:shd w:val="clear" w:color="auto" w:fill="auto"/>
            <w:noWrap/>
            <w:hideMark/>
          </w:tcPr>
          <w:p w14:paraId="64EC8B72" w14:textId="77777777" w:rsidR="00621D13" w:rsidRPr="008C7397" w:rsidRDefault="00621D13" w:rsidP="00F957D5">
            <w:pPr>
              <w:jc w:val="right"/>
              <w:rPr>
                <w:color w:val="000000"/>
                <w:sz w:val="20"/>
                <w:szCs w:val="20"/>
                <w:lang w:eastAsia="en-GB"/>
              </w:rPr>
            </w:pPr>
            <w:r w:rsidRPr="008C7397">
              <w:rPr>
                <w:color w:val="000000"/>
                <w:sz w:val="20"/>
                <w:szCs w:val="20"/>
                <w:lang w:eastAsia="en-GB"/>
              </w:rPr>
              <w:t>525,750</w:t>
            </w:r>
          </w:p>
        </w:tc>
        <w:tc>
          <w:tcPr>
            <w:tcW w:w="1475" w:type="dxa"/>
            <w:tcBorders>
              <w:top w:val="nil"/>
              <w:left w:val="nil"/>
              <w:bottom w:val="single" w:sz="4" w:space="0" w:color="auto"/>
              <w:right w:val="single" w:sz="4" w:space="0" w:color="auto"/>
            </w:tcBorders>
            <w:shd w:val="clear" w:color="auto" w:fill="auto"/>
            <w:noWrap/>
            <w:hideMark/>
          </w:tcPr>
          <w:p w14:paraId="61AE7332" w14:textId="77777777" w:rsidR="00621D13" w:rsidRPr="008C7397" w:rsidRDefault="00621D13" w:rsidP="00F957D5">
            <w:pPr>
              <w:jc w:val="right"/>
              <w:rPr>
                <w:color w:val="000000"/>
                <w:sz w:val="20"/>
                <w:szCs w:val="20"/>
                <w:lang w:eastAsia="en-GB"/>
              </w:rPr>
            </w:pPr>
            <w:r w:rsidRPr="008C7397">
              <w:rPr>
                <w:color w:val="000000"/>
                <w:sz w:val="20"/>
                <w:szCs w:val="20"/>
                <w:lang w:eastAsia="en-GB"/>
              </w:rPr>
              <w:t>0</w:t>
            </w:r>
          </w:p>
        </w:tc>
        <w:tc>
          <w:tcPr>
            <w:tcW w:w="1476" w:type="dxa"/>
            <w:tcBorders>
              <w:top w:val="nil"/>
              <w:left w:val="nil"/>
              <w:bottom w:val="single" w:sz="4" w:space="0" w:color="auto"/>
              <w:right w:val="single" w:sz="4" w:space="0" w:color="auto"/>
            </w:tcBorders>
            <w:shd w:val="clear" w:color="auto" w:fill="auto"/>
            <w:noWrap/>
            <w:hideMark/>
          </w:tcPr>
          <w:p w14:paraId="7C863CBF" w14:textId="77777777" w:rsidR="00621D13" w:rsidRPr="008C7397" w:rsidRDefault="00621D13" w:rsidP="00F957D5">
            <w:pPr>
              <w:jc w:val="right"/>
              <w:rPr>
                <w:color w:val="000000"/>
                <w:sz w:val="20"/>
                <w:szCs w:val="20"/>
                <w:lang w:eastAsia="en-GB"/>
              </w:rPr>
            </w:pPr>
            <w:r w:rsidRPr="008C7397">
              <w:rPr>
                <w:color w:val="000000"/>
                <w:sz w:val="20"/>
                <w:szCs w:val="20"/>
                <w:lang w:eastAsia="en-GB"/>
              </w:rPr>
              <w:t>525,750</w:t>
            </w:r>
          </w:p>
        </w:tc>
        <w:tc>
          <w:tcPr>
            <w:tcW w:w="1475" w:type="dxa"/>
            <w:tcBorders>
              <w:top w:val="nil"/>
              <w:left w:val="nil"/>
              <w:bottom w:val="single" w:sz="4" w:space="0" w:color="auto"/>
              <w:right w:val="single" w:sz="4" w:space="0" w:color="auto"/>
            </w:tcBorders>
            <w:shd w:val="clear" w:color="auto" w:fill="auto"/>
            <w:noWrap/>
            <w:hideMark/>
          </w:tcPr>
          <w:p w14:paraId="44D567B1" w14:textId="77777777" w:rsidR="00621D13" w:rsidRPr="008C7397" w:rsidRDefault="00621D13" w:rsidP="00F957D5">
            <w:pPr>
              <w:jc w:val="right"/>
              <w:rPr>
                <w:color w:val="000000"/>
                <w:sz w:val="20"/>
                <w:szCs w:val="20"/>
                <w:lang w:eastAsia="en-GB"/>
              </w:rPr>
            </w:pPr>
            <w:r w:rsidRPr="008C7397">
              <w:rPr>
                <w:color w:val="000000"/>
                <w:sz w:val="20"/>
                <w:szCs w:val="20"/>
                <w:lang w:eastAsia="en-GB"/>
              </w:rPr>
              <w:t>193,094</w:t>
            </w:r>
          </w:p>
        </w:tc>
        <w:tc>
          <w:tcPr>
            <w:tcW w:w="1476" w:type="dxa"/>
            <w:tcBorders>
              <w:top w:val="nil"/>
              <w:left w:val="nil"/>
              <w:bottom w:val="single" w:sz="4" w:space="0" w:color="auto"/>
              <w:right w:val="single" w:sz="4" w:space="0" w:color="auto"/>
            </w:tcBorders>
            <w:shd w:val="clear" w:color="auto" w:fill="auto"/>
            <w:noWrap/>
            <w:hideMark/>
          </w:tcPr>
          <w:p w14:paraId="49F7D854" w14:textId="77777777" w:rsidR="00621D13" w:rsidRPr="008C7397" w:rsidRDefault="00621D13" w:rsidP="00F957D5">
            <w:pPr>
              <w:jc w:val="right"/>
              <w:rPr>
                <w:b/>
                <w:bCs/>
                <w:sz w:val="20"/>
                <w:szCs w:val="20"/>
                <w:lang w:eastAsia="en-GB"/>
              </w:rPr>
            </w:pPr>
            <w:r w:rsidRPr="008C7397">
              <w:rPr>
                <w:b/>
                <w:bCs/>
                <w:sz w:val="20"/>
                <w:szCs w:val="20"/>
                <w:lang w:eastAsia="en-GB"/>
              </w:rPr>
              <w:t>332,656</w:t>
            </w:r>
          </w:p>
        </w:tc>
      </w:tr>
      <w:tr w:rsidR="00621D13" w:rsidRPr="008C7397" w14:paraId="41A9E27C" w14:textId="77777777" w:rsidTr="00F957D5">
        <w:tc>
          <w:tcPr>
            <w:tcW w:w="1980" w:type="dxa"/>
            <w:tcBorders>
              <w:top w:val="nil"/>
              <w:left w:val="single" w:sz="4" w:space="0" w:color="auto"/>
              <w:bottom w:val="single" w:sz="4" w:space="0" w:color="auto"/>
              <w:right w:val="single" w:sz="4" w:space="0" w:color="auto"/>
            </w:tcBorders>
            <w:shd w:val="clear" w:color="auto" w:fill="auto"/>
            <w:noWrap/>
            <w:hideMark/>
          </w:tcPr>
          <w:p w14:paraId="6EA16CE5" w14:textId="77777777" w:rsidR="00621D13" w:rsidRPr="008C7397" w:rsidRDefault="00621D13" w:rsidP="00F957D5">
            <w:pPr>
              <w:jc w:val="left"/>
              <w:rPr>
                <w:color w:val="000000"/>
                <w:sz w:val="20"/>
                <w:szCs w:val="20"/>
                <w:lang w:eastAsia="en-GB"/>
              </w:rPr>
            </w:pPr>
            <w:r w:rsidRPr="008C7397">
              <w:rPr>
                <w:color w:val="000000"/>
                <w:sz w:val="20"/>
                <w:szCs w:val="20"/>
                <w:lang w:eastAsia="en-GB"/>
              </w:rPr>
              <w:t>PMU</w:t>
            </w:r>
          </w:p>
        </w:tc>
        <w:tc>
          <w:tcPr>
            <w:tcW w:w="1475" w:type="dxa"/>
            <w:tcBorders>
              <w:top w:val="nil"/>
              <w:left w:val="nil"/>
              <w:bottom w:val="single" w:sz="4" w:space="0" w:color="auto"/>
              <w:right w:val="single" w:sz="4" w:space="0" w:color="auto"/>
            </w:tcBorders>
            <w:shd w:val="clear" w:color="auto" w:fill="auto"/>
            <w:noWrap/>
            <w:hideMark/>
          </w:tcPr>
          <w:p w14:paraId="41DB76FE" w14:textId="77777777" w:rsidR="00621D13" w:rsidRPr="008C7397" w:rsidRDefault="00621D13" w:rsidP="00F957D5">
            <w:pPr>
              <w:jc w:val="right"/>
              <w:rPr>
                <w:color w:val="000000"/>
                <w:sz w:val="20"/>
                <w:szCs w:val="20"/>
                <w:lang w:eastAsia="en-GB"/>
              </w:rPr>
            </w:pPr>
            <w:r w:rsidRPr="008C7397">
              <w:rPr>
                <w:color w:val="000000"/>
                <w:sz w:val="20"/>
                <w:szCs w:val="20"/>
                <w:lang w:eastAsia="en-GB"/>
              </w:rPr>
              <w:t>220,000</w:t>
            </w:r>
          </w:p>
        </w:tc>
        <w:tc>
          <w:tcPr>
            <w:tcW w:w="1475" w:type="dxa"/>
            <w:tcBorders>
              <w:top w:val="nil"/>
              <w:left w:val="nil"/>
              <w:bottom w:val="single" w:sz="4" w:space="0" w:color="auto"/>
              <w:right w:val="single" w:sz="4" w:space="0" w:color="auto"/>
            </w:tcBorders>
            <w:shd w:val="clear" w:color="auto" w:fill="auto"/>
            <w:noWrap/>
            <w:hideMark/>
          </w:tcPr>
          <w:p w14:paraId="1B70B409" w14:textId="77777777" w:rsidR="00621D13" w:rsidRPr="008C7397" w:rsidRDefault="00621D13" w:rsidP="00F957D5">
            <w:pPr>
              <w:jc w:val="right"/>
              <w:rPr>
                <w:color w:val="000000"/>
                <w:sz w:val="20"/>
                <w:szCs w:val="20"/>
                <w:lang w:eastAsia="en-GB"/>
              </w:rPr>
            </w:pPr>
            <w:r w:rsidRPr="008C7397">
              <w:rPr>
                <w:color w:val="000000"/>
                <w:sz w:val="20"/>
                <w:szCs w:val="20"/>
                <w:lang w:eastAsia="en-GB"/>
              </w:rPr>
              <w:t>145,000</w:t>
            </w:r>
          </w:p>
        </w:tc>
        <w:tc>
          <w:tcPr>
            <w:tcW w:w="1476" w:type="dxa"/>
            <w:tcBorders>
              <w:top w:val="nil"/>
              <w:left w:val="nil"/>
              <w:bottom w:val="single" w:sz="4" w:space="0" w:color="auto"/>
              <w:right w:val="single" w:sz="4" w:space="0" w:color="auto"/>
            </w:tcBorders>
            <w:shd w:val="clear" w:color="auto" w:fill="auto"/>
            <w:noWrap/>
            <w:hideMark/>
          </w:tcPr>
          <w:p w14:paraId="4DB774DE" w14:textId="77777777" w:rsidR="00621D13" w:rsidRPr="008C7397" w:rsidRDefault="00621D13" w:rsidP="00F957D5">
            <w:pPr>
              <w:jc w:val="right"/>
              <w:rPr>
                <w:color w:val="000000"/>
                <w:sz w:val="20"/>
                <w:szCs w:val="20"/>
                <w:lang w:eastAsia="en-GB"/>
              </w:rPr>
            </w:pPr>
            <w:r w:rsidRPr="008C7397">
              <w:rPr>
                <w:color w:val="000000"/>
                <w:sz w:val="20"/>
                <w:szCs w:val="20"/>
                <w:lang w:eastAsia="en-GB"/>
              </w:rPr>
              <w:t>75,000</w:t>
            </w:r>
          </w:p>
        </w:tc>
        <w:tc>
          <w:tcPr>
            <w:tcW w:w="1475" w:type="dxa"/>
            <w:tcBorders>
              <w:top w:val="nil"/>
              <w:left w:val="nil"/>
              <w:bottom w:val="single" w:sz="4" w:space="0" w:color="auto"/>
              <w:right w:val="single" w:sz="4" w:space="0" w:color="auto"/>
            </w:tcBorders>
            <w:shd w:val="clear" w:color="auto" w:fill="auto"/>
            <w:noWrap/>
            <w:hideMark/>
          </w:tcPr>
          <w:p w14:paraId="120B39F3" w14:textId="77777777" w:rsidR="00621D13" w:rsidRPr="008C7397" w:rsidRDefault="00621D13" w:rsidP="00F957D5">
            <w:pPr>
              <w:jc w:val="right"/>
              <w:rPr>
                <w:color w:val="000000"/>
                <w:sz w:val="20"/>
                <w:szCs w:val="20"/>
                <w:lang w:eastAsia="en-GB"/>
              </w:rPr>
            </w:pPr>
            <w:r w:rsidRPr="008C7397">
              <w:rPr>
                <w:color w:val="000000"/>
                <w:sz w:val="20"/>
                <w:szCs w:val="20"/>
                <w:lang w:eastAsia="en-GB"/>
              </w:rPr>
              <w:t>75,000</w:t>
            </w:r>
          </w:p>
        </w:tc>
        <w:tc>
          <w:tcPr>
            <w:tcW w:w="1476" w:type="dxa"/>
            <w:tcBorders>
              <w:top w:val="nil"/>
              <w:left w:val="nil"/>
              <w:bottom w:val="single" w:sz="4" w:space="0" w:color="auto"/>
              <w:right w:val="single" w:sz="4" w:space="0" w:color="auto"/>
            </w:tcBorders>
            <w:shd w:val="clear" w:color="auto" w:fill="auto"/>
            <w:noWrap/>
            <w:hideMark/>
          </w:tcPr>
          <w:p w14:paraId="53BAD5D3" w14:textId="77777777" w:rsidR="00621D13" w:rsidRPr="008C7397" w:rsidRDefault="00621D13" w:rsidP="00F957D5">
            <w:pPr>
              <w:jc w:val="right"/>
              <w:rPr>
                <w:b/>
                <w:bCs/>
                <w:sz w:val="20"/>
                <w:szCs w:val="20"/>
                <w:lang w:eastAsia="en-GB"/>
              </w:rPr>
            </w:pPr>
            <w:r w:rsidRPr="008C7397">
              <w:rPr>
                <w:b/>
                <w:bCs/>
                <w:sz w:val="20"/>
                <w:szCs w:val="20"/>
                <w:lang w:eastAsia="en-GB"/>
              </w:rPr>
              <w:t>0</w:t>
            </w:r>
          </w:p>
        </w:tc>
      </w:tr>
      <w:tr w:rsidR="00621D13" w:rsidRPr="008C7397" w14:paraId="435BB541" w14:textId="77777777" w:rsidTr="00F957D5">
        <w:tc>
          <w:tcPr>
            <w:tcW w:w="1980" w:type="dxa"/>
            <w:tcBorders>
              <w:top w:val="nil"/>
              <w:left w:val="single" w:sz="4" w:space="0" w:color="auto"/>
              <w:bottom w:val="single" w:sz="4" w:space="0" w:color="auto"/>
              <w:right w:val="single" w:sz="4" w:space="0" w:color="auto"/>
            </w:tcBorders>
            <w:shd w:val="clear" w:color="auto" w:fill="auto"/>
            <w:noWrap/>
            <w:hideMark/>
          </w:tcPr>
          <w:p w14:paraId="2D6278ED" w14:textId="77777777" w:rsidR="00621D13" w:rsidRPr="008C7397" w:rsidRDefault="00621D13" w:rsidP="00F957D5">
            <w:pPr>
              <w:jc w:val="left"/>
              <w:rPr>
                <w:color w:val="000000"/>
                <w:sz w:val="20"/>
                <w:szCs w:val="20"/>
                <w:lang w:eastAsia="en-GB"/>
              </w:rPr>
            </w:pPr>
            <w:r w:rsidRPr="008C7397">
              <w:rPr>
                <w:color w:val="000000"/>
                <w:sz w:val="20"/>
                <w:szCs w:val="20"/>
                <w:lang w:eastAsia="en-GB"/>
              </w:rPr>
              <w:t xml:space="preserve">Total project cost </w:t>
            </w:r>
          </w:p>
        </w:tc>
        <w:tc>
          <w:tcPr>
            <w:tcW w:w="1475" w:type="dxa"/>
            <w:tcBorders>
              <w:top w:val="nil"/>
              <w:left w:val="nil"/>
              <w:bottom w:val="single" w:sz="4" w:space="0" w:color="auto"/>
              <w:right w:val="single" w:sz="4" w:space="0" w:color="auto"/>
            </w:tcBorders>
            <w:shd w:val="clear" w:color="auto" w:fill="auto"/>
            <w:noWrap/>
            <w:hideMark/>
          </w:tcPr>
          <w:p w14:paraId="35C5F9AF"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2,750,057</w:t>
            </w:r>
          </w:p>
        </w:tc>
        <w:tc>
          <w:tcPr>
            <w:tcW w:w="1475" w:type="dxa"/>
            <w:tcBorders>
              <w:top w:val="nil"/>
              <w:left w:val="nil"/>
              <w:bottom w:val="single" w:sz="4" w:space="0" w:color="auto"/>
              <w:right w:val="single" w:sz="4" w:space="0" w:color="auto"/>
            </w:tcBorders>
            <w:shd w:val="clear" w:color="auto" w:fill="auto"/>
            <w:noWrap/>
            <w:hideMark/>
          </w:tcPr>
          <w:p w14:paraId="07088366"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1,938,307</w:t>
            </w:r>
          </w:p>
        </w:tc>
        <w:tc>
          <w:tcPr>
            <w:tcW w:w="1476" w:type="dxa"/>
            <w:tcBorders>
              <w:top w:val="nil"/>
              <w:left w:val="nil"/>
              <w:bottom w:val="single" w:sz="4" w:space="0" w:color="auto"/>
              <w:right w:val="single" w:sz="4" w:space="0" w:color="auto"/>
            </w:tcBorders>
            <w:shd w:val="clear" w:color="auto" w:fill="auto"/>
            <w:noWrap/>
            <w:hideMark/>
          </w:tcPr>
          <w:p w14:paraId="6CA584D8"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811,750</w:t>
            </w:r>
          </w:p>
        </w:tc>
        <w:tc>
          <w:tcPr>
            <w:tcW w:w="1475" w:type="dxa"/>
            <w:tcBorders>
              <w:top w:val="nil"/>
              <w:left w:val="nil"/>
              <w:bottom w:val="single" w:sz="4" w:space="0" w:color="auto"/>
              <w:right w:val="single" w:sz="4" w:space="0" w:color="auto"/>
            </w:tcBorders>
            <w:shd w:val="clear" w:color="auto" w:fill="auto"/>
            <w:noWrap/>
            <w:hideMark/>
          </w:tcPr>
          <w:p w14:paraId="24E6336E"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1,010,023</w:t>
            </w:r>
          </w:p>
        </w:tc>
        <w:tc>
          <w:tcPr>
            <w:tcW w:w="1476" w:type="dxa"/>
            <w:tcBorders>
              <w:top w:val="nil"/>
              <w:left w:val="nil"/>
              <w:bottom w:val="single" w:sz="4" w:space="0" w:color="auto"/>
              <w:right w:val="single" w:sz="4" w:space="0" w:color="auto"/>
            </w:tcBorders>
            <w:shd w:val="clear" w:color="auto" w:fill="auto"/>
            <w:noWrap/>
            <w:hideMark/>
          </w:tcPr>
          <w:p w14:paraId="2E4FB83D" w14:textId="77777777" w:rsidR="00621D13" w:rsidRPr="008C7397" w:rsidRDefault="00621D13" w:rsidP="00F957D5">
            <w:pPr>
              <w:jc w:val="right"/>
              <w:rPr>
                <w:b/>
                <w:bCs/>
                <w:sz w:val="20"/>
                <w:szCs w:val="20"/>
                <w:lang w:eastAsia="en-GB"/>
              </w:rPr>
            </w:pPr>
            <w:r w:rsidRPr="008C7397">
              <w:rPr>
                <w:b/>
                <w:bCs/>
                <w:sz w:val="20"/>
                <w:szCs w:val="20"/>
                <w:lang w:eastAsia="en-GB"/>
              </w:rPr>
              <w:t>-198,273</w:t>
            </w:r>
          </w:p>
        </w:tc>
      </w:tr>
      <w:tr w:rsidR="00621D13" w:rsidRPr="008C7397" w14:paraId="190CE7B7" w14:textId="77777777" w:rsidTr="00F957D5">
        <w:tc>
          <w:tcPr>
            <w:tcW w:w="1980" w:type="dxa"/>
            <w:tcBorders>
              <w:top w:val="nil"/>
              <w:left w:val="single" w:sz="4" w:space="0" w:color="auto"/>
              <w:bottom w:val="single" w:sz="4" w:space="0" w:color="auto"/>
              <w:right w:val="single" w:sz="4" w:space="0" w:color="auto"/>
            </w:tcBorders>
            <w:shd w:val="clear" w:color="auto" w:fill="auto"/>
            <w:noWrap/>
            <w:hideMark/>
          </w:tcPr>
          <w:p w14:paraId="30456830" w14:textId="77777777" w:rsidR="00621D13" w:rsidRPr="008C7397" w:rsidRDefault="00621D13" w:rsidP="00F957D5">
            <w:pPr>
              <w:jc w:val="left"/>
              <w:rPr>
                <w:color w:val="000000"/>
                <w:sz w:val="20"/>
                <w:szCs w:val="20"/>
                <w:lang w:eastAsia="en-GB"/>
              </w:rPr>
            </w:pPr>
            <w:r w:rsidRPr="008C7397">
              <w:rPr>
                <w:color w:val="000000"/>
                <w:sz w:val="20"/>
                <w:szCs w:val="20"/>
                <w:lang w:eastAsia="en-GB"/>
              </w:rPr>
              <w:t xml:space="preserve">Agency support costs </w:t>
            </w:r>
          </w:p>
        </w:tc>
        <w:tc>
          <w:tcPr>
            <w:tcW w:w="1475" w:type="dxa"/>
            <w:tcBorders>
              <w:top w:val="nil"/>
              <w:left w:val="nil"/>
              <w:bottom w:val="single" w:sz="4" w:space="0" w:color="auto"/>
              <w:right w:val="single" w:sz="4" w:space="0" w:color="auto"/>
            </w:tcBorders>
            <w:shd w:val="clear" w:color="auto" w:fill="auto"/>
            <w:noWrap/>
            <w:hideMark/>
          </w:tcPr>
          <w:p w14:paraId="71BAD0A7" w14:textId="77777777" w:rsidR="00621D13" w:rsidRPr="008C7397" w:rsidRDefault="00621D13" w:rsidP="00F957D5">
            <w:pPr>
              <w:jc w:val="right"/>
              <w:rPr>
                <w:color w:val="000000"/>
                <w:sz w:val="20"/>
                <w:szCs w:val="20"/>
                <w:lang w:eastAsia="en-GB"/>
              </w:rPr>
            </w:pPr>
            <w:r w:rsidRPr="008C7397">
              <w:rPr>
                <w:color w:val="000000"/>
                <w:sz w:val="20"/>
                <w:szCs w:val="20"/>
                <w:lang w:eastAsia="en-GB"/>
              </w:rPr>
              <w:t>192,504</w:t>
            </w:r>
          </w:p>
        </w:tc>
        <w:tc>
          <w:tcPr>
            <w:tcW w:w="1475" w:type="dxa"/>
            <w:tcBorders>
              <w:top w:val="nil"/>
              <w:left w:val="nil"/>
              <w:bottom w:val="single" w:sz="4" w:space="0" w:color="auto"/>
              <w:right w:val="single" w:sz="4" w:space="0" w:color="auto"/>
            </w:tcBorders>
            <w:shd w:val="clear" w:color="auto" w:fill="auto"/>
            <w:noWrap/>
            <w:hideMark/>
          </w:tcPr>
          <w:p w14:paraId="26E380FE" w14:textId="77777777" w:rsidR="00621D13" w:rsidRPr="008C7397" w:rsidRDefault="00621D13" w:rsidP="00F957D5">
            <w:pPr>
              <w:jc w:val="right"/>
              <w:rPr>
                <w:color w:val="000000"/>
                <w:sz w:val="20"/>
                <w:szCs w:val="20"/>
                <w:lang w:eastAsia="en-GB"/>
              </w:rPr>
            </w:pPr>
            <w:r w:rsidRPr="008C7397">
              <w:rPr>
                <w:color w:val="000000"/>
                <w:sz w:val="20"/>
                <w:szCs w:val="20"/>
                <w:lang w:eastAsia="en-GB"/>
              </w:rPr>
              <w:t>135,681</w:t>
            </w:r>
          </w:p>
        </w:tc>
        <w:tc>
          <w:tcPr>
            <w:tcW w:w="1476" w:type="dxa"/>
            <w:tcBorders>
              <w:top w:val="nil"/>
              <w:left w:val="nil"/>
              <w:bottom w:val="single" w:sz="4" w:space="0" w:color="auto"/>
              <w:right w:val="single" w:sz="4" w:space="0" w:color="auto"/>
            </w:tcBorders>
            <w:shd w:val="clear" w:color="auto" w:fill="auto"/>
            <w:noWrap/>
            <w:hideMark/>
          </w:tcPr>
          <w:p w14:paraId="00D86087" w14:textId="77777777" w:rsidR="00621D13" w:rsidRPr="008C7397" w:rsidRDefault="00621D13" w:rsidP="00F957D5">
            <w:pPr>
              <w:jc w:val="right"/>
              <w:rPr>
                <w:color w:val="000000"/>
                <w:sz w:val="20"/>
                <w:szCs w:val="20"/>
                <w:lang w:eastAsia="en-GB"/>
              </w:rPr>
            </w:pPr>
            <w:r w:rsidRPr="008C7397">
              <w:rPr>
                <w:color w:val="000000"/>
                <w:sz w:val="20"/>
                <w:szCs w:val="20"/>
                <w:lang w:eastAsia="en-GB"/>
              </w:rPr>
              <w:t>56,823</w:t>
            </w:r>
          </w:p>
        </w:tc>
        <w:tc>
          <w:tcPr>
            <w:tcW w:w="1475" w:type="dxa"/>
            <w:tcBorders>
              <w:top w:val="nil"/>
              <w:left w:val="nil"/>
              <w:bottom w:val="single" w:sz="4" w:space="0" w:color="auto"/>
              <w:right w:val="single" w:sz="4" w:space="0" w:color="auto"/>
            </w:tcBorders>
            <w:shd w:val="clear" w:color="auto" w:fill="auto"/>
            <w:noWrap/>
            <w:hideMark/>
          </w:tcPr>
          <w:p w14:paraId="07FBBCC4" w14:textId="77777777" w:rsidR="00621D13" w:rsidRPr="008C7397" w:rsidRDefault="00621D13" w:rsidP="00F957D5">
            <w:pPr>
              <w:jc w:val="right"/>
              <w:rPr>
                <w:color w:val="000000"/>
                <w:sz w:val="20"/>
                <w:szCs w:val="20"/>
                <w:lang w:eastAsia="en-GB"/>
              </w:rPr>
            </w:pPr>
            <w:r w:rsidRPr="008C7397">
              <w:rPr>
                <w:color w:val="000000"/>
                <w:sz w:val="20"/>
                <w:szCs w:val="20"/>
                <w:lang w:eastAsia="en-GB"/>
              </w:rPr>
              <w:t>70,702</w:t>
            </w:r>
          </w:p>
        </w:tc>
        <w:tc>
          <w:tcPr>
            <w:tcW w:w="1476" w:type="dxa"/>
            <w:tcBorders>
              <w:top w:val="nil"/>
              <w:left w:val="nil"/>
              <w:bottom w:val="single" w:sz="4" w:space="0" w:color="auto"/>
              <w:right w:val="single" w:sz="4" w:space="0" w:color="auto"/>
            </w:tcBorders>
            <w:shd w:val="clear" w:color="auto" w:fill="auto"/>
            <w:noWrap/>
            <w:hideMark/>
          </w:tcPr>
          <w:p w14:paraId="5F8554A3" w14:textId="77777777" w:rsidR="00621D13" w:rsidRPr="008C7397" w:rsidRDefault="00621D13" w:rsidP="00F957D5">
            <w:pPr>
              <w:jc w:val="right"/>
              <w:rPr>
                <w:b/>
                <w:bCs/>
                <w:sz w:val="20"/>
                <w:szCs w:val="20"/>
                <w:lang w:eastAsia="en-GB"/>
              </w:rPr>
            </w:pPr>
            <w:r w:rsidRPr="008C7397">
              <w:rPr>
                <w:b/>
                <w:bCs/>
                <w:sz w:val="20"/>
                <w:szCs w:val="20"/>
                <w:lang w:eastAsia="en-GB"/>
              </w:rPr>
              <w:t>-13,879</w:t>
            </w:r>
          </w:p>
        </w:tc>
      </w:tr>
      <w:tr w:rsidR="00621D13" w:rsidRPr="008C7397" w14:paraId="4907A690" w14:textId="77777777" w:rsidTr="00F957D5">
        <w:tc>
          <w:tcPr>
            <w:tcW w:w="1980" w:type="dxa"/>
            <w:tcBorders>
              <w:top w:val="nil"/>
              <w:left w:val="single" w:sz="4" w:space="0" w:color="auto"/>
              <w:bottom w:val="single" w:sz="4" w:space="0" w:color="auto"/>
              <w:right w:val="single" w:sz="4" w:space="0" w:color="auto"/>
            </w:tcBorders>
            <w:shd w:val="clear" w:color="auto" w:fill="auto"/>
            <w:noWrap/>
            <w:hideMark/>
          </w:tcPr>
          <w:p w14:paraId="1F222841" w14:textId="77777777" w:rsidR="00621D13" w:rsidRPr="008C7397" w:rsidRDefault="00621D13" w:rsidP="00F957D5">
            <w:pPr>
              <w:jc w:val="left"/>
              <w:rPr>
                <w:b/>
                <w:bCs/>
                <w:color w:val="000000"/>
                <w:sz w:val="20"/>
                <w:szCs w:val="20"/>
                <w:lang w:eastAsia="en-GB"/>
              </w:rPr>
            </w:pPr>
            <w:r w:rsidRPr="008C7397">
              <w:rPr>
                <w:b/>
                <w:bCs/>
                <w:color w:val="000000"/>
                <w:sz w:val="20"/>
                <w:szCs w:val="20"/>
                <w:lang w:eastAsia="en-GB"/>
              </w:rPr>
              <w:t>Total agreed costs</w:t>
            </w:r>
          </w:p>
        </w:tc>
        <w:tc>
          <w:tcPr>
            <w:tcW w:w="1475" w:type="dxa"/>
            <w:tcBorders>
              <w:top w:val="nil"/>
              <w:left w:val="nil"/>
              <w:bottom w:val="single" w:sz="4" w:space="0" w:color="auto"/>
              <w:right w:val="single" w:sz="4" w:space="0" w:color="auto"/>
            </w:tcBorders>
            <w:shd w:val="clear" w:color="auto" w:fill="auto"/>
            <w:noWrap/>
            <w:hideMark/>
          </w:tcPr>
          <w:p w14:paraId="7C6F181B"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2,942,561</w:t>
            </w:r>
          </w:p>
        </w:tc>
        <w:tc>
          <w:tcPr>
            <w:tcW w:w="1475" w:type="dxa"/>
            <w:tcBorders>
              <w:top w:val="nil"/>
              <w:left w:val="nil"/>
              <w:bottom w:val="single" w:sz="4" w:space="0" w:color="auto"/>
              <w:right w:val="single" w:sz="4" w:space="0" w:color="auto"/>
            </w:tcBorders>
            <w:shd w:val="clear" w:color="auto" w:fill="auto"/>
            <w:noWrap/>
            <w:hideMark/>
          </w:tcPr>
          <w:p w14:paraId="4CFCC37C"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2,073,988</w:t>
            </w:r>
          </w:p>
        </w:tc>
        <w:tc>
          <w:tcPr>
            <w:tcW w:w="1476" w:type="dxa"/>
            <w:tcBorders>
              <w:top w:val="nil"/>
              <w:left w:val="nil"/>
              <w:bottom w:val="single" w:sz="4" w:space="0" w:color="auto"/>
              <w:right w:val="single" w:sz="4" w:space="0" w:color="auto"/>
            </w:tcBorders>
            <w:shd w:val="clear" w:color="auto" w:fill="auto"/>
            <w:noWrap/>
            <w:hideMark/>
          </w:tcPr>
          <w:p w14:paraId="17E459AB"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868,573</w:t>
            </w:r>
          </w:p>
        </w:tc>
        <w:tc>
          <w:tcPr>
            <w:tcW w:w="1475" w:type="dxa"/>
            <w:tcBorders>
              <w:top w:val="nil"/>
              <w:left w:val="nil"/>
              <w:bottom w:val="single" w:sz="4" w:space="0" w:color="auto"/>
              <w:right w:val="single" w:sz="4" w:space="0" w:color="auto"/>
            </w:tcBorders>
            <w:shd w:val="clear" w:color="auto" w:fill="auto"/>
            <w:noWrap/>
            <w:hideMark/>
          </w:tcPr>
          <w:p w14:paraId="2E50C4FF" w14:textId="77777777" w:rsidR="00621D13" w:rsidRPr="008C7397" w:rsidRDefault="00621D13" w:rsidP="00F957D5">
            <w:pPr>
              <w:jc w:val="right"/>
              <w:rPr>
                <w:b/>
                <w:bCs/>
                <w:color w:val="000000"/>
                <w:sz w:val="20"/>
                <w:szCs w:val="20"/>
                <w:lang w:eastAsia="en-GB"/>
              </w:rPr>
            </w:pPr>
            <w:r w:rsidRPr="008C7397">
              <w:rPr>
                <w:b/>
                <w:bCs/>
                <w:color w:val="000000"/>
                <w:sz w:val="20"/>
                <w:szCs w:val="20"/>
                <w:lang w:eastAsia="en-GB"/>
              </w:rPr>
              <w:t>1,080,725</w:t>
            </w:r>
          </w:p>
        </w:tc>
        <w:tc>
          <w:tcPr>
            <w:tcW w:w="1476" w:type="dxa"/>
            <w:tcBorders>
              <w:top w:val="nil"/>
              <w:left w:val="nil"/>
              <w:bottom w:val="single" w:sz="4" w:space="0" w:color="auto"/>
              <w:right w:val="single" w:sz="4" w:space="0" w:color="auto"/>
            </w:tcBorders>
            <w:shd w:val="clear" w:color="auto" w:fill="auto"/>
            <w:noWrap/>
            <w:hideMark/>
          </w:tcPr>
          <w:p w14:paraId="6BA2363D" w14:textId="77777777" w:rsidR="00621D13" w:rsidRPr="008C7397" w:rsidRDefault="00621D13" w:rsidP="00F957D5">
            <w:pPr>
              <w:jc w:val="right"/>
              <w:rPr>
                <w:b/>
                <w:bCs/>
                <w:sz w:val="20"/>
                <w:szCs w:val="20"/>
                <w:lang w:eastAsia="en-GB"/>
              </w:rPr>
            </w:pPr>
            <w:r w:rsidRPr="008C7397">
              <w:rPr>
                <w:b/>
                <w:bCs/>
                <w:sz w:val="20"/>
                <w:szCs w:val="20"/>
                <w:lang w:eastAsia="en-GB"/>
              </w:rPr>
              <w:t>-212,152</w:t>
            </w:r>
          </w:p>
        </w:tc>
      </w:tr>
    </w:tbl>
    <w:p w14:paraId="458DCB70" w14:textId="77777777" w:rsidR="00621D13" w:rsidRPr="0045621B" w:rsidRDefault="00621D13" w:rsidP="00621D13">
      <w:pPr>
        <w:rPr>
          <w:lang w:val="en-US"/>
        </w:rPr>
      </w:pPr>
    </w:p>
    <w:p w14:paraId="6BC25B74" w14:textId="77777777" w:rsidR="00621D13" w:rsidRDefault="00621D13" w:rsidP="00621D13">
      <w:pPr>
        <w:rPr>
          <w:u w:val="single"/>
        </w:rPr>
      </w:pPr>
      <w:r>
        <w:rPr>
          <w:u w:val="single"/>
        </w:rPr>
        <w:t>Revised implementation plan for stage II of the HPMP</w:t>
      </w:r>
    </w:p>
    <w:p w14:paraId="1A3B7431" w14:textId="77777777" w:rsidR="00621D13" w:rsidRDefault="00621D13" w:rsidP="00621D13">
      <w:pPr>
        <w:rPr>
          <w:u w:val="single"/>
        </w:rPr>
      </w:pPr>
    </w:p>
    <w:p w14:paraId="75E549CC" w14:textId="77777777" w:rsidR="00621D13" w:rsidRPr="00EA3562" w:rsidRDefault="00621D13" w:rsidP="00621D13">
      <w:pPr>
        <w:pStyle w:val="Heading1"/>
      </w:pPr>
      <w:r w:rsidRPr="00EA3562">
        <w:t>UNIDO provided a revised plan to be implemented between 2021 and 2022, as follows:</w:t>
      </w:r>
    </w:p>
    <w:p w14:paraId="784D1AAE" w14:textId="77777777" w:rsidR="00621D13" w:rsidRPr="00EA3562" w:rsidRDefault="00621D13" w:rsidP="00621D13">
      <w:pPr>
        <w:pStyle w:val="Heading2"/>
      </w:pPr>
      <w:r w:rsidRPr="00EA3562">
        <w:t>Technical assistance for policy/enforcement and customs authorities</w:t>
      </w:r>
    </w:p>
    <w:p w14:paraId="410583EA" w14:textId="77777777" w:rsidR="00621D13" w:rsidRPr="00EA3562" w:rsidRDefault="00621D13" w:rsidP="00621D13">
      <w:pPr>
        <w:pStyle w:val="Heading3"/>
      </w:pPr>
      <w:r w:rsidRPr="00EA3562">
        <w:t>Four stakeholder meetings with 100 participants to develop minimum energy performance standards for RAC equipment that would facilitate transition to energy efficient air-conditioners and would encourage the uptake of low</w:t>
      </w:r>
      <w:r w:rsidRPr="00EA3562">
        <w:noBreakHyphen/>
        <w:t xml:space="preserve">GWP refrigerants; discourage the demand of HCFC-based AC through issuance of a Circular to notify AC market suppliers that any AC model containing HCFC-22 cannot be registered and sold in the Philippines market from January 2023 (US $10,000); </w:t>
      </w:r>
    </w:p>
    <w:p w14:paraId="0BA287D8" w14:textId="77777777" w:rsidR="00621D13" w:rsidRPr="00EA3562" w:rsidRDefault="00621D13" w:rsidP="00621D13">
      <w:pPr>
        <w:pStyle w:val="Heading3"/>
      </w:pPr>
      <w:r w:rsidRPr="00EA3562">
        <w:t xml:space="preserve">Five workshops for 150 customs and enforcement officers on the monitoring of ODS imports, trade control of HCFCs and illegal imports; update of training materials used in customs training; review of the online licensing system to include recommendations from the verification report to include an early warning system to detect illegal trade; two training workshops on effective enforcement of the licensing and quota system for 55 participants from the Government and distributors/suppliers of refrigerants (US $107,410); </w:t>
      </w:r>
    </w:p>
    <w:p w14:paraId="75422928" w14:textId="77777777" w:rsidR="00621D13" w:rsidRDefault="00621D13" w:rsidP="00621D13">
      <w:pPr>
        <w:pStyle w:val="Heading3"/>
      </w:pPr>
      <w:r w:rsidRPr="00EA3562">
        <w:t xml:space="preserve">Assessment of the data management system to include requirements for the registration of RAC service providers and enhance the management of the online licensing system; two meetings with 15 distributors and suppliers of HCFCs and </w:t>
      </w:r>
      <w:r w:rsidRPr="00EA3562">
        <w:lastRenderedPageBreak/>
        <w:t>HCFC-based equipment to discuss requirements for registration and data</w:t>
      </w:r>
      <w:r>
        <w:t xml:space="preserve"> reporting</w:t>
      </w:r>
      <w:r w:rsidRPr="003A5557">
        <w:t xml:space="preserve"> </w:t>
      </w:r>
      <w:r>
        <w:t xml:space="preserve">(US $22,000); </w:t>
      </w:r>
    </w:p>
    <w:p w14:paraId="0631CC82" w14:textId="77777777" w:rsidR="00621D13" w:rsidRDefault="00621D13" w:rsidP="00621D13">
      <w:pPr>
        <w:pStyle w:val="Heading3"/>
      </w:pPr>
      <w:r>
        <w:t>Verification of HCFC consumption and HPMP implementation (US $3,500)</w:t>
      </w:r>
    </w:p>
    <w:p w14:paraId="3F7F5D23" w14:textId="77777777" w:rsidR="00621D13" w:rsidRPr="00EA3562" w:rsidRDefault="00621D13" w:rsidP="00621D13">
      <w:pPr>
        <w:pStyle w:val="Heading2"/>
      </w:pPr>
      <w:r w:rsidRPr="00EA3562">
        <w:t>Technical assistance for the servicing sector to promote good refrigeration practices, and to demonstrate and encourage the use of low-GWP alternatives</w:t>
      </w:r>
    </w:p>
    <w:p w14:paraId="1424CD40" w14:textId="77777777" w:rsidR="00621D13" w:rsidRPr="00EA3562" w:rsidRDefault="00621D13" w:rsidP="00621D13">
      <w:pPr>
        <w:pStyle w:val="Heading3"/>
        <w:rPr>
          <w:lang w:val="en-CA"/>
        </w:rPr>
      </w:pPr>
      <w:r w:rsidRPr="00EA3562">
        <w:rPr>
          <w:lang w:val="en-CA"/>
        </w:rPr>
        <w:t>Training 100 RAC technicians on good refrigeration practices to minimize refrigerant leaks from equipment and safety considerations for flammable refrigerants; technical support for the central recycling centre; collection of HCFCs and other refrigerants; review of the disposal options for unused and unwanted controlled substances, and three stakeholder meetings and three coordination meetings; and hiring of two consultants (US $138,000);</w:t>
      </w:r>
    </w:p>
    <w:p w14:paraId="62E2D94E" w14:textId="77777777" w:rsidR="00621D13" w:rsidRPr="00EA3562" w:rsidRDefault="00621D13" w:rsidP="00621D13">
      <w:pPr>
        <w:pStyle w:val="Heading3"/>
      </w:pPr>
      <w:r>
        <w:t xml:space="preserve">Continue updating training capacity of the </w:t>
      </w:r>
      <w:r w:rsidRPr="00715215">
        <w:rPr>
          <w:lang w:val="en-US"/>
        </w:rPr>
        <w:t xml:space="preserve">Technical Education and </w:t>
      </w:r>
      <w:r>
        <w:rPr>
          <w:lang w:val="en-US"/>
        </w:rPr>
        <w:t>S</w:t>
      </w:r>
      <w:r w:rsidRPr="00715215">
        <w:rPr>
          <w:lang w:val="en-US"/>
        </w:rPr>
        <w:t xml:space="preserve">kills </w:t>
      </w:r>
      <w:r w:rsidRPr="00EA3562">
        <w:rPr>
          <w:lang w:val="en-US"/>
        </w:rPr>
        <w:t>Development Authority</w:t>
      </w:r>
      <w:r w:rsidRPr="00EA3562">
        <w:t xml:space="preserve"> (TESDA) and TESDA-accredited institutions to strengthen the technician certification and training programme through the development of new material and of a new code of practice on</w:t>
      </w:r>
      <w:r w:rsidRPr="00EA3562">
        <w:rPr>
          <w:lang w:val="en-US"/>
        </w:rPr>
        <w:t xml:space="preserve"> the handling of flammable alternatives for HCFC</w:t>
      </w:r>
      <w:r w:rsidRPr="00EA3562">
        <w:rPr>
          <w:lang w:val="en-US"/>
        </w:rPr>
        <w:noBreakHyphen/>
        <w:t>22 (i.e., HFC-32, R-290)</w:t>
      </w:r>
      <w:r w:rsidRPr="00EA3562">
        <w:t xml:space="preserve"> to ensure that technicians are prepared when uptake of these increases; develop new training material for alternatives for HCFC-141b for flushing in the servicing sector; train at least 25 trainers on the new service code of practice; and five training workshops for 125 service technicians for certification on</w:t>
      </w:r>
      <w:r>
        <w:t xml:space="preserve"> </w:t>
      </w:r>
      <w:r w:rsidRPr="00715215">
        <w:rPr>
          <w:lang w:val="en-US"/>
        </w:rPr>
        <w:t>the handling of low</w:t>
      </w:r>
      <w:r w:rsidRPr="00715215">
        <w:rPr>
          <w:lang w:val="en-US"/>
        </w:rPr>
        <w:noBreakHyphen/>
        <w:t>GWP alternatives for HCFC-22 (i.e. HFC-32 and R-290)</w:t>
      </w:r>
      <w:r>
        <w:t xml:space="preserve"> and on alternatives for </w:t>
      </w:r>
      <w:r w:rsidRPr="00EA3562">
        <w:t>HCFC</w:t>
      </w:r>
      <w:r w:rsidRPr="00EA3562">
        <w:noBreakHyphen/>
        <w:t>141b (US $84,000);</w:t>
      </w:r>
      <w:r>
        <w:t xml:space="preserve"> </w:t>
      </w:r>
    </w:p>
    <w:p w14:paraId="33B762FF" w14:textId="77777777" w:rsidR="00621D13" w:rsidRPr="00EA3562" w:rsidRDefault="00621D13" w:rsidP="00621D13">
      <w:pPr>
        <w:pStyle w:val="Heading3"/>
      </w:pPr>
      <w:r w:rsidRPr="00EA3562">
        <w:t>A study on the potential alternatives to HCFC-225ca and HCFC-225cb for cleaning refrigeration systems and to HCFC-123 for firefighting; informing and educating stakeholders on the alternatives and cost-effectiveness through two workshops for a total of 40 participants (US $30,000); a study to identify where HCFC-141b is used as a solvent and to recommend alternatives for flushing and two training workshops for 60 participants on the findings; (US $50,0</w:t>
      </w:r>
      <w:r>
        <w:t>00);</w:t>
      </w:r>
    </w:p>
    <w:p w14:paraId="1D5DAC6D" w14:textId="77777777" w:rsidR="00621D13" w:rsidRPr="00EA3562" w:rsidRDefault="00621D13" w:rsidP="00621D13">
      <w:pPr>
        <w:pStyle w:val="Heading2"/>
      </w:pPr>
      <w:r w:rsidRPr="00EA3562">
        <w:t>Technical assistance to promote low-GWP alternatives for the RAC sector (US$106,902)</w:t>
      </w:r>
    </w:p>
    <w:p w14:paraId="2DAC98A2" w14:textId="77777777" w:rsidR="00621D13" w:rsidRPr="00EA3562" w:rsidRDefault="00621D13" w:rsidP="00621D13">
      <w:pPr>
        <w:pStyle w:val="Heading3"/>
      </w:pPr>
      <w:r w:rsidRPr="00EA3562">
        <w:t xml:space="preserve">Three workshops for 100 AC manufacturers, importers, end-users to provide information and demonstrate, encourage, and promote the use of low-GWP alternatives in the RAC sector; </w:t>
      </w:r>
    </w:p>
    <w:p w14:paraId="516839D2" w14:textId="77777777" w:rsidR="00621D13" w:rsidRPr="00EA3562" w:rsidRDefault="00621D13" w:rsidP="00621D13">
      <w:pPr>
        <w:pStyle w:val="Heading3"/>
      </w:pPr>
      <w:r w:rsidRPr="00EA3562">
        <w:t xml:space="preserve">Development of a market study </w:t>
      </w:r>
      <w:r w:rsidRPr="00EA3562">
        <w:rPr>
          <w:color w:val="000000"/>
          <w:lang w:val="en-US" w:eastAsia="en-GB"/>
        </w:rPr>
        <w:t>on the current situation in the Philippines for the AC sector looking at the availability, technical feasibility and potential environmental and economic benefits for transitioning to low-GWP alternatives both in the manufacturing and import categories;</w:t>
      </w:r>
      <w:r>
        <w:rPr>
          <w:color w:val="000000"/>
          <w:lang w:val="en-US" w:eastAsia="en-GB"/>
        </w:rPr>
        <w:t xml:space="preserve"> </w:t>
      </w:r>
    </w:p>
    <w:p w14:paraId="267F0542" w14:textId="77777777" w:rsidR="00621D13" w:rsidRPr="00EA3562" w:rsidRDefault="00621D13" w:rsidP="00621D13">
      <w:pPr>
        <w:pStyle w:val="Heading3"/>
      </w:pPr>
      <w:r w:rsidRPr="00EA3562">
        <w:t>Preparation of a pilot online training programme to be publicly available on the e</w:t>
      </w:r>
      <w:r w:rsidRPr="00EA3562">
        <w:noBreakHyphen/>
        <w:t xml:space="preserve">learning websites specifically on the safe handling of </w:t>
      </w:r>
      <w:r w:rsidRPr="00EA3562">
        <w:rPr>
          <w:lang w:val="en-US"/>
        </w:rPr>
        <w:t>flammable, toxic, and high</w:t>
      </w:r>
      <w:r w:rsidRPr="00EA3562">
        <w:rPr>
          <w:lang w:val="en-US"/>
        </w:rPr>
        <w:noBreakHyphen/>
        <w:t xml:space="preserve">pressure refrigerants </w:t>
      </w:r>
      <w:r w:rsidRPr="00EA3562">
        <w:t>targeted towards manufacturing enterprises, technicians, end-users, importers and other relevant stakeholders to support the uptake of these alternatives, with the view to including this in the overall servicing technician training programme</w:t>
      </w:r>
      <w:r>
        <w:t>; and</w:t>
      </w:r>
    </w:p>
    <w:p w14:paraId="71F971E4" w14:textId="77777777" w:rsidR="00621D13" w:rsidRDefault="00621D13" w:rsidP="003B5FC0">
      <w:pPr>
        <w:pStyle w:val="Heading2"/>
        <w:keepNext/>
        <w:widowControl/>
      </w:pPr>
      <w:r w:rsidRPr="00EA3562">
        <w:lastRenderedPageBreak/>
        <w:t>PMU (US $49,500): for the overall implementation and monitoring of activities including the hiring of a coordinator; stakeholder coordination and survey experts (US $29,500); information dissemination on various topics related to the stage II implementation (US $10,000); an expert to implement</w:t>
      </w:r>
      <w:r>
        <w:t xml:space="preserve"> the gender policy of the Multilateral Fund consistent with UNIDO’s guide for gender mainstreaming in Montreal Protocol projects; and continue implementation of general awareness raising programmes (US $10,000).</w:t>
      </w:r>
    </w:p>
    <w:p w14:paraId="09932B85" w14:textId="77777777" w:rsidR="00621D13" w:rsidRPr="00A564F9" w:rsidRDefault="00621D13" w:rsidP="00621D13">
      <w:pPr>
        <w:keepNext/>
        <w:rPr>
          <w:b/>
        </w:rPr>
      </w:pPr>
      <w:r>
        <w:rPr>
          <w:b/>
        </w:rPr>
        <w:t>Secretariat’s c</w:t>
      </w:r>
      <w:r w:rsidRPr="00A564F9">
        <w:rPr>
          <w:b/>
        </w:rPr>
        <w:t xml:space="preserve">omments </w:t>
      </w:r>
    </w:p>
    <w:p w14:paraId="6DF9522C" w14:textId="77777777" w:rsidR="00621D13" w:rsidRPr="00A564F9" w:rsidRDefault="00621D13" w:rsidP="00621D13">
      <w:pPr>
        <w:keepNext/>
        <w:rPr>
          <w:b/>
        </w:rPr>
      </w:pPr>
    </w:p>
    <w:p w14:paraId="10D25F6B" w14:textId="77777777" w:rsidR="00621D13" w:rsidRPr="00A564F9" w:rsidRDefault="00621D13" w:rsidP="00621D13">
      <w:pPr>
        <w:keepNext/>
        <w:rPr>
          <w:i/>
        </w:rPr>
      </w:pPr>
      <w:r w:rsidRPr="00A564F9">
        <w:rPr>
          <w:i/>
        </w:rPr>
        <w:t>Removal of the AC</w:t>
      </w:r>
      <w:r>
        <w:rPr>
          <w:i/>
        </w:rPr>
        <w:t xml:space="preserve"> </w:t>
      </w:r>
      <w:r w:rsidRPr="00A564F9">
        <w:rPr>
          <w:i/>
        </w:rPr>
        <w:t>sector plan from stage I</w:t>
      </w:r>
      <w:r>
        <w:rPr>
          <w:i/>
        </w:rPr>
        <w:t>I</w:t>
      </w:r>
    </w:p>
    <w:p w14:paraId="71A3420B" w14:textId="77777777" w:rsidR="00621D13" w:rsidRPr="00A564F9" w:rsidRDefault="00621D13" w:rsidP="00621D13">
      <w:pPr>
        <w:keepNext/>
        <w:rPr>
          <w:b/>
        </w:rPr>
      </w:pPr>
    </w:p>
    <w:p w14:paraId="1F29865A" w14:textId="77777777" w:rsidR="00621D13" w:rsidRPr="00EA3562" w:rsidRDefault="00621D13" w:rsidP="00621D13">
      <w:pPr>
        <w:pStyle w:val="Heading1"/>
        <w:keepNext/>
      </w:pPr>
      <w:r w:rsidRPr="00EA3562">
        <w:t>UNIDO, on behalf of the Philippines had originally submitted the request for the release of the second tranche of stage II of the HPMP. In reviewing the request, the Secretariat noted that there continued to be considerable challenges associated with the AC manufacturing sector plan, where two of the four beneficiary enterprises had formally requested to be removed from the plan as they had converted to R</w:t>
      </w:r>
      <w:r w:rsidRPr="00EA3562">
        <w:noBreakHyphen/>
        <w:t>410A technology with their own resources, and that while the two remaining enterprises continued to be interested in converting to HFC-32, they had also started their conversion to R</w:t>
      </w:r>
      <w:r w:rsidRPr="00EA3562">
        <w:noBreakHyphen/>
        <w:t>410A. Since UNIDO and the Government of the Philippines had not yet disbursed any funds to these enterprises, after further technical consideration of the feasibility of continuing these conversions, the Government of the Philippines requested the cancellation of the AC manufacturing sector plan. UNIDO indicated that the Government continues to be on track to implement the ban on the import of HCFC-22-based AC with cooling capacity of less than 36,000 BTU/hour from January 2022.</w:t>
      </w:r>
    </w:p>
    <w:p w14:paraId="1713E2F8" w14:textId="77777777" w:rsidR="00621D13" w:rsidRPr="00EA3562" w:rsidRDefault="00621D13" w:rsidP="00621D13">
      <w:pPr>
        <w:pStyle w:val="Heading1"/>
        <w:rPr>
          <w:strike/>
        </w:rPr>
      </w:pPr>
      <w:r w:rsidRPr="00EA3562">
        <w:t>UNIDO further indicated that US $212,152 consisting of US $53,273 and the PMU costs of US $145,000, associated with the AC manufacturing sector plan, plus agency support costs of US $13,879 for UNIDO will be returned to the 89</w:t>
      </w:r>
      <w:r w:rsidRPr="00EA3562">
        <w:rPr>
          <w:vertAlign w:val="superscript"/>
        </w:rPr>
        <w:t>th</w:t>
      </w:r>
      <w:r w:rsidRPr="00EA3562">
        <w:t xml:space="preserve"> meeting. </w:t>
      </w:r>
    </w:p>
    <w:p w14:paraId="70F70760" w14:textId="77777777" w:rsidR="00621D13" w:rsidRPr="00A564F9" w:rsidRDefault="00621D13" w:rsidP="00621D13">
      <w:pPr>
        <w:keepNext/>
        <w:rPr>
          <w:i/>
        </w:rPr>
      </w:pPr>
      <w:r w:rsidRPr="00A564F9">
        <w:rPr>
          <w:i/>
        </w:rPr>
        <w:t>Revised plan of action and funding distribution for stage I</w:t>
      </w:r>
      <w:r>
        <w:rPr>
          <w:i/>
        </w:rPr>
        <w:t>I</w:t>
      </w:r>
      <w:r w:rsidRPr="00A564F9">
        <w:rPr>
          <w:i/>
        </w:rPr>
        <w:t xml:space="preserve"> of the HPMP </w:t>
      </w:r>
    </w:p>
    <w:p w14:paraId="4FE2F26C" w14:textId="77777777" w:rsidR="00621D13" w:rsidRDefault="00621D13" w:rsidP="00621D13">
      <w:pPr>
        <w:keepNext/>
        <w:rPr>
          <w:i/>
        </w:rPr>
      </w:pPr>
    </w:p>
    <w:p w14:paraId="507AFF83" w14:textId="77777777" w:rsidR="00621D13" w:rsidRPr="00EA3562" w:rsidRDefault="00621D13" w:rsidP="00621D13">
      <w:pPr>
        <w:keepNext/>
        <w:keepLines/>
        <w:numPr>
          <w:ilvl w:val="0"/>
          <w:numId w:val="1"/>
        </w:numPr>
        <w:spacing w:after="240"/>
        <w:outlineLvl w:val="0"/>
      </w:pPr>
      <w:r w:rsidRPr="00EA3562">
        <w:t>The Secretariat noted that the action plan provided by UNIDO was a continuation of those activities that were approved as part of the first tranche, and included those that will be implemented throughout the remaining duration of stage II. These activities will support the country to maintain the reduction in HCFC consumption through the application of good servicing practices; the upgrading of training provided through TESDA institutes; the promotion of HCFC alternatives and technician training on the safe handling of flammable refrigerants including HFC-32; the strengthening of the licensing and quota system through improved data management and customs training; and a new regulation that prohibits the registration of HCFC-22-based equipment starting in 2021. There is no more funding tranche associated with stage II of the HPMP for the Philippines. The Philippines will also continue technical assistance to the AC sector to encourage and promote the use of low-GWP alternatives, noting that due to the lack of technical information, R-410A equipment is broadly used in the Philippines because of the inverter technology which reduces energy costs for end-users; providing technical information on the benefits of lower-GWP technology that also uses inverter technology (</w:t>
      </w:r>
      <w:proofErr w:type="spellStart"/>
      <w:r w:rsidRPr="00EA3562">
        <w:t>i.e</w:t>
      </w:r>
      <w:proofErr w:type="spellEnd"/>
      <w:r w:rsidRPr="00EA3562">
        <w:t>, HFC-32) and other alternatives like R-290 to all stakeholders, a planned market analysis, and the ban on the imports of HCFC</w:t>
      </w:r>
      <w:r w:rsidRPr="00EA3562">
        <w:noBreakHyphen/>
        <w:t xml:space="preserve">based equipment expected to commence in January 2022, will support the market uptake of alternatives. </w:t>
      </w:r>
    </w:p>
    <w:p w14:paraId="19A91C1C" w14:textId="77777777" w:rsidR="00621D13" w:rsidRPr="004F7263" w:rsidRDefault="00621D13" w:rsidP="00621D13">
      <w:pPr>
        <w:keepNext/>
        <w:keepLines/>
        <w:numPr>
          <w:ilvl w:val="0"/>
          <w:numId w:val="1"/>
        </w:numPr>
        <w:spacing w:after="240"/>
        <w:outlineLvl w:val="0"/>
        <w:rPr>
          <w:i/>
        </w:rPr>
      </w:pPr>
      <w:r>
        <w:t>Stage II of the HPMP is expected to be completed as per the Agreement with the Executive Committee by 31 December 2022. UNIDO indicated that stage III of the HPMP will be submitted to the 89</w:t>
      </w:r>
      <w:r w:rsidRPr="004F7263">
        <w:rPr>
          <w:vertAlign w:val="superscript"/>
        </w:rPr>
        <w:t>th</w:t>
      </w:r>
      <w:r>
        <w:t xml:space="preserve"> </w:t>
      </w:r>
      <w:r w:rsidRPr="004F7263">
        <w:t>meeting.</w:t>
      </w:r>
      <w:r>
        <w:t xml:space="preserve"> </w:t>
      </w:r>
    </w:p>
    <w:p w14:paraId="07A817A5" w14:textId="77777777" w:rsidR="00621D13" w:rsidRPr="004F7263" w:rsidRDefault="00621D13" w:rsidP="00621D13">
      <w:pPr>
        <w:keepNext/>
        <w:keepLines/>
        <w:spacing w:after="240"/>
        <w:outlineLvl w:val="0"/>
        <w:rPr>
          <w:i/>
        </w:rPr>
      </w:pPr>
      <w:r w:rsidRPr="004F7263">
        <w:rPr>
          <w:i/>
        </w:rPr>
        <w:t xml:space="preserve">Revision to the HPMP Agreement </w:t>
      </w:r>
    </w:p>
    <w:p w14:paraId="569FD4A1" w14:textId="77777777" w:rsidR="00621D13" w:rsidRDefault="00621D13" w:rsidP="00621D13">
      <w:pPr>
        <w:numPr>
          <w:ilvl w:val="0"/>
          <w:numId w:val="1"/>
        </w:numPr>
        <w:spacing w:after="240"/>
        <w:outlineLvl w:val="0"/>
        <w:rPr>
          <w:lang w:val="en-CA"/>
        </w:rPr>
      </w:pPr>
      <w:r w:rsidRPr="00A564F9">
        <w:rPr>
          <w:lang w:val="en-CA"/>
        </w:rPr>
        <w:t>In view of the removal of the AC</w:t>
      </w:r>
      <w:r>
        <w:rPr>
          <w:lang w:val="en-CA"/>
        </w:rPr>
        <w:t xml:space="preserve"> manufacturing</w:t>
      </w:r>
      <w:r w:rsidRPr="00A564F9">
        <w:rPr>
          <w:lang w:val="en-CA"/>
        </w:rPr>
        <w:t xml:space="preserve"> sector plan from stage I</w:t>
      </w:r>
      <w:r>
        <w:rPr>
          <w:lang w:val="en-CA"/>
        </w:rPr>
        <w:t>I</w:t>
      </w:r>
      <w:r w:rsidRPr="00A564F9">
        <w:rPr>
          <w:lang w:val="en-CA"/>
        </w:rPr>
        <w:t xml:space="preserve"> of the HPMP and the revised funding schedule,</w:t>
      </w:r>
      <w:r>
        <w:rPr>
          <w:lang w:val="en-CA"/>
        </w:rPr>
        <w:t xml:space="preserve"> as shown in </w:t>
      </w:r>
      <w:r w:rsidRPr="00621D13">
        <w:rPr>
          <w:lang w:val="en-CA"/>
        </w:rPr>
        <w:t>Table 11</w:t>
      </w:r>
      <w:r>
        <w:rPr>
          <w:lang w:val="en-CA"/>
        </w:rPr>
        <w:t xml:space="preserve"> below, </w:t>
      </w:r>
      <w:r w:rsidRPr="00A564F9">
        <w:rPr>
          <w:lang w:val="en-CA"/>
        </w:rPr>
        <w:t xml:space="preserve">Appendix 2-A of the Agreement between the </w:t>
      </w:r>
      <w:r w:rsidRPr="00A564F9">
        <w:rPr>
          <w:lang w:val="en-CA"/>
        </w:rPr>
        <w:lastRenderedPageBreak/>
        <w:t xml:space="preserve">Government of </w:t>
      </w:r>
      <w:r>
        <w:rPr>
          <w:lang w:val="en-CA"/>
        </w:rPr>
        <w:t>the Philippines</w:t>
      </w:r>
      <w:r w:rsidRPr="00A564F9">
        <w:rPr>
          <w:lang w:val="en-CA"/>
        </w:rPr>
        <w:t xml:space="preserve"> and the Executive Committee has been updated, and paragraph 1</w:t>
      </w:r>
      <w:r>
        <w:rPr>
          <w:lang w:val="en-CA"/>
        </w:rPr>
        <w:t>7</w:t>
      </w:r>
      <w:r w:rsidRPr="00A564F9">
        <w:rPr>
          <w:lang w:val="en-CA"/>
        </w:rPr>
        <w:t xml:space="preserve"> has been </w:t>
      </w:r>
      <w:r>
        <w:rPr>
          <w:lang w:val="en-CA"/>
        </w:rPr>
        <w:t>updated</w:t>
      </w:r>
      <w:r w:rsidRPr="00A564F9">
        <w:rPr>
          <w:lang w:val="en-CA"/>
        </w:rPr>
        <w:t xml:space="preserve"> to indicate that the </w:t>
      </w:r>
      <w:r>
        <w:rPr>
          <w:lang w:val="en-CA"/>
        </w:rPr>
        <w:t xml:space="preserve">revised </w:t>
      </w:r>
      <w:r w:rsidRPr="00A564F9">
        <w:rPr>
          <w:lang w:val="en-CA"/>
        </w:rPr>
        <w:t xml:space="preserve">updated Agreement supersedes that reached at the </w:t>
      </w:r>
      <w:r>
        <w:rPr>
          <w:lang w:val="en-CA"/>
        </w:rPr>
        <w:t>83</w:t>
      </w:r>
      <w:r w:rsidRPr="00D4171B">
        <w:rPr>
          <w:vertAlign w:val="superscript"/>
          <w:lang w:val="en-CA"/>
        </w:rPr>
        <w:t>rd</w:t>
      </w:r>
      <w:r>
        <w:rPr>
          <w:lang w:val="en-CA"/>
        </w:rPr>
        <w:t xml:space="preserve"> </w:t>
      </w:r>
      <w:r w:rsidRPr="00A564F9">
        <w:rPr>
          <w:lang w:val="en-CA"/>
        </w:rPr>
        <w:t>meeting, as contained in Annex </w:t>
      </w:r>
      <w:r>
        <w:rPr>
          <w:lang w:val="en-CA"/>
        </w:rPr>
        <w:t xml:space="preserve">IV </w:t>
      </w:r>
      <w:r w:rsidRPr="00A564F9">
        <w:rPr>
          <w:lang w:val="en-CA"/>
        </w:rPr>
        <w:t>to the present document. The full updated Agreement will be appended to the final report of the 87</w:t>
      </w:r>
      <w:r w:rsidRPr="00D4171B">
        <w:rPr>
          <w:vertAlign w:val="superscript"/>
          <w:lang w:val="en-CA"/>
        </w:rPr>
        <w:t>th</w:t>
      </w:r>
      <w:r>
        <w:rPr>
          <w:lang w:val="en-CA"/>
        </w:rPr>
        <w:t xml:space="preserve"> </w:t>
      </w:r>
      <w:r w:rsidRPr="00A564F9">
        <w:rPr>
          <w:lang w:val="en-CA"/>
        </w:rPr>
        <w:t xml:space="preserve">meeting. </w:t>
      </w:r>
    </w:p>
    <w:p w14:paraId="4CAD0D76" w14:textId="77777777" w:rsidR="00621D13" w:rsidRDefault="00621D13" w:rsidP="00621D13">
      <w:pPr>
        <w:pStyle w:val="Heading1"/>
        <w:numPr>
          <w:ilvl w:val="0"/>
          <w:numId w:val="0"/>
        </w:numPr>
        <w:spacing w:after="0"/>
        <w:rPr>
          <w:b/>
          <w:bCs/>
          <w:lang w:val="en-US"/>
        </w:rPr>
      </w:pPr>
      <w:r>
        <w:rPr>
          <w:b/>
          <w:bCs/>
          <w:lang w:val="en-US"/>
        </w:rPr>
        <w:t>Table 11</w:t>
      </w:r>
      <w:r w:rsidRPr="00621D13">
        <w:rPr>
          <w:b/>
          <w:bCs/>
          <w:lang w:val="en-US"/>
        </w:rPr>
        <w:t>.</w:t>
      </w:r>
      <w:r w:rsidRPr="008A3CCC">
        <w:rPr>
          <w:b/>
          <w:bCs/>
          <w:lang w:val="en-US"/>
        </w:rPr>
        <w:t xml:space="preserve"> Revised </w:t>
      </w:r>
      <w:r>
        <w:rPr>
          <w:b/>
          <w:bCs/>
          <w:lang w:val="en-US"/>
        </w:rPr>
        <w:t xml:space="preserve">funding </w:t>
      </w:r>
      <w:r w:rsidRPr="008A3CCC">
        <w:rPr>
          <w:b/>
          <w:bCs/>
          <w:lang w:val="en-US"/>
        </w:rPr>
        <w:t xml:space="preserve">tranche distribution for stage II of the HPMP for </w:t>
      </w:r>
      <w:r>
        <w:rPr>
          <w:b/>
          <w:bCs/>
          <w:lang w:val="en-US"/>
        </w:rPr>
        <w:t>t</w:t>
      </w:r>
      <w:r w:rsidRPr="008A3CCC">
        <w:rPr>
          <w:b/>
          <w:bCs/>
          <w:lang w:val="en-US"/>
        </w:rPr>
        <w:t>he Philippines</w:t>
      </w:r>
    </w:p>
    <w:tbl>
      <w:tblPr>
        <w:tblStyle w:val="TableGrid"/>
        <w:tblW w:w="0" w:type="auto"/>
        <w:tblLook w:val="04A0" w:firstRow="1" w:lastRow="0" w:firstColumn="1" w:lastColumn="0" w:noHBand="0" w:noVBand="1"/>
      </w:tblPr>
      <w:tblGrid>
        <w:gridCol w:w="2674"/>
        <w:gridCol w:w="1112"/>
        <w:gridCol w:w="1113"/>
        <w:gridCol w:w="1113"/>
        <w:gridCol w:w="1112"/>
        <w:gridCol w:w="1113"/>
        <w:gridCol w:w="1113"/>
      </w:tblGrid>
      <w:tr w:rsidR="00621D13" w:rsidRPr="000B4FF8" w14:paraId="6DEEEA69" w14:textId="77777777" w:rsidTr="00F957D5">
        <w:tc>
          <w:tcPr>
            <w:tcW w:w="2674" w:type="dxa"/>
            <w:hideMark/>
          </w:tcPr>
          <w:p w14:paraId="25EA5411" w14:textId="77777777" w:rsidR="00621D13" w:rsidRPr="0018564A" w:rsidRDefault="00621D13" w:rsidP="00F957D5">
            <w:pPr>
              <w:jc w:val="left"/>
              <w:rPr>
                <w:b/>
                <w:bCs/>
                <w:sz w:val="20"/>
                <w:szCs w:val="20"/>
              </w:rPr>
            </w:pPr>
            <w:r w:rsidRPr="0018564A">
              <w:rPr>
                <w:b/>
                <w:bCs/>
                <w:sz w:val="20"/>
                <w:szCs w:val="20"/>
              </w:rPr>
              <w:t>Particulars</w:t>
            </w:r>
          </w:p>
        </w:tc>
        <w:tc>
          <w:tcPr>
            <w:tcW w:w="1112" w:type="dxa"/>
            <w:hideMark/>
          </w:tcPr>
          <w:p w14:paraId="29A7CEBE" w14:textId="77777777" w:rsidR="00621D13" w:rsidRPr="0018564A" w:rsidRDefault="00621D13" w:rsidP="00F957D5">
            <w:pPr>
              <w:jc w:val="center"/>
              <w:rPr>
                <w:b/>
                <w:bCs/>
                <w:sz w:val="20"/>
                <w:szCs w:val="20"/>
              </w:rPr>
            </w:pPr>
            <w:r w:rsidRPr="0018564A">
              <w:rPr>
                <w:b/>
                <w:bCs/>
                <w:sz w:val="20"/>
                <w:szCs w:val="20"/>
              </w:rPr>
              <w:t>2017</w:t>
            </w:r>
          </w:p>
        </w:tc>
        <w:tc>
          <w:tcPr>
            <w:tcW w:w="1113" w:type="dxa"/>
            <w:hideMark/>
          </w:tcPr>
          <w:p w14:paraId="25B31C34" w14:textId="77777777" w:rsidR="00621D13" w:rsidRPr="0018564A" w:rsidRDefault="00621D13" w:rsidP="00F957D5">
            <w:pPr>
              <w:jc w:val="center"/>
              <w:rPr>
                <w:b/>
                <w:bCs/>
                <w:sz w:val="20"/>
                <w:szCs w:val="20"/>
              </w:rPr>
            </w:pPr>
            <w:r w:rsidRPr="0018564A">
              <w:rPr>
                <w:b/>
                <w:bCs/>
                <w:sz w:val="20"/>
                <w:szCs w:val="20"/>
              </w:rPr>
              <w:t>2018</w:t>
            </w:r>
          </w:p>
        </w:tc>
        <w:tc>
          <w:tcPr>
            <w:tcW w:w="1113" w:type="dxa"/>
            <w:hideMark/>
          </w:tcPr>
          <w:p w14:paraId="634DADD0" w14:textId="77777777" w:rsidR="00621D13" w:rsidRPr="0018564A" w:rsidRDefault="00621D13" w:rsidP="00F957D5">
            <w:pPr>
              <w:jc w:val="center"/>
              <w:rPr>
                <w:b/>
                <w:bCs/>
                <w:sz w:val="20"/>
                <w:szCs w:val="20"/>
              </w:rPr>
            </w:pPr>
            <w:r w:rsidRPr="0018564A">
              <w:rPr>
                <w:b/>
                <w:bCs/>
                <w:sz w:val="20"/>
                <w:szCs w:val="20"/>
              </w:rPr>
              <w:t>2019</w:t>
            </w:r>
          </w:p>
        </w:tc>
        <w:tc>
          <w:tcPr>
            <w:tcW w:w="1112" w:type="dxa"/>
            <w:hideMark/>
          </w:tcPr>
          <w:p w14:paraId="3611E3DF" w14:textId="77777777" w:rsidR="00621D13" w:rsidRPr="0018564A" w:rsidRDefault="00621D13" w:rsidP="00F957D5">
            <w:pPr>
              <w:jc w:val="center"/>
              <w:rPr>
                <w:b/>
                <w:bCs/>
                <w:sz w:val="20"/>
                <w:szCs w:val="20"/>
              </w:rPr>
            </w:pPr>
            <w:r w:rsidRPr="0018564A">
              <w:rPr>
                <w:b/>
                <w:bCs/>
                <w:sz w:val="20"/>
                <w:szCs w:val="20"/>
              </w:rPr>
              <w:t>2020</w:t>
            </w:r>
          </w:p>
        </w:tc>
        <w:tc>
          <w:tcPr>
            <w:tcW w:w="1113" w:type="dxa"/>
            <w:hideMark/>
          </w:tcPr>
          <w:p w14:paraId="675FBDA6" w14:textId="77777777" w:rsidR="00621D13" w:rsidRPr="0018564A" w:rsidRDefault="00621D13" w:rsidP="00F957D5">
            <w:pPr>
              <w:jc w:val="center"/>
              <w:rPr>
                <w:b/>
                <w:bCs/>
                <w:sz w:val="20"/>
                <w:szCs w:val="20"/>
              </w:rPr>
            </w:pPr>
            <w:r w:rsidRPr="0018564A">
              <w:rPr>
                <w:b/>
                <w:bCs/>
                <w:sz w:val="20"/>
                <w:szCs w:val="20"/>
              </w:rPr>
              <w:t>2021</w:t>
            </w:r>
          </w:p>
        </w:tc>
        <w:tc>
          <w:tcPr>
            <w:tcW w:w="1113" w:type="dxa"/>
            <w:hideMark/>
          </w:tcPr>
          <w:p w14:paraId="5EFB68C3" w14:textId="77777777" w:rsidR="00621D13" w:rsidRPr="0018564A" w:rsidRDefault="00621D13" w:rsidP="00F957D5">
            <w:pPr>
              <w:jc w:val="right"/>
              <w:rPr>
                <w:b/>
                <w:bCs/>
                <w:sz w:val="20"/>
                <w:szCs w:val="20"/>
              </w:rPr>
            </w:pPr>
            <w:r w:rsidRPr="0018564A">
              <w:rPr>
                <w:b/>
                <w:bCs/>
                <w:sz w:val="20"/>
                <w:szCs w:val="20"/>
              </w:rPr>
              <w:t>Total</w:t>
            </w:r>
          </w:p>
        </w:tc>
      </w:tr>
      <w:tr w:rsidR="00621D13" w:rsidRPr="000B4FF8" w14:paraId="01659289" w14:textId="77777777" w:rsidTr="00F957D5">
        <w:tc>
          <w:tcPr>
            <w:tcW w:w="9350" w:type="dxa"/>
            <w:gridSpan w:val="7"/>
            <w:hideMark/>
          </w:tcPr>
          <w:p w14:paraId="01A3BBBA" w14:textId="77777777" w:rsidR="00621D13" w:rsidRPr="0018564A" w:rsidRDefault="00621D13" w:rsidP="00F957D5">
            <w:pPr>
              <w:jc w:val="left"/>
              <w:rPr>
                <w:b/>
                <w:bCs/>
                <w:sz w:val="20"/>
                <w:szCs w:val="20"/>
              </w:rPr>
            </w:pPr>
            <w:r w:rsidRPr="0018564A">
              <w:rPr>
                <w:b/>
                <w:bCs/>
                <w:sz w:val="20"/>
                <w:szCs w:val="20"/>
              </w:rPr>
              <w:t>Original</w:t>
            </w:r>
            <w:r>
              <w:rPr>
                <w:b/>
                <w:bCs/>
                <w:sz w:val="20"/>
                <w:szCs w:val="20"/>
              </w:rPr>
              <w:t xml:space="preserve"> </w:t>
            </w:r>
          </w:p>
        </w:tc>
      </w:tr>
      <w:tr w:rsidR="00621D13" w:rsidRPr="000B4FF8" w14:paraId="0C3C909D" w14:textId="77777777" w:rsidTr="00F957D5">
        <w:tc>
          <w:tcPr>
            <w:tcW w:w="2674" w:type="dxa"/>
            <w:hideMark/>
          </w:tcPr>
          <w:p w14:paraId="30B33B95" w14:textId="77777777" w:rsidR="00621D13" w:rsidRPr="0018564A" w:rsidRDefault="00621D13" w:rsidP="00F957D5">
            <w:pPr>
              <w:jc w:val="left"/>
              <w:rPr>
                <w:sz w:val="20"/>
                <w:szCs w:val="20"/>
              </w:rPr>
            </w:pPr>
            <w:r>
              <w:rPr>
                <w:sz w:val="20"/>
                <w:szCs w:val="20"/>
              </w:rPr>
              <w:t>A</w:t>
            </w:r>
            <w:r w:rsidRPr="0018564A">
              <w:rPr>
                <w:sz w:val="20"/>
                <w:szCs w:val="20"/>
              </w:rPr>
              <w:t xml:space="preserve">greed funding </w:t>
            </w:r>
          </w:p>
        </w:tc>
        <w:tc>
          <w:tcPr>
            <w:tcW w:w="1112" w:type="dxa"/>
            <w:hideMark/>
          </w:tcPr>
          <w:p w14:paraId="67018FBD" w14:textId="77777777" w:rsidR="00621D13" w:rsidRPr="0018564A" w:rsidRDefault="00621D13" w:rsidP="00F957D5">
            <w:pPr>
              <w:jc w:val="right"/>
              <w:rPr>
                <w:sz w:val="20"/>
                <w:szCs w:val="20"/>
              </w:rPr>
            </w:pPr>
            <w:r w:rsidRPr="0018564A">
              <w:rPr>
                <w:sz w:val="20"/>
                <w:szCs w:val="20"/>
              </w:rPr>
              <w:t>1,010,023</w:t>
            </w:r>
          </w:p>
        </w:tc>
        <w:tc>
          <w:tcPr>
            <w:tcW w:w="1113" w:type="dxa"/>
            <w:hideMark/>
          </w:tcPr>
          <w:p w14:paraId="41F43797" w14:textId="77777777" w:rsidR="00621D13" w:rsidRPr="0018564A" w:rsidRDefault="00621D13" w:rsidP="00F957D5">
            <w:pPr>
              <w:jc w:val="right"/>
              <w:rPr>
                <w:sz w:val="20"/>
                <w:szCs w:val="20"/>
              </w:rPr>
            </w:pPr>
            <w:r w:rsidRPr="0018564A">
              <w:rPr>
                <w:sz w:val="20"/>
                <w:szCs w:val="20"/>
              </w:rPr>
              <w:t>0</w:t>
            </w:r>
          </w:p>
        </w:tc>
        <w:tc>
          <w:tcPr>
            <w:tcW w:w="1113" w:type="dxa"/>
            <w:hideMark/>
          </w:tcPr>
          <w:p w14:paraId="510569A1" w14:textId="77777777" w:rsidR="00621D13" w:rsidRPr="0018564A" w:rsidRDefault="00621D13" w:rsidP="00F957D5">
            <w:pPr>
              <w:jc w:val="right"/>
              <w:rPr>
                <w:sz w:val="20"/>
                <w:szCs w:val="20"/>
              </w:rPr>
            </w:pPr>
            <w:r w:rsidRPr="0018564A">
              <w:rPr>
                <w:sz w:val="20"/>
                <w:szCs w:val="20"/>
              </w:rPr>
              <w:t>1,450,029</w:t>
            </w:r>
          </w:p>
        </w:tc>
        <w:tc>
          <w:tcPr>
            <w:tcW w:w="1112" w:type="dxa"/>
            <w:hideMark/>
          </w:tcPr>
          <w:p w14:paraId="57B23428" w14:textId="77777777" w:rsidR="00621D13" w:rsidRPr="0018564A" w:rsidRDefault="00621D13" w:rsidP="00F957D5">
            <w:pPr>
              <w:jc w:val="right"/>
              <w:rPr>
                <w:sz w:val="20"/>
                <w:szCs w:val="20"/>
              </w:rPr>
            </w:pPr>
            <w:r w:rsidRPr="0018564A">
              <w:rPr>
                <w:sz w:val="20"/>
                <w:szCs w:val="20"/>
              </w:rPr>
              <w:t>0</w:t>
            </w:r>
          </w:p>
        </w:tc>
        <w:tc>
          <w:tcPr>
            <w:tcW w:w="1113" w:type="dxa"/>
            <w:hideMark/>
          </w:tcPr>
          <w:p w14:paraId="6A87C73C" w14:textId="77777777" w:rsidR="00621D13" w:rsidRPr="0018564A" w:rsidRDefault="00621D13" w:rsidP="00F957D5">
            <w:pPr>
              <w:jc w:val="right"/>
              <w:rPr>
                <w:sz w:val="20"/>
                <w:szCs w:val="20"/>
              </w:rPr>
            </w:pPr>
            <w:r w:rsidRPr="0018564A">
              <w:rPr>
                <w:sz w:val="20"/>
                <w:szCs w:val="20"/>
              </w:rPr>
              <w:t>290,005</w:t>
            </w:r>
          </w:p>
        </w:tc>
        <w:tc>
          <w:tcPr>
            <w:tcW w:w="1113" w:type="dxa"/>
            <w:hideMark/>
          </w:tcPr>
          <w:p w14:paraId="75F3276E" w14:textId="77777777" w:rsidR="00621D13" w:rsidRPr="0018564A" w:rsidRDefault="00621D13" w:rsidP="00F957D5">
            <w:pPr>
              <w:jc w:val="right"/>
              <w:rPr>
                <w:b/>
                <w:bCs/>
                <w:sz w:val="20"/>
                <w:szCs w:val="20"/>
              </w:rPr>
            </w:pPr>
            <w:r w:rsidRPr="0018564A">
              <w:rPr>
                <w:b/>
                <w:bCs/>
                <w:sz w:val="20"/>
                <w:szCs w:val="20"/>
              </w:rPr>
              <w:t>2,750,057</w:t>
            </w:r>
          </w:p>
        </w:tc>
      </w:tr>
      <w:tr w:rsidR="00621D13" w:rsidRPr="000B4FF8" w14:paraId="71C03E47" w14:textId="77777777" w:rsidTr="00F957D5">
        <w:tc>
          <w:tcPr>
            <w:tcW w:w="2674" w:type="dxa"/>
            <w:hideMark/>
          </w:tcPr>
          <w:p w14:paraId="0A848F03" w14:textId="77777777" w:rsidR="00621D13" w:rsidRPr="0018564A" w:rsidRDefault="00621D13" w:rsidP="00F957D5">
            <w:pPr>
              <w:jc w:val="left"/>
              <w:rPr>
                <w:sz w:val="20"/>
                <w:szCs w:val="20"/>
              </w:rPr>
            </w:pPr>
            <w:r w:rsidRPr="0018564A">
              <w:rPr>
                <w:sz w:val="20"/>
                <w:szCs w:val="20"/>
              </w:rPr>
              <w:t>Support costs</w:t>
            </w:r>
          </w:p>
        </w:tc>
        <w:tc>
          <w:tcPr>
            <w:tcW w:w="1112" w:type="dxa"/>
            <w:hideMark/>
          </w:tcPr>
          <w:p w14:paraId="1A6F0D81" w14:textId="77777777" w:rsidR="00621D13" w:rsidRPr="0018564A" w:rsidRDefault="00621D13" w:rsidP="00F957D5">
            <w:pPr>
              <w:jc w:val="right"/>
              <w:rPr>
                <w:sz w:val="20"/>
                <w:szCs w:val="20"/>
              </w:rPr>
            </w:pPr>
            <w:r w:rsidRPr="0018564A">
              <w:rPr>
                <w:sz w:val="20"/>
                <w:szCs w:val="20"/>
              </w:rPr>
              <w:t>70,702</w:t>
            </w:r>
          </w:p>
        </w:tc>
        <w:tc>
          <w:tcPr>
            <w:tcW w:w="1113" w:type="dxa"/>
            <w:hideMark/>
          </w:tcPr>
          <w:p w14:paraId="3165D62C" w14:textId="77777777" w:rsidR="00621D13" w:rsidRPr="0018564A" w:rsidRDefault="00621D13" w:rsidP="00F957D5">
            <w:pPr>
              <w:jc w:val="right"/>
              <w:rPr>
                <w:sz w:val="20"/>
                <w:szCs w:val="20"/>
              </w:rPr>
            </w:pPr>
            <w:r w:rsidRPr="0018564A">
              <w:rPr>
                <w:sz w:val="20"/>
                <w:szCs w:val="20"/>
              </w:rPr>
              <w:t>0</w:t>
            </w:r>
          </w:p>
        </w:tc>
        <w:tc>
          <w:tcPr>
            <w:tcW w:w="1113" w:type="dxa"/>
            <w:hideMark/>
          </w:tcPr>
          <w:p w14:paraId="2AD61454" w14:textId="77777777" w:rsidR="00621D13" w:rsidRPr="0018564A" w:rsidRDefault="00621D13" w:rsidP="00F957D5">
            <w:pPr>
              <w:jc w:val="right"/>
              <w:rPr>
                <w:sz w:val="20"/>
                <w:szCs w:val="20"/>
              </w:rPr>
            </w:pPr>
            <w:r w:rsidRPr="0018564A">
              <w:rPr>
                <w:sz w:val="20"/>
                <w:szCs w:val="20"/>
              </w:rPr>
              <w:t>101,502</w:t>
            </w:r>
          </w:p>
        </w:tc>
        <w:tc>
          <w:tcPr>
            <w:tcW w:w="1112" w:type="dxa"/>
            <w:hideMark/>
          </w:tcPr>
          <w:p w14:paraId="71D692C9" w14:textId="77777777" w:rsidR="00621D13" w:rsidRPr="0018564A" w:rsidRDefault="00621D13" w:rsidP="00F957D5">
            <w:pPr>
              <w:jc w:val="right"/>
              <w:rPr>
                <w:sz w:val="20"/>
                <w:szCs w:val="20"/>
              </w:rPr>
            </w:pPr>
            <w:r w:rsidRPr="0018564A">
              <w:rPr>
                <w:sz w:val="20"/>
                <w:szCs w:val="20"/>
              </w:rPr>
              <w:t>0</w:t>
            </w:r>
          </w:p>
        </w:tc>
        <w:tc>
          <w:tcPr>
            <w:tcW w:w="1113" w:type="dxa"/>
            <w:hideMark/>
          </w:tcPr>
          <w:p w14:paraId="4FCA12AB" w14:textId="77777777" w:rsidR="00621D13" w:rsidRPr="0018564A" w:rsidRDefault="00621D13" w:rsidP="00F957D5">
            <w:pPr>
              <w:jc w:val="right"/>
              <w:rPr>
                <w:sz w:val="20"/>
                <w:szCs w:val="20"/>
              </w:rPr>
            </w:pPr>
            <w:r w:rsidRPr="0018564A">
              <w:rPr>
                <w:sz w:val="20"/>
                <w:szCs w:val="20"/>
              </w:rPr>
              <w:t>20,300</w:t>
            </w:r>
          </w:p>
        </w:tc>
        <w:tc>
          <w:tcPr>
            <w:tcW w:w="1113" w:type="dxa"/>
            <w:hideMark/>
          </w:tcPr>
          <w:p w14:paraId="163B0875" w14:textId="77777777" w:rsidR="00621D13" w:rsidRPr="0018564A" w:rsidRDefault="00621D13" w:rsidP="00F957D5">
            <w:pPr>
              <w:jc w:val="right"/>
              <w:rPr>
                <w:b/>
                <w:bCs/>
                <w:sz w:val="20"/>
                <w:szCs w:val="20"/>
              </w:rPr>
            </w:pPr>
            <w:r w:rsidRPr="0018564A">
              <w:rPr>
                <w:b/>
                <w:bCs/>
                <w:sz w:val="20"/>
                <w:szCs w:val="20"/>
              </w:rPr>
              <w:t>192,504</w:t>
            </w:r>
          </w:p>
        </w:tc>
      </w:tr>
      <w:tr w:rsidR="00621D13" w:rsidRPr="000B4FF8" w14:paraId="2EFB1AC0" w14:textId="77777777" w:rsidTr="00F957D5">
        <w:tc>
          <w:tcPr>
            <w:tcW w:w="2674" w:type="dxa"/>
            <w:hideMark/>
          </w:tcPr>
          <w:p w14:paraId="77221876" w14:textId="77777777" w:rsidR="00621D13" w:rsidRPr="0018564A" w:rsidRDefault="00621D13" w:rsidP="00F957D5">
            <w:pPr>
              <w:jc w:val="left"/>
              <w:rPr>
                <w:sz w:val="20"/>
                <w:szCs w:val="20"/>
              </w:rPr>
            </w:pPr>
            <w:r w:rsidRPr="0018564A">
              <w:rPr>
                <w:sz w:val="20"/>
                <w:szCs w:val="20"/>
              </w:rPr>
              <w:t xml:space="preserve">Total agreed costs </w:t>
            </w:r>
          </w:p>
        </w:tc>
        <w:tc>
          <w:tcPr>
            <w:tcW w:w="1112" w:type="dxa"/>
            <w:hideMark/>
          </w:tcPr>
          <w:p w14:paraId="72114BA5" w14:textId="77777777" w:rsidR="00621D13" w:rsidRPr="0018564A" w:rsidRDefault="00621D13" w:rsidP="00F957D5">
            <w:pPr>
              <w:jc w:val="right"/>
              <w:rPr>
                <w:sz w:val="20"/>
                <w:szCs w:val="20"/>
              </w:rPr>
            </w:pPr>
            <w:r w:rsidRPr="0018564A">
              <w:rPr>
                <w:sz w:val="20"/>
                <w:szCs w:val="20"/>
              </w:rPr>
              <w:t>1,080,725</w:t>
            </w:r>
          </w:p>
        </w:tc>
        <w:tc>
          <w:tcPr>
            <w:tcW w:w="1113" w:type="dxa"/>
            <w:hideMark/>
          </w:tcPr>
          <w:p w14:paraId="1C8FDE9F" w14:textId="77777777" w:rsidR="00621D13" w:rsidRPr="0018564A" w:rsidRDefault="00621D13" w:rsidP="00F957D5">
            <w:pPr>
              <w:jc w:val="right"/>
              <w:rPr>
                <w:sz w:val="20"/>
                <w:szCs w:val="20"/>
              </w:rPr>
            </w:pPr>
            <w:r w:rsidRPr="0018564A">
              <w:rPr>
                <w:sz w:val="20"/>
                <w:szCs w:val="20"/>
              </w:rPr>
              <w:t>0</w:t>
            </w:r>
          </w:p>
        </w:tc>
        <w:tc>
          <w:tcPr>
            <w:tcW w:w="1113" w:type="dxa"/>
            <w:hideMark/>
          </w:tcPr>
          <w:p w14:paraId="565C3FF8" w14:textId="77777777" w:rsidR="00621D13" w:rsidRPr="0018564A" w:rsidRDefault="00621D13" w:rsidP="00F957D5">
            <w:pPr>
              <w:jc w:val="right"/>
              <w:rPr>
                <w:sz w:val="20"/>
                <w:szCs w:val="20"/>
              </w:rPr>
            </w:pPr>
            <w:r w:rsidRPr="0018564A">
              <w:rPr>
                <w:sz w:val="20"/>
                <w:szCs w:val="20"/>
              </w:rPr>
              <w:t>1,551,531</w:t>
            </w:r>
          </w:p>
        </w:tc>
        <w:tc>
          <w:tcPr>
            <w:tcW w:w="1112" w:type="dxa"/>
            <w:hideMark/>
          </w:tcPr>
          <w:p w14:paraId="2C0EEE81" w14:textId="77777777" w:rsidR="00621D13" w:rsidRPr="0018564A" w:rsidRDefault="00621D13" w:rsidP="00F957D5">
            <w:pPr>
              <w:jc w:val="right"/>
              <w:rPr>
                <w:sz w:val="20"/>
                <w:szCs w:val="20"/>
              </w:rPr>
            </w:pPr>
            <w:r w:rsidRPr="0018564A">
              <w:rPr>
                <w:sz w:val="20"/>
                <w:szCs w:val="20"/>
              </w:rPr>
              <w:t>0</w:t>
            </w:r>
          </w:p>
        </w:tc>
        <w:tc>
          <w:tcPr>
            <w:tcW w:w="1113" w:type="dxa"/>
            <w:hideMark/>
          </w:tcPr>
          <w:p w14:paraId="53E0836F" w14:textId="77777777" w:rsidR="00621D13" w:rsidRPr="0018564A" w:rsidRDefault="00621D13" w:rsidP="00F957D5">
            <w:pPr>
              <w:jc w:val="right"/>
              <w:rPr>
                <w:sz w:val="20"/>
                <w:szCs w:val="20"/>
              </w:rPr>
            </w:pPr>
            <w:r w:rsidRPr="0018564A">
              <w:rPr>
                <w:sz w:val="20"/>
                <w:szCs w:val="20"/>
              </w:rPr>
              <w:t>310,305</w:t>
            </w:r>
          </w:p>
        </w:tc>
        <w:tc>
          <w:tcPr>
            <w:tcW w:w="1113" w:type="dxa"/>
            <w:hideMark/>
          </w:tcPr>
          <w:p w14:paraId="671F187B" w14:textId="77777777" w:rsidR="00621D13" w:rsidRPr="0018564A" w:rsidRDefault="00621D13" w:rsidP="00F957D5">
            <w:pPr>
              <w:jc w:val="right"/>
              <w:rPr>
                <w:b/>
                <w:bCs/>
                <w:sz w:val="20"/>
                <w:szCs w:val="20"/>
              </w:rPr>
            </w:pPr>
            <w:r w:rsidRPr="0018564A">
              <w:rPr>
                <w:b/>
                <w:bCs/>
                <w:sz w:val="20"/>
                <w:szCs w:val="20"/>
              </w:rPr>
              <w:t>2,942,561</w:t>
            </w:r>
          </w:p>
        </w:tc>
      </w:tr>
      <w:tr w:rsidR="00621D13" w:rsidRPr="000B4FF8" w14:paraId="4E89A9D1" w14:textId="77777777" w:rsidTr="00F957D5">
        <w:tc>
          <w:tcPr>
            <w:tcW w:w="9350" w:type="dxa"/>
            <w:gridSpan w:val="7"/>
            <w:hideMark/>
          </w:tcPr>
          <w:p w14:paraId="723DF916" w14:textId="77777777" w:rsidR="00621D13" w:rsidRPr="0018564A" w:rsidRDefault="00621D13" w:rsidP="00F957D5">
            <w:pPr>
              <w:jc w:val="left"/>
              <w:rPr>
                <w:b/>
                <w:bCs/>
                <w:sz w:val="20"/>
                <w:szCs w:val="20"/>
              </w:rPr>
            </w:pPr>
            <w:r w:rsidRPr="0018564A">
              <w:rPr>
                <w:b/>
                <w:bCs/>
                <w:sz w:val="20"/>
                <w:szCs w:val="20"/>
              </w:rPr>
              <w:t>Revised</w:t>
            </w:r>
            <w:r>
              <w:rPr>
                <w:b/>
                <w:bCs/>
                <w:sz w:val="20"/>
                <w:szCs w:val="20"/>
              </w:rPr>
              <w:t xml:space="preserve"> </w:t>
            </w:r>
          </w:p>
        </w:tc>
      </w:tr>
      <w:tr w:rsidR="00621D13" w:rsidRPr="000B4FF8" w14:paraId="69D63871" w14:textId="77777777" w:rsidTr="00F957D5">
        <w:tc>
          <w:tcPr>
            <w:tcW w:w="2674" w:type="dxa"/>
            <w:hideMark/>
          </w:tcPr>
          <w:p w14:paraId="12449543" w14:textId="77777777" w:rsidR="00621D13" w:rsidRPr="0018564A" w:rsidRDefault="00621D13" w:rsidP="00F957D5">
            <w:pPr>
              <w:jc w:val="left"/>
              <w:rPr>
                <w:sz w:val="20"/>
                <w:szCs w:val="20"/>
              </w:rPr>
            </w:pPr>
            <w:r>
              <w:rPr>
                <w:sz w:val="20"/>
                <w:szCs w:val="20"/>
              </w:rPr>
              <w:t>A</w:t>
            </w:r>
            <w:r w:rsidRPr="0018564A">
              <w:rPr>
                <w:sz w:val="20"/>
                <w:szCs w:val="20"/>
              </w:rPr>
              <w:t xml:space="preserve">greed funding </w:t>
            </w:r>
          </w:p>
        </w:tc>
        <w:tc>
          <w:tcPr>
            <w:tcW w:w="1112" w:type="dxa"/>
            <w:vAlign w:val="center"/>
            <w:hideMark/>
          </w:tcPr>
          <w:p w14:paraId="6C1EF91D" w14:textId="77777777" w:rsidR="00621D13" w:rsidRPr="0018564A" w:rsidRDefault="00621D13" w:rsidP="00F957D5">
            <w:pPr>
              <w:jc w:val="right"/>
              <w:rPr>
                <w:sz w:val="20"/>
                <w:szCs w:val="20"/>
              </w:rPr>
            </w:pPr>
            <w:r w:rsidRPr="0018564A">
              <w:rPr>
                <w:color w:val="000000"/>
                <w:sz w:val="20"/>
                <w:szCs w:val="20"/>
              </w:rPr>
              <w:t>811,750</w:t>
            </w:r>
          </w:p>
        </w:tc>
        <w:tc>
          <w:tcPr>
            <w:tcW w:w="1113" w:type="dxa"/>
            <w:vAlign w:val="center"/>
            <w:hideMark/>
          </w:tcPr>
          <w:p w14:paraId="7B47BC33"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0A0BFBAC" w14:textId="77777777" w:rsidR="00621D13" w:rsidRPr="0018564A" w:rsidRDefault="00621D13" w:rsidP="00F957D5">
            <w:pPr>
              <w:jc w:val="right"/>
              <w:rPr>
                <w:sz w:val="20"/>
                <w:szCs w:val="20"/>
              </w:rPr>
            </w:pPr>
            <w:r w:rsidRPr="0018564A">
              <w:rPr>
                <w:color w:val="000000"/>
                <w:sz w:val="20"/>
                <w:szCs w:val="20"/>
              </w:rPr>
              <w:t>0</w:t>
            </w:r>
          </w:p>
        </w:tc>
        <w:tc>
          <w:tcPr>
            <w:tcW w:w="1112" w:type="dxa"/>
            <w:vAlign w:val="center"/>
            <w:hideMark/>
          </w:tcPr>
          <w:p w14:paraId="08C2B4CD"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309EE29B"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5A682EBF" w14:textId="77777777" w:rsidR="00621D13" w:rsidRPr="0018564A" w:rsidRDefault="00621D13" w:rsidP="00F957D5">
            <w:pPr>
              <w:jc w:val="right"/>
              <w:rPr>
                <w:b/>
                <w:bCs/>
                <w:sz w:val="20"/>
                <w:szCs w:val="20"/>
              </w:rPr>
            </w:pPr>
            <w:r w:rsidRPr="0018564A">
              <w:rPr>
                <w:b/>
                <w:bCs/>
                <w:color w:val="000000"/>
                <w:sz w:val="20"/>
                <w:szCs w:val="20"/>
              </w:rPr>
              <w:t>811,750</w:t>
            </w:r>
          </w:p>
        </w:tc>
      </w:tr>
      <w:tr w:rsidR="00621D13" w:rsidRPr="000B4FF8" w14:paraId="61FC7183" w14:textId="77777777" w:rsidTr="00F957D5">
        <w:tc>
          <w:tcPr>
            <w:tcW w:w="2674" w:type="dxa"/>
            <w:hideMark/>
          </w:tcPr>
          <w:p w14:paraId="5A4025D5" w14:textId="77777777" w:rsidR="00621D13" w:rsidRPr="0018564A" w:rsidRDefault="00621D13" w:rsidP="00F957D5">
            <w:pPr>
              <w:jc w:val="left"/>
              <w:rPr>
                <w:sz w:val="20"/>
                <w:szCs w:val="20"/>
              </w:rPr>
            </w:pPr>
            <w:r w:rsidRPr="0018564A">
              <w:rPr>
                <w:sz w:val="20"/>
                <w:szCs w:val="20"/>
              </w:rPr>
              <w:t>Support costs</w:t>
            </w:r>
          </w:p>
        </w:tc>
        <w:tc>
          <w:tcPr>
            <w:tcW w:w="1112" w:type="dxa"/>
            <w:vAlign w:val="center"/>
            <w:hideMark/>
          </w:tcPr>
          <w:p w14:paraId="69F853F6" w14:textId="77777777" w:rsidR="00621D13" w:rsidRPr="0018564A" w:rsidRDefault="00621D13" w:rsidP="00F957D5">
            <w:pPr>
              <w:jc w:val="right"/>
              <w:rPr>
                <w:sz w:val="20"/>
                <w:szCs w:val="20"/>
              </w:rPr>
            </w:pPr>
            <w:r w:rsidRPr="0018564A">
              <w:rPr>
                <w:color w:val="000000"/>
                <w:sz w:val="20"/>
                <w:szCs w:val="20"/>
              </w:rPr>
              <w:t>56,823</w:t>
            </w:r>
          </w:p>
        </w:tc>
        <w:tc>
          <w:tcPr>
            <w:tcW w:w="1113" w:type="dxa"/>
            <w:vAlign w:val="center"/>
            <w:hideMark/>
          </w:tcPr>
          <w:p w14:paraId="76BA00AC"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58B8AD6F" w14:textId="77777777" w:rsidR="00621D13" w:rsidRPr="0018564A" w:rsidRDefault="00621D13" w:rsidP="00F957D5">
            <w:pPr>
              <w:jc w:val="right"/>
              <w:rPr>
                <w:sz w:val="20"/>
                <w:szCs w:val="20"/>
              </w:rPr>
            </w:pPr>
            <w:r w:rsidRPr="0018564A">
              <w:rPr>
                <w:color w:val="000000"/>
                <w:sz w:val="20"/>
                <w:szCs w:val="20"/>
              </w:rPr>
              <w:t>0</w:t>
            </w:r>
          </w:p>
        </w:tc>
        <w:tc>
          <w:tcPr>
            <w:tcW w:w="1112" w:type="dxa"/>
            <w:vAlign w:val="center"/>
            <w:hideMark/>
          </w:tcPr>
          <w:p w14:paraId="3FE26B58"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6C3CD7A6"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7529DC7C" w14:textId="77777777" w:rsidR="00621D13" w:rsidRPr="0018564A" w:rsidRDefault="00621D13" w:rsidP="00F957D5">
            <w:pPr>
              <w:jc w:val="right"/>
              <w:rPr>
                <w:b/>
                <w:bCs/>
                <w:sz w:val="20"/>
                <w:szCs w:val="20"/>
              </w:rPr>
            </w:pPr>
            <w:r w:rsidRPr="0018564A">
              <w:rPr>
                <w:b/>
                <w:bCs/>
                <w:color w:val="000000"/>
                <w:sz w:val="20"/>
                <w:szCs w:val="20"/>
              </w:rPr>
              <w:t>56,823</w:t>
            </w:r>
          </w:p>
        </w:tc>
      </w:tr>
      <w:tr w:rsidR="00621D13" w:rsidRPr="000B4FF8" w14:paraId="1901390E" w14:textId="77777777" w:rsidTr="00F957D5">
        <w:tc>
          <w:tcPr>
            <w:tcW w:w="2674" w:type="dxa"/>
            <w:hideMark/>
          </w:tcPr>
          <w:p w14:paraId="2C9BA128" w14:textId="77777777" w:rsidR="00621D13" w:rsidRPr="0018564A" w:rsidRDefault="00621D13" w:rsidP="00F957D5">
            <w:pPr>
              <w:jc w:val="left"/>
              <w:rPr>
                <w:sz w:val="20"/>
                <w:szCs w:val="20"/>
              </w:rPr>
            </w:pPr>
            <w:r w:rsidRPr="0018564A">
              <w:rPr>
                <w:sz w:val="20"/>
                <w:szCs w:val="20"/>
              </w:rPr>
              <w:t xml:space="preserve">Total agreed costs </w:t>
            </w:r>
          </w:p>
        </w:tc>
        <w:tc>
          <w:tcPr>
            <w:tcW w:w="1112" w:type="dxa"/>
            <w:vAlign w:val="center"/>
            <w:hideMark/>
          </w:tcPr>
          <w:p w14:paraId="69824AF4" w14:textId="77777777" w:rsidR="00621D13" w:rsidRPr="0018564A" w:rsidRDefault="00621D13" w:rsidP="00F957D5">
            <w:pPr>
              <w:jc w:val="right"/>
              <w:rPr>
                <w:sz w:val="20"/>
                <w:szCs w:val="20"/>
              </w:rPr>
            </w:pPr>
            <w:r w:rsidRPr="0018564A">
              <w:rPr>
                <w:color w:val="000000"/>
                <w:sz w:val="20"/>
                <w:szCs w:val="20"/>
              </w:rPr>
              <w:t>868,573</w:t>
            </w:r>
          </w:p>
        </w:tc>
        <w:tc>
          <w:tcPr>
            <w:tcW w:w="1113" w:type="dxa"/>
            <w:vAlign w:val="center"/>
            <w:hideMark/>
          </w:tcPr>
          <w:p w14:paraId="46826129"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12D638AA" w14:textId="77777777" w:rsidR="00621D13" w:rsidRPr="0018564A" w:rsidRDefault="00621D13" w:rsidP="00F957D5">
            <w:pPr>
              <w:jc w:val="right"/>
              <w:rPr>
                <w:sz w:val="20"/>
                <w:szCs w:val="20"/>
              </w:rPr>
            </w:pPr>
            <w:r w:rsidRPr="0018564A">
              <w:rPr>
                <w:color w:val="000000"/>
                <w:sz w:val="20"/>
                <w:szCs w:val="20"/>
              </w:rPr>
              <w:t>0</w:t>
            </w:r>
          </w:p>
        </w:tc>
        <w:tc>
          <w:tcPr>
            <w:tcW w:w="1112" w:type="dxa"/>
            <w:vAlign w:val="center"/>
            <w:hideMark/>
          </w:tcPr>
          <w:p w14:paraId="3F489245"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5E2049F7" w14:textId="77777777" w:rsidR="00621D13" w:rsidRPr="0018564A" w:rsidRDefault="00621D13" w:rsidP="00F957D5">
            <w:pPr>
              <w:jc w:val="right"/>
              <w:rPr>
                <w:sz w:val="20"/>
                <w:szCs w:val="20"/>
              </w:rPr>
            </w:pPr>
            <w:r w:rsidRPr="0018564A">
              <w:rPr>
                <w:color w:val="000000"/>
                <w:sz w:val="20"/>
                <w:szCs w:val="20"/>
              </w:rPr>
              <w:t>0</w:t>
            </w:r>
          </w:p>
        </w:tc>
        <w:tc>
          <w:tcPr>
            <w:tcW w:w="1113" w:type="dxa"/>
            <w:vAlign w:val="center"/>
            <w:hideMark/>
          </w:tcPr>
          <w:p w14:paraId="17C26DF6" w14:textId="77777777" w:rsidR="00621D13" w:rsidRPr="0018564A" w:rsidRDefault="00621D13" w:rsidP="00F957D5">
            <w:pPr>
              <w:jc w:val="right"/>
              <w:rPr>
                <w:b/>
                <w:bCs/>
                <w:sz w:val="20"/>
                <w:szCs w:val="20"/>
              </w:rPr>
            </w:pPr>
            <w:r w:rsidRPr="0018564A">
              <w:rPr>
                <w:b/>
                <w:bCs/>
                <w:color w:val="000000"/>
                <w:sz w:val="20"/>
                <w:szCs w:val="20"/>
              </w:rPr>
              <w:t>868,573</w:t>
            </w:r>
          </w:p>
        </w:tc>
      </w:tr>
    </w:tbl>
    <w:p w14:paraId="5EF69AE3" w14:textId="77777777" w:rsidR="00621D13" w:rsidRDefault="00621D13" w:rsidP="00621D13">
      <w:pPr>
        <w:keepNext/>
        <w:keepLines/>
        <w:tabs>
          <w:tab w:val="left" w:pos="720"/>
        </w:tabs>
        <w:spacing w:after="240"/>
        <w:outlineLvl w:val="0"/>
        <w:rPr>
          <w:b/>
          <w:lang w:val="en-CA"/>
        </w:rPr>
      </w:pPr>
    </w:p>
    <w:p w14:paraId="35A0D746" w14:textId="77777777" w:rsidR="00621D13" w:rsidRPr="00A564F9" w:rsidRDefault="00621D13" w:rsidP="00621D13">
      <w:pPr>
        <w:keepNext/>
        <w:keepLines/>
        <w:tabs>
          <w:tab w:val="left" w:pos="720"/>
        </w:tabs>
        <w:spacing w:after="240"/>
        <w:outlineLvl w:val="0"/>
        <w:rPr>
          <w:b/>
          <w:lang w:val="en-CA"/>
        </w:rPr>
      </w:pPr>
      <w:r w:rsidRPr="00A564F9">
        <w:rPr>
          <w:b/>
          <w:lang w:val="en-CA"/>
        </w:rPr>
        <w:t>Recommendation</w:t>
      </w:r>
    </w:p>
    <w:p w14:paraId="766F65FA" w14:textId="77777777" w:rsidR="00621D13" w:rsidRPr="00A564F9" w:rsidRDefault="00621D13" w:rsidP="00621D13">
      <w:pPr>
        <w:keepNext/>
        <w:keepLines/>
        <w:numPr>
          <w:ilvl w:val="0"/>
          <w:numId w:val="1"/>
        </w:numPr>
        <w:spacing w:after="240"/>
        <w:outlineLvl w:val="2"/>
      </w:pPr>
      <w:r w:rsidRPr="00A564F9">
        <w:rPr>
          <w:lang w:val="en-CA"/>
        </w:rPr>
        <w:t>The Executive Committee may wish:</w:t>
      </w:r>
    </w:p>
    <w:p w14:paraId="2AA827F3" w14:textId="77777777" w:rsidR="00621D13" w:rsidRPr="00A564F9" w:rsidRDefault="00621D13" w:rsidP="00621D13">
      <w:pPr>
        <w:pStyle w:val="Heading2"/>
      </w:pPr>
      <w:r w:rsidRPr="00A564F9">
        <w:rPr>
          <w:lang w:val="en-CA"/>
        </w:rPr>
        <w:t xml:space="preserve">To note the request from the Government of </w:t>
      </w:r>
      <w:r>
        <w:rPr>
          <w:lang w:val="en-CA"/>
        </w:rPr>
        <w:t>the Philippines</w:t>
      </w:r>
      <w:r w:rsidRPr="00A564F9">
        <w:rPr>
          <w:lang w:val="en-CA"/>
        </w:rPr>
        <w:t xml:space="preserve"> to remove the air</w:t>
      </w:r>
      <w:r w:rsidRPr="00A564F9">
        <w:rPr>
          <w:lang w:val="en-CA"/>
        </w:rPr>
        <w:noBreakHyphen/>
        <w:t xml:space="preserve">conditioning (AC) </w:t>
      </w:r>
      <w:r>
        <w:rPr>
          <w:lang w:val="en-CA"/>
        </w:rPr>
        <w:t xml:space="preserve">manufacturing </w:t>
      </w:r>
      <w:r w:rsidRPr="00A564F9">
        <w:t>sector plan</w:t>
      </w:r>
      <w:r>
        <w:t xml:space="preserve"> </w:t>
      </w:r>
      <w:r w:rsidRPr="00A564F9">
        <w:t xml:space="preserve">from stage </w:t>
      </w:r>
      <w:r>
        <w:t>I</w:t>
      </w:r>
      <w:r w:rsidRPr="00A564F9">
        <w:t>I of the HCFC phase</w:t>
      </w:r>
      <w:r w:rsidRPr="00A564F9">
        <w:noBreakHyphen/>
        <w:t>out management plan (HPMP) contained in</w:t>
      </w:r>
      <w:r>
        <w:t xml:space="preserve"> </w:t>
      </w:r>
      <w:r w:rsidRPr="00F245F7">
        <w:t>UNEP/OzL.Pro/ExCom/80/48,</w:t>
      </w:r>
      <w:r w:rsidRPr="00A564F9">
        <w:t xml:space="preserve"> noting that all enterprises included in the sector plan ha</w:t>
      </w:r>
      <w:r>
        <w:t>ve</w:t>
      </w:r>
      <w:r w:rsidRPr="00A564F9">
        <w:t xml:space="preserve"> phased out their consumption of HCFC-22 (15</w:t>
      </w:r>
      <w:r>
        <w:t xml:space="preserve">.57 </w:t>
      </w:r>
      <w:r w:rsidRPr="00A564F9">
        <w:t xml:space="preserve">ODP tonnes); </w:t>
      </w:r>
    </w:p>
    <w:p w14:paraId="10116022" w14:textId="77777777" w:rsidR="00621D13" w:rsidRPr="00A564F9" w:rsidRDefault="00621D13" w:rsidP="00621D13">
      <w:pPr>
        <w:pStyle w:val="Heading2"/>
      </w:pPr>
      <w:r w:rsidRPr="00A564F9">
        <w:t>To further note:</w:t>
      </w:r>
    </w:p>
    <w:p w14:paraId="05A1BD70" w14:textId="77777777" w:rsidR="00621D13" w:rsidRDefault="00621D13" w:rsidP="00621D13">
      <w:pPr>
        <w:numPr>
          <w:ilvl w:val="2"/>
          <w:numId w:val="42"/>
        </w:numPr>
        <w:spacing w:after="240"/>
        <w:outlineLvl w:val="2"/>
      </w:pPr>
      <w:r w:rsidRPr="00A564F9">
        <w:t>That the amount</w:t>
      </w:r>
      <w:r w:rsidRPr="00200267">
        <w:t xml:space="preserve"> </w:t>
      </w:r>
      <w:r w:rsidRPr="00207CCB">
        <w:t xml:space="preserve">of </w:t>
      </w:r>
      <w:r>
        <w:t xml:space="preserve">US $2,073,988, </w:t>
      </w:r>
      <w:r w:rsidRPr="00A564F9">
        <w:t>co</w:t>
      </w:r>
      <w:r>
        <w:t>mprising</w:t>
      </w:r>
      <w:r w:rsidRPr="00A564F9">
        <w:t xml:space="preserve"> </w:t>
      </w:r>
      <w:r>
        <w:t>US $1,793,307 for the AC manufacturing sector plan,</w:t>
      </w:r>
      <w:r w:rsidRPr="00A564F9">
        <w:t xml:space="preserve"> the associated project management unit (PMU) costs of </w:t>
      </w:r>
      <w:r>
        <w:t>US $145,000,</w:t>
      </w:r>
      <w:r w:rsidRPr="00A564F9">
        <w:t xml:space="preserve"> plus agency support costs of </w:t>
      </w:r>
      <w:r>
        <w:t>US $135,681</w:t>
      </w:r>
      <w:r w:rsidRPr="00A564F9">
        <w:t xml:space="preserve"> for UNIDO, approved in principle for stage I</w:t>
      </w:r>
      <w:r>
        <w:t>I</w:t>
      </w:r>
      <w:r w:rsidRPr="00A564F9">
        <w:t xml:space="preserve"> of the HPMP, would be removed from the Agreement between the Government of </w:t>
      </w:r>
      <w:r>
        <w:t>the Philippines</w:t>
      </w:r>
      <w:r w:rsidRPr="00A564F9">
        <w:t xml:space="preserve"> and the Executive Committee; </w:t>
      </w:r>
      <w:r>
        <w:t>and</w:t>
      </w:r>
    </w:p>
    <w:p w14:paraId="28ED374C" w14:textId="77777777" w:rsidR="00621D13" w:rsidRPr="00A564F9" w:rsidRDefault="00621D13" w:rsidP="00621D13">
      <w:pPr>
        <w:numPr>
          <w:ilvl w:val="2"/>
          <w:numId w:val="42"/>
        </w:numPr>
        <w:spacing w:after="240"/>
        <w:outlineLvl w:val="2"/>
      </w:pPr>
      <w:r w:rsidRPr="008A7184">
        <w:t>That the Fund Secretariat has updated the Agree</w:t>
      </w:r>
      <w:r>
        <w:t>ment between the Government of t</w:t>
      </w:r>
      <w:r w:rsidRPr="008A7184">
        <w:t xml:space="preserve">he Philippines and the Executive Committee, contained in Annex </w:t>
      </w:r>
      <w:r>
        <w:t>IV</w:t>
      </w:r>
      <w:r w:rsidRPr="008A7184">
        <w:t xml:space="preserve"> to document</w:t>
      </w:r>
      <w:r>
        <w:t xml:space="preserve"> </w:t>
      </w:r>
      <w:r w:rsidRPr="008A7184">
        <w:t xml:space="preserve">UNEP/OzL.Pro/ExCom/87/9, </w:t>
      </w:r>
      <w:r>
        <w:t xml:space="preserve">specifically: </w:t>
      </w:r>
      <w:r w:rsidRPr="008A7184">
        <w:t xml:space="preserve">Appendix 2-A to reflect the removal of the AC </w:t>
      </w:r>
      <w:r>
        <w:t xml:space="preserve">manufacturing </w:t>
      </w:r>
      <w:r w:rsidRPr="008A7184">
        <w:t>sector plan and paragraph 1</w:t>
      </w:r>
      <w:r>
        <w:t>7</w:t>
      </w:r>
      <w:r w:rsidRPr="008A7184">
        <w:t xml:space="preserve"> to indicate that the </w:t>
      </w:r>
      <w:r>
        <w:t xml:space="preserve">revised </w:t>
      </w:r>
      <w:r w:rsidRPr="008A7184">
        <w:t>updated Agreement supersedes that reached at the 83</w:t>
      </w:r>
      <w:r w:rsidRPr="008A3CCC">
        <w:rPr>
          <w:vertAlign w:val="superscript"/>
        </w:rPr>
        <w:t>rd</w:t>
      </w:r>
      <w:r>
        <w:t xml:space="preserve"> </w:t>
      </w:r>
      <w:r w:rsidRPr="008A7184">
        <w:t>meeting;</w:t>
      </w:r>
    </w:p>
    <w:p w14:paraId="2F6F2EA2" w14:textId="77777777" w:rsidR="00621D13" w:rsidRPr="00EA3562" w:rsidRDefault="00621D13" w:rsidP="00621D13">
      <w:pPr>
        <w:numPr>
          <w:ilvl w:val="1"/>
          <w:numId w:val="42"/>
        </w:numPr>
        <w:spacing w:after="240"/>
        <w:outlineLvl w:val="2"/>
      </w:pPr>
      <w:r w:rsidRPr="00A564F9">
        <w:t>To request UNIDO to return to the Multilateral Fund</w:t>
      </w:r>
      <w:r>
        <w:t xml:space="preserve"> the amount of US $</w:t>
      </w:r>
      <w:r w:rsidRPr="00207CCB">
        <w:t>212,152</w:t>
      </w:r>
      <w:r w:rsidRPr="00A564F9">
        <w:t xml:space="preserve"> consisting of </w:t>
      </w:r>
      <w:r>
        <w:t>US $53,273</w:t>
      </w:r>
      <w:r w:rsidRPr="00A564F9">
        <w:t xml:space="preserve"> </w:t>
      </w:r>
      <w:r>
        <w:t xml:space="preserve">for the AC manufacturing sector plan </w:t>
      </w:r>
      <w:r w:rsidRPr="00A564F9">
        <w:t xml:space="preserve">and the </w:t>
      </w:r>
      <w:r>
        <w:t xml:space="preserve">associated </w:t>
      </w:r>
      <w:r w:rsidRPr="00A564F9">
        <w:t xml:space="preserve">PMU costs of </w:t>
      </w:r>
      <w:r>
        <w:t xml:space="preserve">US $145,000, </w:t>
      </w:r>
      <w:r w:rsidRPr="00A564F9">
        <w:t xml:space="preserve">plus agency support costs of </w:t>
      </w:r>
      <w:r>
        <w:t xml:space="preserve">US $13,879 </w:t>
      </w:r>
      <w:r w:rsidRPr="00A564F9">
        <w:t>for UNIDO</w:t>
      </w:r>
      <w:r>
        <w:t xml:space="preserve"> </w:t>
      </w:r>
      <w:r w:rsidRPr="00A564F9">
        <w:t xml:space="preserve">approved as part of the first </w:t>
      </w:r>
      <w:r w:rsidRPr="00EA3562">
        <w:t>tranche of stage II of the HPMP,</w:t>
      </w:r>
      <w:r w:rsidRPr="00EA3562" w:rsidDel="0095772E">
        <w:t xml:space="preserve"> </w:t>
      </w:r>
      <w:r w:rsidRPr="00EA3562">
        <w:t>to the 89</w:t>
      </w:r>
      <w:r w:rsidRPr="00EA3562">
        <w:rPr>
          <w:vertAlign w:val="superscript"/>
        </w:rPr>
        <w:t>th</w:t>
      </w:r>
      <w:r w:rsidRPr="00EA3562">
        <w:t xml:space="preserve"> meeting; </w:t>
      </w:r>
    </w:p>
    <w:p w14:paraId="575CD664" w14:textId="77777777" w:rsidR="00621D13" w:rsidRPr="00EA3562" w:rsidRDefault="00621D13" w:rsidP="00621D13">
      <w:pPr>
        <w:numPr>
          <w:ilvl w:val="1"/>
          <w:numId w:val="42"/>
        </w:numPr>
        <w:spacing w:after="240"/>
        <w:outlineLvl w:val="2"/>
      </w:pPr>
      <w:r w:rsidRPr="00EA3562">
        <w:t>To approve the tranche implementation plan for 2021-2022 for all remaining stage II activities;</w:t>
      </w:r>
    </w:p>
    <w:p w14:paraId="1F99967E" w14:textId="77777777" w:rsidR="00621D13" w:rsidRPr="00EA3562" w:rsidRDefault="00621D13" w:rsidP="00621D13">
      <w:pPr>
        <w:pStyle w:val="Heading2"/>
        <w:rPr>
          <w:lang w:val="en-CA"/>
        </w:rPr>
      </w:pPr>
      <w:r w:rsidRPr="00EA3562">
        <w:rPr>
          <w:lang w:val="en-CA"/>
        </w:rPr>
        <w:t xml:space="preserve">To request the Government of the Philippines and UNIDO to submit progress reports on a yearly basis on the implementation of the work programme associated with the final tranche until the completion of the project, verification reports until approval of stage III, and the project completion report to the second meeting in 2023. </w:t>
      </w:r>
    </w:p>
    <w:p w14:paraId="622F2348" w14:textId="77777777" w:rsidR="00300A91" w:rsidRDefault="00B06ADA" w:rsidP="00621D13">
      <w:pPr>
        <w:keepNext/>
        <w:keepLines/>
        <w:spacing w:after="240"/>
      </w:pPr>
      <w:r>
        <w:rPr>
          <w:u w:val="single"/>
        </w:rPr>
        <w:lastRenderedPageBreak/>
        <w:t xml:space="preserve">Uruguay: </w:t>
      </w:r>
      <w:r w:rsidR="00300A91">
        <w:rPr>
          <w:u w:val="single"/>
        </w:rPr>
        <w:t>HCFC phase-out management plan (stage II –</w:t>
      </w:r>
      <w:r w:rsidR="00300A91" w:rsidRPr="007D6B6A">
        <w:rPr>
          <w:u w:val="single"/>
        </w:rPr>
        <w:t xml:space="preserve"> </w:t>
      </w:r>
      <w:r w:rsidR="00300A91">
        <w:rPr>
          <w:u w:val="single"/>
        </w:rPr>
        <w:t>request for extension of the completion date for the third (and final) tranche and progress report on foam sector implementation)</w:t>
      </w:r>
      <w:r w:rsidR="00300A91">
        <w:t xml:space="preserve"> (UNDP)</w:t>
      </w:r>
    </w:p>
    <w:p w14:paraId="4569743F" w14:textId="77777777" w:rsidR="00300A91" w:rsidRPr="005E536F" w:rsidRDefault="00300A91" w:rsidP="00621D13">
      <w:pPr>
        <w:keepNext/>
        <w:keepLines/>
        <w:spacing w:after="240"/>
        <w:ind w:left="1440" w:hanging="1440"/>
        <w:rPr>
          <w:b/>
          <w:lang w:val="en-CA"/>
        </w:rPr>
      </w:pPr>
      <w:r w:rsidRPr="005E536F">
        <w:rPr>
          <w:b/>
          <w:lang w:val="en-CA"/>
        </w:rPr>
        <w:t>Background</w:t>
      </w:r>
    </w:p>
    <w:p w14:paraId="799D6EB9" w14:textId="77777777" w:rsidR="00300A91" w:rsidRPr="00F466C4" w:rsidRDefault="00300A91" w:rsidP="00300A91">
      <w:pPr>
        <w:pStyle w:val="Heading1"/>
        <w:rPr>
          <w:lang w:val="en-CA"/>
        </w:rPr>
      </w:pPr>
      <w:r w:rsidRPr="00F466C4">
        <w:rPr>
          <w:lang w:val="en-CA"/>
        </w:rPr>
        <w:t>On behalf of the Government of Uruguay, UNDP as the designated implementing agency has submitted a request for extension of the implementation of stage </w:t>
      </w:r>
      <w:r>
        <w:rPr>
          <w:lang w:val="en-CA"/>
        </w:rPr>
        <w:t>I</w:t>
      </w:r>
      <w:r w:rsidRPr="00F466C4">
        <w:rPr>
          <w:lang w:val="en-CA"/>
        </w:rPr>
        <w:t>I of the HCFC phase-out management plan (HPMP)</w:t>
      </w:r>
      <w:r>
        <w:rPr>
          <w:lang w:val="en-CA"/>
        </w:rPr>
        <w:t>,</w:t>
      </w:r>
      <w:r w:rsidRPr="00F466C4">
        <w:rPr>
          <w:lang w:val="en-CA"/>
        </w:rPr>
        <w:t xml:space="preserve"> and a progress on the implementation of the conversion of the foam enterprises and the availability of HFO/HFO-based </w:t>
      </w:r>
      <w:r>
        <w:rPr>
          <w:lang w:val="en-CA"/>
        </w:rPr>
        <w:t xml:space="preserve">PU </w:t>
      </w:r>
      <w:r w:rsidRPr="00F466C4">
        <w:rPr>
          <w:lang w:val="en-CA"/>
        </w:rPr>
        <w:t>systems and their associated components as requested by the Executive Committee under the intersessional approval process for the 85</w:t>
      </w:r>
      <w:r w:rsidRPr="00F466C4">
        <w:rPr>
          <w:vertAlign w:val="superscript"/>
          <w:lang w:val="en-CA"/>
        </w:rPr>
        <w:t>th</w:t>
      </w:r>
      <w:r w:rsidRPr="00F466C4">
        <w:rPr>
          <w:lang w:val="en-CA"/>
        </w:rPr>
        <w:t xml:space="preserve"> meeting</w:t>
      </w:r>
      <w:r>
        <w:rPr>
          <w:lang w:val="en-CA"/>
        </w:rPr>
        <w:t xml:space="preserve"> (85-IAP)</w:t>
      </w:r>
      <w:r w:rsidRPr="00F466C4">
        <w:rPr>
          <w:rStyle w:val="FootnoteReference"/>
          <w:lang w:val="en-CA"/>
        </w:rPr>
        <w:footnoteReference w:id="46"/>
      </w:r>
      <w:r w:rsidRPr="00F466C4">
        <w:rPr>
          <w:lang w:val="en-CA"/>
        </w:rPr>
        <w:t xml:space="preserve"> in May 2020.</w:t>
      </w:r>
    </w:p>
    <w:p w14:paraId="27ADA73E" w14:textId="77777777" w:rsidR="00300A91" w:rsidRPr="00993ED6" w:rsidRDefault="00300A91" w:rsidP="00300A91">
      <w:pPr>
        <w:numPr>
          <w:ilvl w:val="0"/>
          <w:numId w:val="1"/>
        </w:numPr>
        <w:spacing w:after="240"/>
        <w:outlineLvl w:val="0"/>
        <w:rPr>
          <w:lang w:val="en-CA"/>
        </w:rPr>
      </w:pPr>
      <w:r>
        <w:rPr>
          <w:lang w:val="en-CA"/>
        </w:rPr>
        <w:t>Stage II of the HPMP, was approved a</w:t>
      </w:r>
      <w:r w:rsidRPr="00234A52">
        <w:rPr>
          <w:lang w:val="en-CA"/>
        </w:rPr>
        <w:t xml:space="preserve">t </w:t>
      </w:r>
      <w:r>
        <w:rPr>
          <w:lang w:val="en-CA"/>
        </w:rPr>
        <w:t>the</w:t>
      </w:r>
      <w:r w:rsidRPr="00234A52">
        <w:rPr>
          <w:lang w:val="en-CA"/>
        </w:rPr>
        <w:t xml:space="preserve"> 77</w:t>
      </w:r>
      <w:r w:rsidRPr="00234A52">
        <w:rPr>
          <w:vertAlign w:val="superscript"/>
          <w:lang w:val="en-CA"/>
        </w:rPr>
        <w:t>th</w:t>
      </w:r>
      <w:r w:rsidRPr="00234A52">
        <w:rPr>
          <w:lang w:val="en-CA"/>
        </w:rPr>
        <w:t xml:space="preserve"> meeting</w:t>
      </w:r>
      <w:r>
        <w:rPr>
          <w:lang w:val="en-CA"/>
        </w:rPr>
        <w:t>,</w:t>
      </w:r>
      <w:r>
        <w:rPr>
          <w:rStyle w:val="FootnoteReference"/>
          <w:lang w:val="en-CA"/>
        </w:rPr>
        <w:footnoteReference w:id="47"/>
      </w:r>
      <w:r>
        <w:rPr>
          <w:lang w:val="en-CA"/>
        </w:rPr>
        <w:t xml:space="preserve"> to meet the 35 per cent reduction from its baseline in 2020, at a total cost of US $1,105,157</w:t>
      </w:r>
      <w:r w:rsidRPr="00234A52">
        <w:rPr>
          <w:lang w:val="en-CA"/>
        </w:rPr>
        <w:t>, plus</w:t>
      </w:r>
      <w:r>
        <w:rPr>
          <w:lang w:val="en-CA"/>
        </w:rPr>
        <w:t xml:space="preserve"> agency support costs</w:t>
      </w:r>
      <w:r w:rsidRPr="00234A52">
        <w:rPr>
          <w:lang w:val="en-CA"/>
        </w:rPr>
        <w:t>.</w:t>
      </w:r>
      <w:r>
        <w:rPr>
          <w:lang w:val="en-CA"/>
        </w:rPr>
        <w:t xml:space="preserve"> </w:t>
      </w:r>
      <w:r w:rsidRPr="00B007B8">
        <w:rPr>
          <w:lang w:val="en-US"/>
        </w:rPr>
        <w:t xml:space="preserve">Stage II of the HPMP included </w:t>
      </w:r>
      <w:r>
        <w:rPr>
          <w:lang w:val="en-US"/>
        </w:rPr>
        <w:t>a component</w:t>
      </w:r>
      <w:r>
        <w:rPr>
          <w:lang w:val="en-CA"/>
        </w:rPr>
        <w:t> f</w:t>
      </w:r>
      <w:r w:rsidRPr="00B007B8">
        <w:rPr>
          <w:lang w:val="en-CA"/>
        </w:rPr>
        <w:t>or the</w:t>
      </w:r>
      <w:r w:rsidRPr="00B007B8">
        <w:rPr>
          <w:lang w:val="en-US"/>
        </w:rPr>
        <w:t xml:space="preserve"> complete </w:t>
      </w:r>
      <w:r>
        <w:rPr>
          <w:lang w:val="en-US"/>
        </w:rPr>
        <w:t>phase</w:t>
      </w:r>
      <w:r>
        <w:rPr>
          <w:lang w:val="en-US"/>
        </w:rPr>
        <w:noBreakHyphen/>
      </w:r>
      <w:r w:rsidRPr="00B007B8">
        <w:rPr>
          <w:lang w:val="en-US"/>
        </w:rPr>
        <w:t>out of HCFC-141b contained in imported pre</w:t>
      </w:r>
      <w:r w:rsidRPr="00B007B8">
        <w:rPr>
          <w:lang w:val="en-US"/>
        </w:rPr>
        <w:noBreakHyphen/>
        <w:t xml:space="preserve">blended polyols (i.e., 5.33 ODP </w:t>
      </w:r>
      <w:proofErr w:type="spellStart"/>
      <w:r w:rsidRPr="00B007B8">
        <w:rPr>
          <w:lang w:val="en-US"/>
        </w:rPr>
        <w:t>tonnes</w:t>
      </w:r>
      <w:proofErr w:type="spellEnd"/>
      <w:r w:rsidRPr="00B007B8">
        <w:rPr>
          <w:lang w:val="en-US"/>
        </w:rPr>
        <w:t xml:space="preserve">) used in 21 SMEs manufacturing PU foam applications. The technology selected is based on HFO-formulations. </w:t>
      </w:r>
    </w:p>
    <w:p w14:paraId="4BF5CF10" w14:textId="77777777" w:rsidR="00300A91" w:rsidRPr="00993ED6" w:rsidRDefault="00300A91" w:rsidP="00300A91">
      <w:pPr>
        <w:numPr>
          <w:ilvl w:val="0"/>
          <w:numId w:val="1"/>
        </w:numPr>
        <w:spacing w:after="240"/>
        <w:outlineLvl w:val="0"/>
        <w:rPr>
          <w:lang w:val="en-CA"/>
        </w:rPr>
      </w:pPr>
      <w:r w:rsidRPr="00993ED6">
        <w:rPr>
          <w:rFonts w:eastAsia="MS Mincho"/>
          <w:lang w:val="en-US"/>
        </w:rPr>
        <w:t>The third and final tranche</w:t>
      </w:r>
      <w:r>
        <w:rPr>
          <w:rFonts w:eastAsia="MS Mincho"/>
          <w:lang w:val="en-US"/>
        </w:rPr>
        <w:t xml:space="preserve"> of stage II</w:t>
      </w:r>
      <w:r w:rsidRPr="00993ED6">
        <w:rPr>
          <w:rFonts w:eastAsia="MS Mincho"/>
          <w:lang w:val="en-US"/>
        </w:rPr>
        <w:t xml:space="preserve">, at the amount of </w:t>
      </w:r>
      <w:r>
        <w:rPr>
          <w:rFonts w:eastAsia="MS Mincho"/>
          <w:lang w:val="en-US"/>
        </w:rPr>
        <w:t>US $</w:t>
      </w:r>
      <w:r w:rsidRPr="00993ED6">
        <w:rPr>
          <w:rFonts w:eastAsia="MS Mincho"/>
          <w:lang w:val="en-US"/>
        </w:rPr>
        <w:t>111,268, and</w:t>
      </w:r>
      <w:r>
        <w:rPr>
          <w:lang w:val="en-CA"/>
        </w:rPr>
        <w:t xml:space="preserve"> the corresponding 2020</w:t>
      </w:r>
      <w:r>
        <w:rPr>
          <w:lang w:val="en-CA"/>
        </w:rPr>
        <w:noBreakHyphen/>
      </w:r>
      <w:r w:rsidRPr="00993ED6">
        <w:rPr>
          <w:lang w:val="en-CA"/>
        </w:rPr>
        <w:t>2021 tranche implementation plan</w:t>
      </w:r>
      <w:r w:rsidRPr="00993ED6">
        <w:rPr>
          <w:rFonts w:eastAsia="MS Mincho"/>
          <w:lang w:val="en-US"/>
        </w:rPr>
        <w:t xml:space="preserve"> were </w:t>
      </w:r>
      <w:r w:rsidRPr="00993ED6">
        <w:rPr>
          <w:lang w:val="en-US"/>
        </w:rPr>
        <w:t xml:space="preserve">approved under </w:t>
      </w:r>
      <w:r w:rsidRPr="00993ED6">
        <w:rPr>
          <w:lang w:val="en-CA"/>
        </w:rPr>
        <w:t>the 85</w:t>
      </w:r>
      <w:r>
        <w:rPr>
          <w:lang w:val="en-CA"/>
        </w:rPr>
        <w:t>-</w:t>
      </w:r>
      <w:r w:rsidRPr="00993ED6">
        <w:rPr>
          <w:lang w:val="en-CA"/>
        </w:rPr>
        <w:t xml:space="preserve">IAP. In accordance with paragraph 14 of the Agreement between the Government and the Executive Committee, stage II is to be completed by </w:t>
      </w:r>
      <w:r>
        <w:rPr>
          <w:lang w:val="en-CA"/>
        </w:rPr>
        <w:t xml:space="preserve">31 December </w:t>
      </w:r>
      <w:r w:rsidRPr="00993ED6">
        <w:rPr>
          <w:lang w:val="en-CA"/>
        </w:rPr>
        <w:t xml:space="preserve">2021. </w:t>
      </w:r>
      <w:r w:rsidRPr="00993ED6">
        <w:rPr>
          <w:lang w:val="en-US"/>
        </w:rPr>
        <w:t xml:space="preserve">Stage III of the HPMP for the complete phase-out of HCFCs was approved under </w:t>
      </w:r>
      <w:r w:rsidRPr="00993ED6">
        <w:rPr>
          <w:lang w:val="en-CA"/>
        </w:rPr>
        <w:t>the 86</w:t>
      </w:r>
      <w:r>
        <w:rPr>
          <w:lang w:val="en-CA"/>
        </w:rPr>
        <w:t>-</w:t>
      </w:r>
      <w:r w:rsidRPr="00993ED6">
        <w:rPr>
          <w:lang w:val="en-CA"/>
        </w:rPr>
        <w:t>IAP</w:t>
      </w:r>
      <w:r>
        <w:rPr>
          <w:rStyle w:val="FootnoteReference"/>
          <w:lang w:val="en-CA"/>
        </w:rPr>
        <w:footnoteReference w:id="48"/>
      </w:r>
      <w:r w:rsidRPr="00993ED6">
        <w:rPr>
          <w:lang w:val="en-CA"/>
        </w:rPr>
        <w:t xml:space="preserve"> </w:t>
      </w:r>
      <w:r w:rsidRPr="00993ED6">
        <w:rPr>
          <w:rFonts w:eastAsia="MS Mincho"/>
          <w:lang w:val="en-US"/>
        </w:rPr>
        <w:t>in December 2020</w:t>
      </w:r>
      <w:r w:rsidRPr="00993ED6">
        <w:rPr>
          <w:lang w:val="en-CA"/>
        </w:rPr>
        <w:t xml:space="preserve">. </w:t>
      </w:r>
    </w:p>
    <w:p w14:paraId="301574FA" w14:textId="77777777" w:rsidR="00300A91" w:rsidRPr="00897180" w:rsidRDefault="00300A91" w:rsidP="00300A91">
      <w:pPr>
        <w:pStyle w:val="Heading1"/>
        <w:rPr>
          <w:i/>
          <w:lang w:val="en-CA"/>
        </w:rPr>
      </w:pPr>
      <w:r w:rsidRPr="00333F05">
        <w:rPr>
          <w:rFonts w:eastAsia="MS Mincho"/>
          <w:lang w:val="en-US"/>
        </w:rPr>
        <w:t xml:space="preserve">In the </w:t>
      </w:r>
      <w:r w:rsidRPr="0092031D">
        <w:rPr>
          <w:rFonts w:eastAsia="MS Mincho"/>
          <w:lang w:val="en-US"/>
        </w:rPr>
        <w:t>progress report submitted at the 86</w:t>
      </w:r>
      <w:r w:rsidRPr="0092031D">
        <w:rPr>
          <w:rFonts w:eastAsia="MS Mincho"/>
          <w:vertAlign w:val="superscript"/>
          <w:lang w:val="en-US"/>
        </w:rPr>
        <w:t>th</w:t>
      </w:r>
      <w:r w:rsidRPr="0092031D">
        <w:rPr>
          <w:rFonts w:eastAsia="MS Mincho"/>
          <w:lang w:val="en-US"/>
        </w:rPr>
        <w:t xml:space="preserve"> meeting, UNDP</w:t>
      </w:r>
      <w:r w:rsidRPr="0092031D">
        <w:rPr>
          <w:lang w:val="en-US"/>
        </w:rPr>
        <w:t xml:space="preserve"> reported that only one foam enterprise (James) has converted to cyclopentane with an associated phase</w:t>
      </w:r>
      <w:r w:rsidRPr="0092031D">
        <w:rPr>
          <w:lang w:val="en-US"/>
        </w:rPr>
        <w:noBreakHyphen/>
        <w:t xml:space="preserve">out of 1.02 ODP </w:t>
      </w:r>
      <w:proofErr w:type="spellStart"/>
      <w:r w:rsidRPr="0092031D">
        <w:rPr>
          <w:lang w:val="en-US"/>
        </w:rPr>
        <w:t>tonnes</w:t>
      </w:r>
      <w:proofErr w:type="spellEnd"/>
      <w:r w:rsidRPr="0092031D">
        <w:rPr>
          <w:lang w:val="en-US"/>
        </w:rPr>
        <w:t xml:space="preserve"> (9.3 </w:t>
      </w:r>
      <w:proofErr w:type="spellStart"/>
      <w:r w:rsidRPr="0092031D">
        <w:rPr>
          <w:lang w:val="en-US"/>
        </w:rPr>
        <w:t>mt</w:t>
      </w:r>
      <w:proofErr w:type="spellEnd"/>
      <w:r w:rsidRPr="0092031D">
        <w:rPr>
          <w:lang w:val="en-US"/>
        </w:rPr>
        <w:t>) of HCFC</w:t>
      </w:r>
      <w:r w:rsidRPr="0092031D">
        <w:rPr>
          <w:lang w:val="en-US"/>
        </w:rPr>
        <w:noBreakHyphen/>
        <w:t>141b; the other SMEs had not initially been able to</w:t>
      </w:r>
      <w:r w:rsidRPr="0092031D">
        <w:rPr>
          <w:lang w:val="en-CA"/>
        </w:rPr>
        <w:t xml:space="preserve"> convert </w:t>
      </w:r>
      <w:r w:rsidRPr="0092031D">
        <w:rPr>
          <w:lang w:val="en-US"/>
        </w:rPr>
        <w:t>due to limited local</w:t>
      </w:r>
      <w:r w:rsidRPr="0092031D">
        <w:rPr>
          <w:lang w:val="en-CA"/>
        </w:rPr>
        <w:t xml:space="preserve"> availability of HFO to support the conversions. </w:t>
      </w:r>
      <w:r w:rsidRPr="0092031D">
        <w:rPr>
          <w:lang w:val="en-US"/>
        </w:rPr>
        <w:t xml:space="preserve">A technical expert had been hired to work with each enterprise to determine specific requirements, and discussion were held with suppliers who could provide small amounts of </w:t>
      </w:r>
      <w:r w:rsidRPr="0092031D">
        <w:rPr>
          <w:lang w:val="en-CA"/>
        </w:rPr>
        <w:t>HFO</w:t>
      </w:r>
      <w:r>
        <w:rPr>
          <w:lang w:val="en-CA"/>
        </w:rPr>
        <w:noBreakHyphen/>
      </w:r>
      <w:r w:rsidRPr="0092031D">
        <w:rPr>
          <w:lang w:val="en-CA"/>
        </w:rPr>
        <w:t xml:space="preserve">systems given </w:t>
      </w:r>
      <w:r w:rsidRPr="0092031D">
        <w:rPr>
          <w:lang w:val="en-US"/>
        </w:rPr>
        <w:t>the small size of the local market for such alternatives.</w:t>
      </w:r>
      <w:r w:rsidRPr="0092031D" w:rsidDel="00DD73AA">
        <w:rPr>
          <w:lang w:val="en-US"/>
        </w:rPr>
        <w:t xml:space="preserve"> </w:t>
      </w:r>
      <w:r w:rsidRPr="0092031D">
        <w:rPr>
          <w:lang w:val="en-US"/>
        </w:rPr>
        <w:t>A testing protocol was developed to ensure that the HFO</w:t>
      </w:r>
      <w:r w:rsidRPr="0092031D">
        <w:rPr>
          <w:lang w:val="en-US"/>
        </w:rPr>
        <w:noBreakHyphen/>
        <w:t>blown foams comply with all the technical requirements of the SMEs, to provide informa</w:t>
      </w:r>
      <w:r>
        <w:rPr>
          <w:lang w:val="en-US"/>
        </w:rPr>
        <w:t>tion to interested local systems</w:t>
      </w:r>
      <w:r w:rsidRPr="0092031D">
        <w:rPr>
          <w:lang w:val="en-US"/>
        </w:rPr>
        <w:t xml:space="preserve"> suppliers and promote the adoption of such systems. Testing and trials of HFO technology </w:t>
      </w:r>
      <w:r>
        <w:rPr>
          <w:lang w:val="en-US"/>
        </w:rPr>
        <w:t>were</w:t>
      </w:r>
      <w:r w:rsidRPr="0092031D">
        <w:rPr>
          <w:lang w:val="en-US"/>
        </w:rPr>
        <w:t xml:space="preserve"> planned for the first quarter of 2020;</w:t>
      </w:r>
      <w:r>
        <w:rPr>
          <w:lang w:val="en-US"/>
        </w:rPr>
        <w:t xml:space="preserve"> however, these activities had</w:t>
      </w:r>
      <w:r w:rsidRPr="0092031D">
        <w:rPr>
          <w:lang w:val="en-US"/>
        </w:rPr>
        <w:t xml:space="preserve"> been delayed by the COVID-19 pandemic. It was expected that barring further delays due to COVID-19 the conversion of the foam enterprises would be completed</w:t>
      </w:r>
      <w:r w:rsidRPr="002F37DC">
        <w:rPr>
          <w:lang w:val="en-US"/>
        </w:rPr>
        <w:t xml:space="preserve"> by June 2021, and that HFO-systems would be available in the local market</w:t>
      </w:r>
      <w:r>
        <w:rPr>
          <w:lang w:val="en-US"/>
        </w:rPr>
        <w:t xml:space="preserve"> soon after</w:t>
      </w:r>
      <w:r w:rsidRPr="002F37DC">
        <w:rPr>
          <w:lang w:val="en-US"/>
        </w:rPr>
        <w:t xml:space="preserve">. </w:t>
      </w:r>
    </w:p>
    <w:p w14:paraId="42355E55" w14:textId="77777777" w:rsidR="00300A91" w:rsidRDefault="00300A91" w:rsidP="00300A91">
      <w:pPr>
        <w:pStyle w:val="Heading1"/>
        <w:keepNext/>
        <w:keepLines/>
        <w:numPr>
          <w:ilvl w:val="0"/>
          <w:numId w:val="0"/>
        </w:numPr>
        <w:rPr>
          <w:i/>
          <w:lang w:val="en-CA"/>
        </w:rPr>
      </w:pPr>
      <w:r w:rsidRPr="00234A52">
        <w:rPr>
          <w:i/>
          <w:lang w:val="en-CA"/>
        </w:rPr>
        <w:t>HCFC consumption</w:t>
      </w:r>
      <w:r>
        <w:rPr>
          <w:i/>
          <w:lang w:val="en-CA"/>
        </w:rPr>
        <w:t xml:space="preserve"> </w:t>
      </w:r>
    </w:p>
    <w:p w14:paraId="1470AF9C" w14:textId="77777777" w:rsidR="00300A91" w:rsidRDefault="00300A91" w:rsidP="00300A91">
      <w:pPr>
        <w:pStyle w:val="Heading1"/>
        <w:rPr>
          <w:lang w:val="en-CA"/>
        </w:rPr>
      </w:pPr>
      <w:r>
        <w:rPr>
          <w:lang w:val="en-CA"/>
        </w:rPr>
        <w:t>The Government of Uruguay reported a consumption of 14.08 ODP tonnes of HCFC in 2019, which is 40 per cent below the HCFC baseline for compliance. The Article 7 data and country programme data for 2020 have not yet been reported.</w:t>
      </w:r>
    </w:p>
    <w:p w14:paraId="420DA726" w14:textId="77777777" w:rsidR="00300A91" w:rsidRPr="00E16C3D" w:rsidRDefault="00300A91" w:rsidP="003B5FC0">
      <w:pPr>
        <w:pStyle w:val="Heading1"/>
        <w:numPr>
          <w:ilvl w:val="0"/>
          <w:numId w:val="0"/>
        </w:numPr>
        <w:rPr>
          <w:b/>
          <w:bCs/>
          <w:lang w:val="en-CA"/>
        </w:rPr>
      </w:pPr>
      <w:r w:rsidRPr="00E16C3D">
        <w:rPr>
          <w:b/>
          <w:bCs/>
          <w:lang w:val="en-CA"/>
        </w:rPr>
        <w:t>Progress report</w:t>
      </w:r>
      <w:r>
        <w:rPr>
          <w:b/>
          <w:bCs/>
          <w:lang w:val="en-CA"/>
        </w:rPr>
        <w:t xml:space="preserve"> </w:t>
      </w:r>
    </w:p>
    <w:p w14:paraId="20D22E7B" w14:textId="77777777" w:rsidR="00300A91" w:rsidRPr="004C0BC7" w:rsidRDefault="00300A91" w:rsidP="003B5FC0">
      <w:pPr>
        <w:pStyle w:val="Heading1"/>
        <w:numPr>
          <w:ilvl w:val="0"/>
          <w:numId w:val="0"/>
        </w:numPr>
        <w:rPr>
          <w:i/>
          <w:lang w:val="en-CA"/>
        </w:rPr>
      </w:pPr>
      <w:r w:rsidRPr="004C0BC7">
        <w:rPr>
          <w:i/>
        </w:rPr>
        <w:t xml:space="preserve">PU foam </w:t>
      </w:r>
      <w:r w:rsidRPr="004C0BC7">
        <w:rPr>
          <w:i/>
          <w:lang w:val="en-CA"/>
        </w:rPr>
        <w:t>manufacturing sector</w:t>
      </w:r>
    </w:p>
    <w:p w14:paraId="3A4DD7B6" w14:textId="77777777" w:rsidR="00300A91" w:rsidRPr="00F16082" w:rsidRDefault="00300A91" w:rsidP="003B5FC0">
      <w:pPr>
        <w:pStyle w:val="Heading1"/>
        <w:rPr>
          <w:lang w:val="en-US"/>
        </w:rPr>
      </w:pPr>
      <w:r w:rsidRPr="00F16082">
        <w:rPr>
          <w:lang w:val="en-US"/>
        </w:rPr>
        <w:t xml:space="preserve">The status of the </w:t>
      </w:r>
      <w:r>
        <w:rPr>
          <w:lang w:val="en-US"/>
        </w:rPr>
        <w:t xml:space="preserve">conversion </w:t>
      </w:r>
      <w:r w:rsidRPr="00F16082">
        <w:rPr>
          <w:lang w:val="en-US"/>
        </w:rPr>
        <w:t xml:space="preserve">project is summarized in </w:t>
      </w:r>
      <w:r>
        <w:rPr>
          <w:lang w:val="en-US"/>
        </w:rPr>
        <w:t>T</w:t>
      </w:r>
      <w:r w:rsidRPr="00F16082">
        <w:rPr>
          <w:lang w:val="en-US"/>
        </w:rPr>
        <w:t xml:space="preserve">able </w:t>
      </w:r>
      <w:r w:rsidR="00621D13" w:rsidRPr="00621D13">
        <w:rPr>
          <w:lang w:val="en-US"/>
        </w:rPr>
        <w:t>12</w:t>
      </w:r>
      <w:r w:rsidRPr="00F16082">
        <w:rPr>
          <w:lang w:val="en-US"/>
        </w:rPr>
        <w:t>.</w:t>
      </w:r>
    </w:p>
    <w:p w14:paraId="57592F57" w14:textId="77777777" w:rsidR="00300A91" w:rsidRPr="001E0038" w:rsidRDefault="00300A91" w:rsidP="00621D13">
      <w:pPr>
        <w:keepNext/>
        <w:keepLines/>
        <w:rPr>
          <w:b/>
          <w:sz w:val="21"/>
          <w:szCs w:val="21"/>
          <w:lang w:val="en-US"/>
        </w:rPr>
      </w:pPr>
      <w:r w:rsidRPr="001E0038">
        <w:rPr>
          <w:b/>
          <w:sz w:val="21"/>
          <w:szCs w:val="21"/>
          <w:lang w:val="en-US"/>
        </w:rPr>
        <w:lastRenderedPageBreak/>
        <w:t xml:space="preserve">Table </w:t>
      </w:r>
      <w:r w:rsidR="00621D13">
        <w:rPr>
          <w:b/>
          <w:sz w:val="21"/>
          <w:szCs w:val="21"/>
          <w:lang w:val="en-US"/>
        </w:rPr>
        <w:t>12</w:t>
      </w:r>
      <w:r w:rsidRPr="001E0038">
        <w:rPr>
          <w:b/>
          <w:sz w:val="21"/>
          <w:szCs w:val="21"/>
          <w:lang w:val="en-US"/>
        </w:rPr>
        <w:t>. Summary of progress in the foam sector conversion project</w:t>
      </w:r>
    </w:p>
    <w:tbl>
      <w:tblPr>
        <w:tblStyle w:val="TableGrid"/>
        <w:tblW w:w="9355" w:type="dxa"/>
        <w:tblLayout w:type="fixed"/>
        <w:tblCellMar>
          <w:left w:w="58" w:type="dxa"/>
          <w:right w:w="58" w:type="dxa"/>
        </w:tblCellMar>
        <w:tblLook w:val="04A0" w:firstRow="1" w:lastRow="0" w:firstColumn="1" w:lastColumn="0" w:noHBand="0" w:noVBand="1"/>
      </w:tblPr>
      <w:tblGrid>
        <w:gridCol w:w="1344"/>
        <w:gridCol w:w="1081"/>
        <w:gridCol w:w="629"/>
        <w:gridCol w:w="810"/>
        <w:gridCol w:w="5491"/>
      </w:tblGrid>
      <w:tr w:rsidR="00300A91" w:rsidRPr="00F16082" w14:paraId="33DEF353" w14:textId="77777777" w:rsidTr="00621D13">
        <w:tc>
          <w:tcPr>
            <w:tcW w:w="718" w:type="pct"/>
            <w:vMerge w:val="restart"/>
            <w:vAlign w:val="center"/>
          </w:tcPr>
          <w:p w14:paraId="137A0EB9" w14:textId="77777777" w:rsidR="00300A91" w:rsidRPr="00DB41FF" w:rsidRDefault="00300A91" w:rsidP="00621D13">
            <w:pPr>
              <w:keepNext/>
              <w:keepLines/>
              <w:widowControl w:val="0"/>
              <w:jc w:val="left"/>
              <w:rPr>
                <w:bCs/>
                <w:color w:val="000000"/>
                <w:lang w:val="en-US"/>
              </w:rPr>
            </w:pPr>
            <w:r w:rsidRPr="00DB41FF">
              <w:rPr>
                <w:b/>
                <w:bCs/>
                <w:color w:val="000000"/>
                <w:lang w:val="en-US"/>
              </w:rPr>
              <w:t>Subsector</w:t>
            </w:r>
          </w:p>
        </w:tc>
        <w:tc>
          <w:tcPr>
            <w:tcW w:w="578" w:type="pct"/>
            <w:vMerge w:val="restart"/>
            <w:tcMar>
              <w:left w:w="0" w:type="dxa"/>
              <w:right w:w="0" w:type="dxa"/>
            </w:tcMar>
          </w:tcPr>
          <w:p w14:paraId="4C939B2F" w14:textId="77777777" w:rsidR="00300A91" w:rsidRPr="00DB41FF" w:rsidRDefault="00300A91" w:rsidP="00621D13">
            <w:pPr>
              <w:keepNext/>
              <w:keepLines/>
              <w:widowControl w:val="0"/>
              <w:jc w:val="center"/>
              <w:rPr>
                <w:bCs/>
                <w:color w:val="000000"/>
                <w:lang w:val="en-US"/>
              </w:rPr>
            </w:pPr>
            <w:r>
              <w:rPr>
                <w:b/>
              </w:rPr>
              <w:t>No.</w:t>
            </w:r>
            <w:r w:rsidRPr="00DB41FF">
              <w:rPr>
                <w:b/>
              </w:rPr>
              <w:t xml:space="preserve"> enterprises</w:t>
            </w:r>
          </w:p>
        </w:tc>
        <w:tc>
          <w:tcPr>
            <w:tcW w:w="769" w:type="pct"/>
            <w:gridSpan w:val="2"/>
            <w:vAlign w:val="center"/>
          </w:tcPr>
          <w:p w14:paraId="55B53AF5" w14:textId="77777777" w:rsidR="00300A91" w:rsidRPr="00DB41FF" w:rsidRDefault="00300A91" w:rsidP="00621D13">
            <w:pPr>
              <w:keepNext/>
              <w:keepLines/>
              <w:widowControl w:val="0"/>
              <w:jc w:val="center"/>
              <w:rPr>
                <w:color w:val="000000"/>
                <w:lang w:val="en-US"/>
              </w:rPr>
            </w:pPr>
            <w:r w:rsidRPr="00DB41FF">
              <w:rPr>
                <w:b/>
                <w:bCs/>
                <w:color w:val="000000"/>
              </w:rPr>
              <w:t>Consumption</w:t>
            </w:r>
          </w:p>
        </w:tc>
        <w:tc>
          <w:tcPr>
            <w:tcW w:w="2935" w:type="pct"/>
            <w:vMerge w:val="restart"/>
            <w:vAlign w:val="center"/>
          </w:tcPr>
          <w:p w14:paraId="24A39D86" w14:textId="77777777" w:rsidR="00300A91" w:rsidRPr="00DB41FF" w:rsidDel="00731049" w:rsidRDefault="00300A91" w:rsidP="00621D13">
            <w:pPr>
              <w:pStyle w:val="ListParagraph"/>
              <w:keepNext/>
              <w:keepLines/>
              <w:widowControl w:val="0"/>
              <w:ind w:left="158"/>
              <w:jc w:val="center"/>
              <w:rPr>
                <w:bCs/>
                <w:color w:val="000000"/>
                <w:lang w:val="en-US"/>
              </w:rPr>
            </w:pPr>
            <w:r w:rsidRPr="00DB41FF">
              <w:rPr>
                <w:b/>
                <w:bCs/>
                <w:color w:val="000000"/>
                <w:lang w:val="en-US"/>
              </w:rPr>
              <w:t>Status</w:t>
            </w:r>
          </w:p>
        </w:tc>
      </w:tr>
      <w:tr w:rsidR="00300A91" w:rsidRPr="00F16082" w14:paraId="0D443B96" w14:textId="77777777" w:rsidTr="00621D13">
        <w:tc>
          <w:tcPr>
            <w:tcW w:w="718" w:type="pct"/>
            <w:vMerge/>
            <w:tcMar>
              <w:left w:w="0" w:type="dxa"/>
              <w:right w:w="0" w:type="dxa"/>
            </w:tcMar>
            <w:vAlign w:val="center"/>
          </w:tcPr>
          <w:p w14:paraId="0B29823C" w14:textId="77777777" w:rsidR="00300A91" w:rsidRPr="00DB41FF" w:rsidRDefault="00300A91" w:rsidP="00621D13">
            <w:pPr>
              <w:keepNext/>
              <w:keepLines/>
              <w:widowControl w:val="0"/>
              <w:jc w:val="center"/>
              <w:rPr>
                <w:bCs/>
                <w:color w:val="000000"/>
                <w:lang w:val="en-US"/>
              </w:rPr>
            </w:pPr>
          </w:p>
        </w:tc>
        <w:tc>
          <w:tcPr>
            <w:tcW w:w="578" w:type="pct"/>
            <w:vMerge/>
            <w:tcMar>
              <w:left w:w="0" w:type="dxa"/>
              <w:right w:w="0" w:type="dxa"/>
            </w:tcMar>
            <w:vAlign w:val="center"/>
          </w:tcPr>
          <w:p w14:paraId="5275EB6C" w14:textId="77777777" w:rsidR="00300A91" w:rsidRPr="00DB41FF" w:rsidRDefault="00300A91" w:rsidP="00621D13">
            <w:pPr>
              <w:keepNext/>
              <w:keepLines/>
              <w:widowControl w:val="0"/>
              <w:jc w:val="center"/>
              <w:rPr>
                <w:bCs/>
                <w:color w:val="000000"/>
                <w:lang w:val="en-US"/>
              </w:rPr>
            </w:pPr>
          </w:p>
        </w:tc>
        <w:tc>
          <w:tcPr>
            <w:tcW w:w="336" w:type="pct"/>
            <w:tcMar>
              <w:left w:w="0" w:type="dxa"/>
              <w:right w:w="0" w:type="dxa"/>
            </w:tcMar>
            <w:vAlign w:val="center"/>
          </w:tcPr>
          <w:p w14:paraId="10D56DD9" w14:textId="77777777" w:rsidR="00300A91" w:rsidRPr="00DB41FF" w:rsidRDefault="00300A91" w:rsidP="00621D13">
            <w:pPr>
              <w:keepNext/>
              <w:keepLines/>
              <w:widowControl w:val="0"/>
              <w:jc w:val="center"/>
              <w:rPr>
                <w:color w:val="000000"/>
                <w:lang w:val="en-US"/>
              </w:rPr>
            </w:pPr>
            <w:proofErr w:type="spellStart"/>
            <w:r w:rsidRPr="00DB41FF">
              <w:rPr>
                <w:b/>
              </w:rPr>
              <w:t>mt</w:t>
            </w:r>
            <w:proofErr w:type="spellEnd"/>
          </w:p>
        </w:tc>
        <w:tc>
          <w:tcPr>
            <w:tcW w:w="433" w:type="pct"/>
            <w:tcMar>
              <w:left w:w="0" w:type="dxa"/>
              <w:right w:w="0" w:type="dxa"/>
            </w:tcMar>
            <w:vAlign w:val="center"/>
          </w:tcPr>
          <w:p w14:paraId="66E3C89D" w14:textId="77777777" w:rsidR="00300A91" w:rsidRPr="00DB41FF" w:rsidRDefault="00300A91" w:rsidP="00621D13">
            <w:pPr>
              <w:keepNext/>
              <w:keepLines/>
              <w:widowControl w:val="0"/>
              <w:jc w:val="center"/>
              <w:rPr>
                <w:color w:val="000000"/>
                <w:lang w:val="en-US"/>
              </w:rPr>
            </w:pPr>
            <w:r w:rsidRPr="00DB41FF">
              <w:rPr>
                <w:b/>
              </w:rPr>
              <w:t>ODP tonnes</w:t>
            </w:r>
          </w:p>
        </w:tc>
        <w:tc>
          <w:tcPr>
            <w:tcW w:w="2935" w:type="pct"/>
            <w:vMerge/>
            <w:tcMar>
              <w:left w:w="0" w:type="dxa"/>
              <w:right w:w="0" w:type="dxa"/>
            </w:tcMar>
            <w:vAlign w:val="center"/>
          </w:tcPr>
          <w:p w14:paraId="4B94245F" w14:textId="77777777" w:rsidR="00300A91" w:rsidRPr="00DB41FF" w:rsidDel="00731049" w:rsidRDefault="00300A91" w:rsidP="00621D13">
            <w:pPr>
              <w:pStyle w:val="ListParagraph"/>
              <w:keepNext/>
              <w:keepLines/>
              <w:widowControl w:val="0"/>
              <w:ind w:left="158"/>
              <w:jc w:val="center"/>
              <w:rPr>
                <w:b/>
                <w:bCs/>
                <w:color w:val="000000"/>
                <w:lang w:val="en-US"/>
              </w:rPr>
            </w:pPr>
          </w:p>
        </w:tc>
      </w:tr>
      <w:tr w:rsidR="00300A91" w:rsidRPr="00F16082" w14:paraId="40E9FAC7" w14:textId="77777777" w:rsidTr="00621D13">
        <w:tc>
          <w:tcPr>
            <w:tcW w:w="718" w:type="pct"/>
          </w:tcPr>
          <w:p w14:paraId="0DAEB2A0" w14:textId="77777777" w:rsidR="00300A91" w:rsidRPr="00DB41FF" w:rsidRDefault="00300A91" w:rsidP="00621D13">
            <w:pPr>
              <w:keepNext/>
              <w:keepLines/>
              <w:widowControl w:val="0"/>
              <w:jc w:val="left"/>
            </w:pPr>
            <w:r w:rsidRPr="00DB41FF">
              <w:rPr>
                <w:bCs/>
                <w:color w:val="000000"/>
                <w:lang w:val="en-US"/>
              </w:rPr>
              <w:t>Water heaters</w:t>
            </w:r>
          </w:p>
        </w:tc>
        <w:tc>
          <w:tcPr>
            <w:tcW w:w="578" w:type="pct"/>
            <w:tcMar>
              <w:right w:w="144" w:type="dxa"/>
            </w:tcMar>
          </w:tcPr>
          <w:p w14:paraId="02076265" w14:textId="77777777" w:rsidR="00300A91" w:rsidRPr="00DB41FF" w:rsidRDefault="00300A91" w:rsidP="00621D13">
            <w:pPr>
              <w:keepNext/>
              <w:keepLines/>
              <w:widowControl w:val="0"/>
              <w:ind w:right="10"/>
              <w:jc w:val="right"/>
              <w:rPr>
                <w:bCs/>
                <w:color w:val="000000"/>
                <w:lang w:val="en-US"/>
              </w:rPr>
            </w:pPr>
            <w:r w:rsidRPr="00DB41FF">
              <w:rPr>
                <w:bCs/>
                <w:color w:val="000000"/>
                <w:lang w:val="en-US"/>
              </w:rPr>
              <w:t>5</w:t>
            </w:r>
          </w:p>
        </w:tc>
        <w:tc>
          <w:tcPr>
            <w:tcW w:w="336" w:type="pct"/>
          </w:tcPr>
          <w:p w14:paraId="70566DFE" w14:textId="77777777" w:rsidR="00300A91" w:rsidRPr="00DB41FF" w:rsidRDefault="00300A91" w:rsidP="00621D13">
            <w:pPr>
              <w:keepNext/>
              <w:keepLines/>
              <w:widowControl w:val="0"/>
              <w:jc w:val="right"/>
              <w:rPr>
                <w:b/>
                <w:bCs/>
                <w:color w:val="000000"/>
              </w:rPr>
            </w:pPr>
            <w:r w:rsidRPr="00DB41FF">
              <w:rPr>
                <w:color w:val="000000"/>
                <w:lang w:val="en-US"/>
              </w:rPr>
              <w:t>13.07</w:t>
            </w:r>
          </w:p>
        </w:tc>
        <w:tc>
          <w:tcPr>
            <w:tcW w:w="433" w:type="pct"/>
          </w:tcPr>
          <w:p w14:paraId="3EC6970C" w14:textId="77777777" w:rsidR="00300A91" w:rsidRPr="00DB41FF" w:rsidRDefault="00300A91" w:rsidP="00621D13">
            <w:pPr>
              <w:keepNext/>
              <w:keepLines/>
              <w:widowControl w:val="0"/>
              <w:jc w:val="right"/>
              <w:rPr>
                <w:b/>
                <w:bCs/>
                <w:color w:val="000000"/>
              </w:rPr>
            </w:pPr>
            <w:r w:rsidRPr="00DB41FF">
              <w:rPr>
                <w:color w:val="000000"/>
                <w:lang w:val="en-US"/>
              </w:rPr>
              <w:t>1.44</w:t>
            </w:r>
          </w:p>
        </w:tc>
        <w:tc>
          <w:tcPr>
            <w:tcW w:w="2935" w:type="pct"/>
          </w:tcPr>
          <w:p w14:paraId="639D75CF" w14:textId="77777777" w:rsidR="00300A91" w:rsidRPr="0092031D" w:rsidRDefault="00300A91" w:rsidP="00621D13">
            <w:pPr>
              <w:pStyle w:val="ListParagraph"/>
              <w:keepNext/>
              <w:keepLines/>
              <w:widowControl w:val="0"/>
              <w:numPr>
                <w:ilvl w:val="0"/>
                <w:numId w:val="40"/>
              </w:numPr>
              <w:ind w:left="158" w:hanging="158"/>
              <w:jc w:val="left"/>
              <w:rPr>
                <w:lang w:val="en-US"/>
              </w:rPr>
            </w:pPr>
            <w:r w:rsidRPr="0092031D">
              <w:rPr>
                <w:bCs/>
                <w:color w:val="000000"/>
                <w:lang w:val="en-US"/>
              </w:rPr>
              <w:t xml:space="preserve">Conversion of one company (James) to </w:t>
            </w:r>
            <w:r w:rsidRPr="0092031D">
              <w:rPr>
                <w:lang w:val="en-US"/>
              </w:rPr>
              <w:t xml:space="preserve">cyclopentane is completed. </w:t>
            </w:r>
          </w:p>
          <w:p w14:paraId="2ABD66DC" w14:textId="77777777" w:rsidR="00300A91" w:rsidRPr="0092031D" w:rsidRDefault="00300A91" w:rsidP="00621D13">
            <w:pPr>
              <w:pStyle w:val="ListParagraph"/>
              <w:keepNext/>
              <w:keepLines/>
              <w:widowControl w:val="0"/>
              <w:numPr>
                <w:ilvl w:val="0"/>
                <w:numId w:val="40"/>
              </w:numPr>
              <w:ind w:left="158" w:hanging="158"/>
              <w:jc w:val="left"/>
              <w:rPr>
                <w:lang w:val="en-US"/>
              </w:rPr>
            </w:pPr>
            <w:r w:rsidRPr="0092031D">
              <w:rPr>
                <w:lang w:val="en-US"/>
              </w:rPr>
              <w:t>Meetings were held and test protocols shared with two companies (</w:t>
            </w:r>
            <w:proofErr w:type="spellStart"/>
            <w:r w:rsidRPr="0092031D">
              <w:rPr>
                <w:lang w:val="en-US"/>
              </w:rPr>
              <w:t>Rivomark</w:t>
            </w:r>
            <w:proofErr w:type="spellEnd"/>
            <w:r w:rsidRPr="0092031D">
              <w:rPr>
                <w:lang w:val="en-US"/>
              </w:rPr>
              <w:t xml:space="preserve"> S.A. and </w:t>
            </w:r>
            <w:proofErr w:type="spellStart"/>
            <w:r w:rsidRPr="0092031D">
              <w:rPr>
                <w:lang w:val="en-US"/>
              </w:rPr>
              <w:t>Warners</w:t>
            </w:r>
            <w:proofErr w:type="spellEnd"/>
            <w:r w:rsidRPr="0092031D">
              <w:rPr>
                <w:lang w:val="en-US"/>
              </w:rPr>
              <w:t xml:space="preserve">). One conversion has started and is expected to be completed by the end of 2021, and the other is expected to begin as soon as the pandemic is under control. </w:t>
            </w:r>
          </w:p>
          <w:p w14:paraId="3F1FC589" w14:textId="77777777" w:rsidR="00300A91" w:rsidRPr="0092031D" w:rsidRDefault="00300A91" w:rsidP="00621D13">
            <w:pPr>
              <w:pStyle w:val="ListParagraph"/>
              <w:keepNext/>
              <w:keepLines/>
              <w:widowControl w:val="0"/>
              <w:numPr>
                <w:ilvl w:val="0"/>
                <w:numId w:val="40"/>
              </w:numPr>
              <w:ind w:left="158" w:hanging="158"/>
              <w:jc w:val="left"/>
              <w:rPr>
                <w:bCs/>
                <w:color w:val="000000"/>
                <w:lang w:val="en-US"/>
              </w:rPr>
            </w:pPr>
            <w:r w:rsidRPr="0092031D">
              <w:rPr>
                <w:lang w:val="en-US"/>
              </w:rPr>
              <w:t xml:space="preserve">Conversion of two companies (IMA and Orion) are on stand-by depending on the production output </w:t>
            </w:r>
            <w:r w:rsidRPr="0092031D">
              <w:t xml:space="preserve">post COVID-19. </w:t>
            </w:r>
          </w:p>
        </w:tc>
      </w:tr>
      <w:tr w:rsidR="00300A91" w:rsidRPr="00F16082" w14:paraId="6144EAB8" w14:textId="77777777" w:rsidTr="00621D13">
        <w:tc>
          <w:tcPr>
            <w:tcW w:w="718" w:type="pct"/>
          </w:tcPr>
          <w:p w14:paraId="6B466E3F" w14:textId="77777777" w:rsidR="00300A91" w:rsidRPr="00DB41FF" w:rsidRDefault="00300A91" w:rsidP="00C17492">
            <w:pPr>
              <w:widowControl w:val="0"/>
              <w:jc w:val="left"/>
            </w:pPr>
            <w:r w:rsidRPr="00DB41FF">
              <w:rPr>
                <w:bCs/>
                <w:color w:val="000000"/>
                <w:lang w:val="en-US"/>
              </w:rPr>
              <w:t>Discontinuous panels</w:t>
            </w:r>
          </w:p>
        </w:tc>
        <w:tc>
          <w:tcPr>
            <w:tcW w:w="578" w:type="pct"/>
            <w:tcMar>
              <w:right w:w="144" w:type="dxa"/>
            </w:tcMar>
          </w:tcPr>
          <w:p w14:paraId="08004B72" w14:textId="77777777" w:rsidR="00300A91" w:rsidRPr="00DB41FF" w:rsidRDefault="00300A91" w:rsidP="00C17492">
            <w:pPr>
              <w:widowControl w:val="0"/>
              <w:ind w:right="10"/>
              <w:jc w:val="right"/>
              <w:rPr>
                <w:bCs/>
                <w:color w:val="000000"/>
                <w:lang w:val="en-US"/>
              </w:rPr>
            </w:pPr>
            <w:r w:rsidRPr="00DB41FF">
              <w:rPr>
                <w:bCs/>
                <w:color w:val="000000"/>
                <w:lang w:val="en-US"/>
              </w:rPr>
              <w:t>1</w:t>
            </w:r>
          </w:p>
        </w:tc>
        <w:tc>
          <w:tcPr>
            <w:tcW w:w="336" w:type="pct"/>
          </w:tcPr>
          <w:p w14:paraId="0E5AFEE7" w14:textId="77777777" w:rsidR="00300A91" w:rsidRPr="00DB41FF" w:rsidRDefault="00300A91" w:rsidP="00C17492">
            <w:pPr>
              <w:widowControl w:val="0"/>
              <w:jc w:val="right"/>
              <w:rPr>
                <w:b/>
                <w:bCs/>
                <w:color w:val="000000"/>
              </w:rPr>
            </w:pPr>
            <w:r w:rsidRPr="00DB41FF">
              <w:rPr>
                <w:color w:val="000000"/>
                <w:lang w:val="en-US"/>
              </w:rPr>
              <w:t>1.04</w:t>
            </w:r>
          </w:p>
        </w:tc>
        <w:tc>
          <w:tcPr>
            <w:tcW w:w="433" w:type="pct"/>
          </w:tcPr>
          <w:p w14:paraId="53F19705" w14:textId="77777777" w:rsidR="00300A91" w:rsidRPr="00DB41FF" w:rsidRDefault="00300A91" w:rsidP="00C17492">
            <w:pPr>
              <w:widowControl w:val="0"/>
              <w:jc w:val="right"/>
              <w:rPr>
                <w:b/>
                <w:bCs/>
                <w:color w:val="000000"/>
              </w:rPr>
            </w:pPr>
            <w:r w:rsidRPr="00DB41FF">
              <w:rPr>
                <w:color w:val="000000"/>
                <w:lang w:val="en-US"/>
              </w:rPr>
              <w:t>0.11</w:t>
            </w:r>
          </w:p>
        </w:tc>
        <w:tc>
          <w:tcPr>
            <w:tcW w:w="2935" w:type="pct"/>
          </w:tcPr>
          <w:p w14:paraId="763B7002" w14:textId="77777777" w:rsidR="00300A91" w:rsidRPr="0092031D" w:rsidRDefault="00300A91" w:rsidP="00300A91">
            <w:pPr>
              <w:pStyle w:val="ListParagraph"/>
              <w:widowControl w:val="0"/>
              <w:numPr>
                <w:ilvl w:val="0"/>
                <w:numId w:val="40"/>
              </w:numPr>
              <w:ind w:left="158" w:hanging="158"/>
              <w:jc w:val="left"/>
              <w:rPr>
                <w:lang w:val="en-US"/>
              </w:rPr>
            </w:pPr>
            <w:r w:rsidRPr="0092031D">
              <w:rPr>
                <w:lang w:val="en-US"/>
              </w:rPr>
              <w:t xml:space="preserve">Conversion (Colder) is on stand-by depending on the production output </w:t>
            </w:r>
            <w:r w:rsidRPr="0092031D">
              <w:t>post COVID-19</w:t>
            </w:r>
            <w:r>
              <w:t>.</w:t>
            </w:r>
          </w:p>
        </w:tc>
      </w:tr>
      <w:tr w:rsidR="00300A91" w:rsidRPr="00F16082" w14:paraId="7404B5F4" w14:textId="77777777" w:rsidTr="00621D13">
        <w:tc>
          <w:tcPr>
            <w:tcW w:w="718" w:type="pct"/>
          </w:tcPr>
          <w:p w14:paraId="2BED878F" w14:textId="77777777" w:rsidR="00300A91" w:rsidRPr="00DB41FF" w:rsidRDefault="00300A91" w:rsidP="00C17492">
            <w:pPr>
              <w:widowControl w:val="0"/>
              <w:jc w:val="left"/>
            </w:pPr>
            <w:proofErr w:type="spellStart"/>
            <w:r w:rsidRPr="00DB41FF">
              <w:rPr>
                <w:bCs/>
                <w:color w:val="000000"/>
                <w:lang w:val="en-US"/>
              </w:rPr>
              <w:t>Thermoware</w:t>
            </w:r>
            <w:proofErr w:type="spellEnd"/>
          </w:p>
        </w:tc>
        <w:tc>
          <w:tcPr>
            <w:tcW w:w="578" w:type="pct"/>
            <w:tcMar>
              <w:right w:w="144" w:type="dxa"/>
            </w:tcMar>
          </w:tcPr>
          <w:p w14:paraId="5276564F" w14:textId="77777777" w:rsidR="00300A91" w:rsidRPr="00DB41FF" w:rsidRDefault="00300A91" w:rsidP="00C17492">
            <w:pPr>
              <w:widowControl w:val="0"/>
              <w:ind w:right="10"/>
              <w:jc w:val="right"/>
              <w:rPr>
                <w:bCs/>
                <w:color w:val="000000"/>
                <w:lang w:val="en-US"/>
              </w:rPr>
            </w:pPr>
            <w:r w:rsidRPr="00DB41FF">
              <w:rPr>
                <w:bCs/>
                <w:color w:val="000000"/>
                <w:lang w:val="en-US"/>
              </w:rPr>
              <w:t>1</w:t>
            </w:r>
          </w:p>
        </w:tc>
        <w:tc>
          <w:tcPr>
            <w:tcW w:w="336" w:type="pct"/>
          </w:tcPr>
          <w:p w14:paraId="20D9FAFB" w14:textId="77777777" w:rsidR="00300A91" w:rsidRPr="00DB41FF" w:rsidRDefault="00300A91" w:rsidP="00C17492">
            <w:pPr>
              <w:widowControl w:val="0"/>
              <w:jc w:val="right"/>
              <w:rPr>
                <w:b/>
                <w:bCs/>
                <w:color w:val="000000"/>
              </w:rPr>
            </w:pPr>
            <w:r w:rsidRPr="00DB41FF">
              <w:rPr>
                <w:color w:val="000000"/>
                <w:lang w:val="en-US"/>
              </w:rPr>
              <w:t>0.12</w:t>
            </w:r>
          </w:p>
        </w:tc>
        <w:tc>
          <w:tcPr>
            <w:tcW w:w="433" w:type="pct"/>
          </w:tcPr>
          <w:p w14:paraId="657E2056" w14:textId="77777777" w:rsidR="00300A91" w:rsidRPr="00DB41FF" w:rsidRDefault="00300A91" w:rsidP="00C17492">
            <w:pPr>
              <w:widowControl w:val="0"/>
              <w:jc w:val="right"/>
              <w:rPr>
                <w:b/>
                <w:bCs/>
                <w:color w:val="000000"/>
              </w:rPr>
            </w:pPr>
            <w:r w:rsidRPr="00DB41FF">
              <w:rPr>
                <w:color w:val="000000"/>
                <w:lang w:val="en-US"/>
              </w:rPr>
              <w:t>0.01</w:t>
            </w:r>
          </w:p>
        </w:tc>
        <w:tc>
          <w:tcPr>
            <w:tcW w:w="2935" w:type="pct"/>
          </w:tcPr>
          <w:p w14:paraId="32AB6314" w14:textId="77777777" w:rsidR="00300A91" w:rsidRPr="0092031D" w:rsidRDefault="00300A91" w:rsidP="00300A91">
            <w:pPr>
              <w:pStyle w:val="ListParagraph"/>
              <w:widowControl w:val="0"/>
              <w:numPr>
                <w:ilvl w:val="0"/>
                <w:numId w:val="40"/>
              </w:numPr>
              <w:ind w:left="158" w:hanging="158"/>
              <w:jc w:val="left"/>
              <w:rPr>
                <w:bCs/>
                <w:color w:val="000000"/>
                <w:lang w:val="en-US"/>
              </w:rPr>
            </w:pPr>
            <w:r w:rsidRPr="0092031D">
              <w:rPr>
                <w:lang w:val="en-US"/>
              </w:rPr>
              <w:t>Meetings held with th</w:t>
            </w:r>
            <w:r>
              <w:rPr>
                <w:lang w:val="en-US"/>
              </w:rPr>
              <w:t>e</w:t>
            </w:r>
            <w:r w:rsidRPr="0092031D">
              <w:rPr>
                <w:lang w:val="en-US"/>
              </w:rPr>
              <w:t xml:space="preserve"> company (</w:t>
            </w:r>
            <w:proofErr w:type="spellStart"/>
            <w:r w:rsidRPr="0092031D">
              <w:rPr>
                <w:lang w:val="en-US"/>
              </w:rPr>
              <w:t>Ferroco</w:t>
            </w:r>
            <w:proofErr w:type="spellEnd"/>
            <w:r w:rsidRPr="0092031D">
              <w:rPr>
                <w:lang w:val="en-US"/>
              </w:rPr>
              <w:t>) and test protocols shared, a new water-based system has been identified as suitable; the company is waiting for the supplier to import a sample for testing to adjust the dosage ratio.</w:t>
            </w:r>
          </w:p>
        </w:tc>
      </w:tr>
      <w:tr w:rsidR="00300A91" w:rsidRPr="00F16082" w14:paraId="3851E671" w14:textId="77777777" w:rsidTr="00621D13">
        <w:trPr>
          <w:trHeight w:val="188"/>
        </w:trPr>
        <w:tc>
          <w:tcPr>
            <w:tcW w:w="718" w:type="pct"/>
          </w:tcPr>
          <w:p w14:paraId="73C53A9D" w14:textId="77777777" w:rsidR="00300A91" w:rsidRPr="00DB41FF" w:rsidRDefault="00300A91" w:rsidP="00C17492">
            <w:pPr>
              <w:widowControl w:val="0"/>
              <w:jc w:val="left"/>
            </w:pPr>
            <w:r w:rsidRPr="00DB41FF">
              <w:rPr>
                <w:bCs/>
                <w:color w:val="000000"/>
                <w:lang w:val="en-US"/>
              </w:rPr>
              <w:t>Integral skin</w:t>
            </w:r>
          </w:p>
        </w:tc>
        <w:tc>
          <w:tcPr>
            <w:tcW w:w="578" w:type="pct"/>
            <w:tcMar>
              <w:right w:w="144" w:type="dxa"/>
            </w:tcMar>
          </w:tcPr>
          <w:p w14:paraId="7066854E" w14:textId="77777777" w:rsidR="00300A91" w:rsidRPr="00DB41FF" w:rsidRDefault="00300A91" w:rsidP="00C17492">
            <w:pPr>
              <w:widowControl w:val="0"/>
              <w:ind w:right="10"/>
              <w:jc w:val="right"/>
              <w:rPr>
                <w:bCs/>
                <w:color w:val="000000"/>
                <w:lang w:val="en-US"/>
              </w:rPr>
            </w:pPr>
            <w:r w:rsidRPr="00DB41FF">
              <w:rPr>
                <w:bCs/>
                <w:color w:val="000000"/>
                <w:lang w:val="en-US"/>
              </w:rPr>
              <w:t>1</w:t>
            </w:r>
          </w:p>
        </w:tc>
        <w:tc>
          <w:tcPr>
            <w:tcW w:w="336" w:type="pct"/>
          </w:tcPr>
          <w:p w14:paraId="2814ED4F" w14:textId="77777777" w:rsidR="00300A91" w:rsidRPr="00DB41FF" w:rsidRDefault="00300A91" w:rsidP="00C17492">
            <w:pPr>
              <w:widowControl w:val="0"/>
              <w:jc w:val="right"/>
              <w:rPr>
                <w:b/>
                <w:bCs/>
                <w:color w:val="000000"/>
              </w:rPr>
            </w:pPr>
            <w:r w:rsidRPr="00DB41FF">
              <w:rPr>
                <w:color w:val="000000"/>
                <w:lang w:val="en-US"/>
              </w:rPr>
              <w:t>0.28</w:t>
            </w:r>
          </w:p>
        </w:tc>
        <w:tc>
          <w:tcPr>
            <w:tcW w:w="433" w:type="pct"/>
          </w:tcPr>
          <w:p w14:paraId="45E0BFCC" w14:textId="77777777" w:rsidR="00300A91" w:rsidRPr="00DB41FF" w:rsidRDefault="00300A91" w:rsidP="00C17492">
            <w:pPr>
              <w:widowControl w:val="0"/>
              <w:jc w:val="right"/>
              <w:rPr>
                <w:b/>
                <w:bCs/>
                <w:color w:val="000000"/>
              </w:rPr>
            </w:pPr>
            <w:r w:rsidRPr="00DB41FF">
              <w:rPr>
                <w:color w:val="000000"/>
                <w:lang w:val="en-US"/>
              </w:rPr>
              <w:t>0.03</w:t>
            </w:r>
          </w:p>
        </w:tc>
        <w:tc>
          <w:tcPr>
            <w:tcW w:w="2935" w:type="pct"/>
          </w:tcPr>
          <w:p w14:paraId="5A2AD59E" w14:textId="77777777" w:rsidR="00300A91" w:rsidRPr="0092031D" w:rsidRDefault="00300A91" w:rsidP="00300A91">
            <w:pPr>
              <w:pStyle w:val="ListParagraph"/>
              <w:widowControl w:val="0"/>
              <w:numPr>
                <w:ilvl w:val="0"/>
                <w:numId w:val="40"/>
              </w:numPr>
              <w:ind w:left="158" w:hanging="158"/>
              <w:jc w:val="left"/>
              <w:rPr>
                <w:bCs/>
                <w:color w:val="000000"/>
                <w:lang w:val="en-US"/>
              </w:rPr>
            </w:pPr>
            <w:r w:rsidRPr="0092031D">
              <w:t xml:space="preserve">Conversion </w:t>
            </w:r>
            <w:r w:rsidRPr="0092031D">
              <w:rPr>
                <w:lang w:val="en-US"/>
              </w:rPr>
              <w:t>(</w:t>
            </w:r>
            <w:proofErr w:type="spellStart"/>
            <w:r w:rsidRPr="0092031D">
              <w:rPr>
                <w:lang w:val="en-US"/>
              </w:rPr>
              <w:t>Fumaya</w:t>
            </w:r>
            <w:proofErr w:type="spellEnd"/>
            <w:r w:rsidRPr="0092031D">
              <w:rPr>
                <w:lang w:val="en-US"/>
              </w:rPr>
              <w:t xml:space="preserve">) is on stand-by depending on the production output </w:t>
            </w:r>
            <w:r w:rsidRPr="0092031D">
              <w:t>post COVID-19.</w:t>
            </w:r>
          </w:p>
        </w:tc>
      </w:tr>
      <w:tr w:rsidR="00300A91" w:rsidRPr="00F16082" w14:paraId="7243427E" w14:textId="77777777" w:rsidTr="00621D13">
        <w:tc>
          <w:tcPr>
            <w:tcW w:w="718" w:type="pct"/>
          </w:tcPr>
          <w:p w14:paraId="390240F0" w14:textId="77777777" w:rsidR="00300A91" w:rsidRPr="00DB41FF" w:rsidRDefault="00300A91" w:rsidP="00C17492">
            <w:pPr>
              <w:widowControl w:val="0"/>
              <w:jc w:val="left"/>
            </w:pPr>
            <w:r w:rsidRPr="00DB41FF">
              <w:rPr>
                <w:bCs/>
                <w:color w:val="000000"/>
                <w:lang w:val="en-US"/>
              </w:rPr>
              <w:t>Spray</w:t>
            </w:r>
          </w:p>
        </w:tc>
        <w:tc>
          <w:tcPr>
            <w:tcW w:w="578" w:type="pct"/>
            <w:tcMar>
              <w:right w:w="144" w:type="dxa"/>
            </w:tcMar>
          </w:tcPr>
          <w:p w14:paraId="26820065" w14:textId="77777777" w:rsidR="00300A91" w:rsidRPr="00DB41FF" w:rsidRDefault="00300A91" w:rsidP="00C17492">
            <w:pPr>
              <w:widowControl w:val="0"/>
              <w:ind w:right="10"/>
              <w:jc w:val="right"/>
              <w:rPr>
                <w:bCs/>
                <w:color w:val="000000"/>
                <w:lang w:val="en-US"/>
              </w:rPr>
            </w:pPr>
            <w:r w:rsidRPr="00DB41FF">
              <w:rPr>
                <w:bCs/>
                <w:color w:val="000000"/>
                <w:lang w:val="en-US"/>
              </w:rPr>
              <w:t>12</w:t>
            </w:r>
          </w:p>
        </w:tc>
        <w:tc>
          <w:tcPr>
            <w:tcW w:w="336" w:type="pct"/>
          </w:tcPr>
          <w:p w14:paraId="6455E7EC" w14:textId="77777777" w:rsidR="00300A91" w:rsidRPr="00DB41FF" w:rsidRDefault="00300A91" w:rsidP="00C17492">
            <w:pPr>
              <w:widowControl w:val="0"/>
              <w:jc w:val="right"/>
              <w:rPr>
                <w:b/>
                <w:bCs/>
                <w:color w:val="000000"/>
              </w:rPr>
            </w:pPr>
            <w:r w:rsidRPr="00DB41FF">
              <w:rPr>
                <w:color w:val="000000"/>
                <w:lang w:val="en-US"/>
              </w:rPr>
              <w:t>35.62</w:t>
            </w:r>
          </w:p>
        </w:tc>
        <w:tc>
          <w:tcPr>
            <w:tcW w:w="433" w:type="pct"/>
          </w:tcPr>
          <w:p w14:paraId="4EAF42A4" w14:textId="77777777" w:rsidR="00300A91" w:rsidRPr="00DB41FF" w:rsidRDefault="00300A91" w:rsidP="00C17492">
            <w:pPr>
              <w:widowControl w:val="0"/>
              <w:jc w:val="right"/>
              <w:rPr>
                <w:b/>
                <w:bCs/>
                <w:color w:val="000000"/>
              </w:rPr>
            </w:pPr>
            <w:r w:rsidRPr="00DB41FF">
              <w:rPr>
                <w:color w:val="000000"/>
                <w:lang w:val="en-US"/>
              </w:rPr>
              <w:t>3.92</w:t>
            </w:r>
          </w:p>
        </w:tc>
        <w:tc>
          <w:tcPr>
            <w:tcW w:w="2935" w:type="pct"/>
          </w:tcPr>
          <w:p w14:paraId="349C7BB9" w14:textId="77777777" w:rsidR="00300A91" w:rsidRPr="0092031D" w:rsidRDefault="00300A91" w:rsidP="00300A91">
            <w:pPr>
              <w:pStyle w:val="ListParagraph"/>
              <w:widowControl w:val="0"/>
              <w:numPr>
                <w:ilvl w:val="0"/>
                <w:numId w:val="40"/>
              </w:numPr>
              <w:ind w:left="158" w:hanging="158"/>
              <w:jc w:val="left"/>
              <w:rPr>
                <w:bCs/>
                <w:color w:val="000000"/>
                <w:lang w:val="en-US"/>
              </w:rPr>
            </w:pPr>
            <w:r w:rsidRPr="0092031D">
              <w:rPr>
                <w:lang w:val="en-US"/>
              </w:rPr>
              <w:t>Progress has been made with some companies in importing HFO</w:t>
            </w:r>
            <w:r w:rsidRPr="0092031D">
              <w:rPr>
                <w:lang w:val="en-US"/>
              </w:rPr>
              <w:noBreakHyphen/>
              <w:t>based systems</w:t>
            </w:r>
            <w:r>
              <w:rPr>
                <w:lang w:val="en-US"/>
              </w:rPr>
              <w:t>, but</w:t>
            </w:r>
            <w:r w:rsidRPr="0092031D">
              <w:rPr>
                <w:lang w:val="en-US"/>
              </w:rPr>
              <w:t xml:space="preserve"> results on performance tests</w:t>
            </w:r>
            <w:r>
              <w:rPr>
                <w:lang w:val="en-US"/>
              </w:rPr>
              <w:t xml:space="preserve"> were not satisfactory as the</w:t>
            </w:r>
            <w:r w:rsidRPr="0092031D">
              <w:rPr>
                <w:lang w:val="en-US"/>
              </w:rPr>
              <w:t xml:space="preserve"> foam did not meet the current requirements. Additional tests have been delayed due to the pandemic. </w:t>
            </w:r>
          </w:p>
        </w:tc>
      </w:tr>
      <w:tr w:rsidR="00300A91" w:rsidRPr="00F16082" w14:paraId="3CC6BC58" w14:textId="77777777" w:rsidTr="00621D13">
        <w:tc>
          <w:tcPr>
            <w:tcW w:w="718" w:type="pct"/>
          </w:tcPr>
          <w:p w14:paraId="195AD742" w14:textId="77777777" w:rsidR="00300A91" w:rsidRPr="00DB41FF" w:rsidRDefault="00300A91" w:rsidP="00C17492">
            <w:pPr>
              <w:widowControl w:val="0"/>
              <w:jc w:val="left"/>
              <w:rPr>
                <w:bCs/>
                <w:color w:val="000000"/>
                <w:lang w:val="en-US"/>
              </w:rPr>
            </w:pPr>
            <w:r w:rsidRPr="00DB41FF">
              <w:rPr>
                <w:bCs/>
                <w:color w:val="000000"/>
                <w:lang w:val="en-US"/>
              </w:rPr>
              <w:t>Flotation</w:t>
            </w:r>
          </w:p>
        </w:tc>
        <w:tc>
          <w:tcPr>
            <w:tcW w:w="578" w:type="pct"/>
            <w:tcMar>
              <w:right w:w="144" w:type="dxa"/>
            </w:tcMar>
          </w:tcPr>
          <w:p w14:paraId="4D00BFA4" w14:textId="77777777" w:rsidR="00300A91" w:rsidRPr="00DB41FF" w:rsidRDefault="00300A91" w:rsidP="00C17492">
            <w:pPr>
              <w:widowControl w:val="0"/>
              <w:ind w:right="10"/>
              <w:jc w:val="right"/>
              <w:rPr>
                <w:bCs/>
                <w:color w:val="000000"/>
                <w:lang w:val="en-US"/>
              </w:rPr>
            </w:pPr>
            <w:r w:rsidRPr="00DB41FF">
              <w:rPr>
                <w:bCs/>
                <w:color w:val="000000"/>
                <w:lang w:val="en-US"/>
              </w:rPr>
              <w:t>1</w:t>
            </w:r>
          </w:p>
        </w:tc>
        <w:tc>
          <w:tcPr>
            <w:tcW w:w="336" w:type="pct"/>
          </w:tcPr>
          <w:p w14:paraId="30C4C70D" w14:textId="77777777" w:rsidR="00300A91" w:rsidRPr="00DB41FF" w:rsidRDefault="00300A91" w:rsidP="00C17492">
            <w:pPr>
              <w:widowControl w:val="0"/>
              <w:jc w:val="right"/>
              <w:rPr>
                <w:b/>
                <w:bCs/>
                <w:color w:val="000000"/>
              </w:rPr>
            </w:pPr>
            <w:r w:rsidRPr="00DB41FF">
              <w:rPr>
                <w:color w:val="000000"/>
                <w:lang w:val="en-US"/>
              </w:rPr>
              <w:t>0.10</w:t>
            </w:r>
          </w:p>
        </w:tc>
        <w:tc>
          <w:tcPr>
            <w:tcW w:w="433" w:type="pct"/>
          </w:tcPr>
          <w:p w14:paraId="08151AB6" w14:textId="77777777" w:rsidR="00300A91" w:rsidRPr="00DB41FF" w:rsidRDefault="00300A91" w:rsidP="00C17492">
            <w:pPr>
              <w:widowControl w:val="0"/>
              <w:jc w:val="right"/>
              <w:rPr>
                <w:b/>
                <w:bCs/>
                <w:color w:val="000000"/>
              </w:rPr>
            </w:pPr>
            <w:r w:rsidRPr="00DB41FF">
              <w:rPr>
                <w:color w:val="000000"/>
                <w:lang w:val="en-US"/>
              </w:rPr>
              <w:t>0.01</w:t>
            </w:r>
          </w:p>
        </w:tc>
        <w:tc>
          <w:tcPr>
            <w:tcW w:w="2935" w:type="pct"/>
          </w:tcPr>
          <w:p w14:paraId="2CAE7B8E" w14:textId="77777777" w:rsidR="00300A91" w:rsidRPr="0092031D" w:rsidRDefault="00300A91" w:rsidP="00300A91">
            <w:pPr>
              <w:pStyle w:val="ListParagraph"/>
              <w:widowControl w:val="0"/>
              <w:numPr>
                <w:ilvl w:val="0"/>
                <w:numId w:val="40"/>
              </w:numPr>
              <w:ind w:left="158" w:hanging="158"/>
              <w:jc w:val="left"/>
              <w:rPr>
                <w:lang w:val="en-US"/>
              </w:rPr>
            </w:pPr>
            <w:r w:rsidRPr="0092031D">
              <w:rPr>
                <w:lang w:val="en-US"/>
              </w:rPr>
              <w:t>Conversion (Nolan) is on stand-by depending on the production output post COVID-19</w:t>
            </w:r>
          </w:p>
        </w:tc>
      </w:tr>
      <w:tr w:rsidR="00300A91" w:rsidRPr="00F16082" w14:paraId="6F7DC97E" w14:textId="77777777" w:rsidTr="00621D13">
        <w:tc>
          <w:tcPr>
            <w:tcW w:w="718" w:type="pct"/>
          </w:tcPr>
          <w:p w14:paraId="2F3459EE" w14:textId="77777777" w:rsidR="00300A91" w:rsidRPr="00DB41FF" w:rsidRDefault="00300A91" w:rsidP="00C17492">
            <w:pPr>
              <w:widowControl w:val="0"/>
              <w:jc w:val="left"/>
              <w:rPr>
                <w:b/>
                <w:bCs/>
                <w:color w:val="000000"/>
                <w:lang w:val="en-US"/>
              </w:rPr>
            </w:pPr>
            <w:r w:rsidRPr="00DB41FF">
              <w:rPr>
                <w:b/>
                <w:bCs/>
                <w:color w:val="000000"/>
                <w:lang w:val="en-US"/>
              </w:rPr>
              <w:t>Total</w:t>
            </w:r>
          </w:p>
        </w:tc>
        <w:tc>
          <w:tcPr>
            <w:tcW w:w="578" w:type="pct"/>
            <w:tcMar>
              <w:right w:w="144" w:type="dxa"/>
            </w:tcMar>
          </w:tcPr>
          <w:p w14:paraId="066AD0C3" w14:textId="77777777" w:rsidR="00300A91" w:rsidRPr="00DB41FF" w:rsidRDefault="00300A91" w:rsidP="00C17492">
            <w:pPr>
              <w:widowControl w:val="0"/>
              <w:ind w:right="10"/>
              <w:jc w:val="right"/>
              <w:rPr>
                <w:b/>
                <w:lang w:val="en-US"/>
              </w:rPr>
            </w:pPr>
            <w:r w:rsidRPr="00DB41FF">
              <w:rPr>
                <w:b/>
                <w:lang w:val="en-US"/>
              </w:rPr>
              <w:t>21</w:t>
            </w:r>
          </w:p>
        </w:tc>
        <w:tc>
          <w:tcPr>
            <w:tcW w:w="336" w:type="pct"/>
          </w:tcPr>
          <w:p w14:paraId="4AD77F63" w14:textId="77777777" w:rsidR="00300A91" w:rsidRPr="00DB41FF" w:rsidRDefault="00300A91" w:rsidP="00C17492">
            <w:pPr>
              <w:widowControl w:val="0"/>
              <w:jc w:val="right"/>
              <w:rPr>
                <w:b/>
                <w:bCs/>
                <w:color w:val="000000"/>
              </w:rPr>
            </w:pPr>
            <w:r w:rsidRPr="00DB41FF">
              <w:rPr>
                <w:b/>
                <w:color w:val="000000"/>
                <w:lang w:val="en-US"/>
              </w:rPr>
              <w:t>50.23</w:t>
            </w:r>
          </w:p>
        </w:tc>
        <w:tc>
          <w:tcPr>
            <w:tcW w:w="433" w:type="pct"/>
          </w:tcPr>
          <w:p w14:paraId="483EDBCC" w14:textId="77777777" w:rsidR="00300A91" w:rsidRPr="00DB41FF" w:rsidRDefault="00300A91" w:rsidP="00C17492">
            <w:pPr>
              <w:widowControl w:val="0"/>
              <w:jc w:val="right"/>
              <w:rPr>
                <w:b/>
                <w:bCs/>
                <w:color w:val="000000"/>
              </w:rPr>
            </w:pPr>
            <w:r w:rsidRPr="00DB41FF">
              <w:rPr>
                <w:b/>
                <w:color w:val="000000"/>
                <w:lang w:val="en-US"/>
              </w:rPr>
              <w:t>5.53</w:t>
            </w:r>
          </w:p>
        </w:tc>
        <w:tc>
          <w:tcPr>
            <w:tcW w:w="2935" w:type="pct"/>
          </w:tcPr>
          <w:p w14:paraId="2E82EAFD" w14:textId="77777777" w:rsidR="00300A91" w:rsidRPr="00DB41FF" w:rsidRDefault="00300A91" w:rsidP="00C17492">
            <w:pPr>
              <w:widowControl w:val="0"/>
              <w:rPr>
                <w:b/>
                <w:lang w:val="en-US"/>
              </w:rPr>
            </w:pPr>
          </w:p>
        </w:tc>
      </w:tr>
    </w:tbl>
    <w:p w14:paraId="47A7E1F5" w14:textId="77777777" w:rsidR="00300A91" w:rsidRPr="001E0038" w:rsidRDefault="00300A91" w:rsidP="00300A91">
      <w:pPr>
        <w:widowControl w:val="0"/>
      </w:pPr>
    </w:p>
    <w:p w14:paraId="0E943F29" w14:textId="77777777" w:rsidR="00300A91" w:rsidRPr="00B35426" w:rsidRDefault="00300A91" w:rsidP="00300A91">
      <w:pPr>
        <w:pStyle w:val="Heading1"/>
      </w:pPr>
      <w:r w:rsidRPr="00B35426">
        <w:t>The NOU, with support of UNDP and a foam expert, is working with different systems houses around the region and with local distributors to facilitate samples of HFO-based PU system, while exploring options such as receiving HFO-based PU system without the catalyst and blending it in-place, or trying other low-GWP alternatives (such as water-based systems). Currently, the five importers/distributors of foam blowing agents in the country are assessing different alternatives to HCFC</w:t>
      </w:r>
      <w:r w:rsidRPr="00B35426">
        <w:noBreakHyphen/>
        <w:t>141b contained in imported pre-blended polyols including water-blown- and HFO-based systems. The NOU is working very closely with these importers to ensure the supply of these alternatives, noting that as a consequence of the pandemic, there are logistical constraints in obtaining the raw materials, which has led to a shortage of polyols and other components, as well as a drastic increase in the freight costs.</w:t>
      </w:r>
    </w:p>
    <w:p w14:paraId="6847C27C" w14:textId="77777777" w:rsidR="00300A91" w:rsidRDefault="00300A91" w:rsidP="00300A91">
      <w:pPr>
        <w:rPr>
          <w:i/>
        </w:rPr>
      </w:pPr>
      <w:r>
        <w:rPr>
          <w:i/>
        </w:rPr>
        <w:t>R</w:t>
      </w:r>
      <w:r w:rsidRPr="002D6E85">
        <w:rPr>
          <w:i/>
        </w:rPr>
        <w:t>efrigeration servicing sector</w:t>
      </w:r>
    </w:p>
    <w:p w14:paraId="23FD10E6" w14:textId="77777777" w:rsidR="00300A91" w:rsidRPr="00746969" w:rsidRDefault="00300A91" w:rsidP="00300A91">
      <w:pPr>
        <w:rPr>
          <w:lang w:val="en-US"/>
        </w:rPr>
      </w:pPr>
    </w:p>
    <w:p w14:paraId="3E7E1914" w14:textId="77777777" w:rsidR="00300A91" w:rsidRPr="00010E14" w:rsidRDefault="00300A91" w:rsidP="00300A91">
      <w:pPr>
        <w:numPr>
          <w:ilvl w:val="0"/>
          <w:numId w:val="1"/>
        </w:numPr>
        <w:tabs>
          <w:tab w:val="clear" w:pos="0"/>
          <w:tab w:val="num" w:pos="710"/>
        </w:tabs>
        <w:spacing w:after="240"/>
        <w:outlineLvl w:val="0"/>
        <w:rPr>
          <w:rFonts w:eastAsia="MS Mincho"/>
          <w:lang w:val="en-US"/>
        </w:rPr>
      </w:pPr>
      <w:r w:rsidRPr="007A33C6">
        <w:t>From March 2020 to April 2021, the</w:t>
      </w:r>
      <w:r>
        <w:t xml:space="preserve"> following activities were implemented:</w:t>
      </w:r>
    </w:p>
    <w:p w14:paraId="0694DFB9" w14:textId="77777777" w:rsidR="00300A91" w:rsidRPr="00B86E7F" w:rsidRDefault="00300A91" w:rsidP="00300A91">
      <w:pPr>
        <w:pStyle w:val="Heading2"/>
        <w:rPr>
          <w:lang w:val="en-CA"/>
        </w:rPr>
      </w:pPr>
      <w:r>
        <w:rPr>
          <w:lang w:val="en-CA"/>
        </w:rPr>
        <w:t>M</w:t>
      </w:r>
      <w:r w:rsidRPr="00B86E7F">
        <w:rPr>
          <w:lang w:val="en-CA"/>
        </w:rPr>
        <w:t xml:space="preserve">eetings with the Ministry of Industries to establish technical recommendations </w:t>
      </w:r>
      <w:r>
        <w:rPr>
          <w:lang w:val="en-CA"/>
        </w:rPr>
        <w:t xml:space="preserve">to encourage </w:t>
      </w:r>
      <w:r w:rsidRPr="00B86E7F">
        <w:rPr>
          <w:lang w:val="en-CA"/>
        </w:rPr>
        <w:t xml:space="preserve">the use of alternatives to ODS </w:t>
      </w:r>
      <w:r>
        <w:rPr>
          <w:lang w:val="en-CA"/>
        </w:rPr>
        <w:t>in new investment p</w:t>
      </w:r>
      <w:r w:rsidRPr="00B86E7F">
        <w:rPr>
          <w:lang w:val="en-CA"/>
        </w:rPr>
        <w:t>rojects</w:t>
      </w:r>
      <w:r>
        <w:rPr>
          <w:lang w:val="en-CA"/>
        </w:rPr>
        <w:t xml:space="preserve"> through financial incentives;</w:t>
      </w:r>
    </w:p>
    <w:p w14:paraId="18576C50" w14:textId="77777777" w:rsidR="00300A91" w:rsidRDefault="00300A91" w:rsidP="00300A91">
      <w:pPr>
        <w:pStyle w:val="Heading2"/>
        <w:rPr>
          <w:lang w:val="en-CA"/>
        </w:rPr>
      </w:pPr>
      <w:r>
        <w:rPr>
          <w:lang w:val="en-CA"/>
        </w:rPr>
        <w:t>M</w:t>
      </w:r>
      <w:r w:rsidRPr="00010E14">
        <w:rPr>
          <w:lang w:val="en-CA"/>
        </w:rPr>
        <w:t xml:space="preserve">eetings with importers of HCFC and HCFC-based equipment to assess the market trends and share information on </w:t>
      </w:r>
      <w:r>
        <w:rPr>
          <w:lang w:val="en-CA"/>
        </w:rPr>
        <w:t xml:space="preserve">import </w:t>
      </w:r>
      <w:r w:rsidRPr="00010E14">
        <w:rPr>
          <w:lang w:val="en-CA"/>
        </w:rPr>
        <w:t>controls, phase-out dates and</w:t>
      </w:r>
      <w:r>
        <w:rPr>
          <w:lang w:val="en-CA"/>
        </w:rPr>
        <w:t xml:space="preserve"> activities related to the </w:t>
      </w:r>
      <w:r>
        <w:rPr>
          <w:lang w:val="en-CA"/>
        </w:rPr>
        <w:lastRenderedPageBreak/>
        <w:t>HPMP; and a review of tariff codes and the classifications of refrigeration and air</w:t>
      </w:r>
      <w:r>
        <w:rPr>
          <w:lang w:val="en-CA"/>
        </w:rPr>
        <w:noBreakHyphen/>
        <w:t>conditioning (RAC) equipment to improve import controls was completed;</w:t>
      </w:r>
    </w:p>
    <w:p w14:paraId="6CE30410" w14:textId="77777777" w:rsidR="00300A91" w:rsidRDefault="00300A91" w:rsidP="00300A91">
      <w:pPr>
        <w:pStyle w:val="Heading2"/>
        <w:rPr>
          <w:lang w:val="en-CA"/>
        </w:rPr>
      </w:pPr>
      <w:r>
        <w:rPr>
          <w:lang w:val="en-CA"/>
        </w:rPr>
        <w:t xml:space="preserve">Information exchange </w:t>
      </w:r>
      <w:r w:rsidRPr="00010E14">
        <w:rPr>
          <w:lang w:val="en-CA"/>
        </w:rPr>
        <w:t>between the customs authorities</w:t>
      </w:r>
      <w:r>
        <w:rPr>
          <w:lang w:val="en-CA"/>
        </w:rPr>
        <w:t xml:space="preserve"> in Argentina, Paraguay and Uruguay, and </w:t>
      </w:r>
      <w:r>
        <w:t xml:space="preserve">advice and guidance on </w:t>
      </w:r>
      <w:r w:rsidRPr="007A33C6">
        <w:t xml:space="preserve">control measures </w:t>
      </w:r>
      <w:r>
        <w:t xml:space="preserve">on the </w:t>
      </w:r>
      <w:r w:rsidRPr="007A33C6">
        <w:t>import of HCFC</w:t>
      </w:r>
      <w:r>
        <w:rPr>
          <w:lang w:val="en-CA"/>
        </w:rPr>
        <w:t>;</w:t>
      </w:r>
    </w:p>
    <w:p w14:paraId="5C1FD332" w14:textId="77777777" w:rsidR="00300A91" w:rsidRDefault="00300A91" w:rsidP="00300A91">
      <w:pPr>
        <w:pStyle w:val="Heading2"/>
        <w:rPr>
          <w:lang w:val="en-CA"/>
        </w:rPr>
      </w:pPr>
      <w:r>
        <w:rPr>
          <w:lang w:val="en-CA"/>
        </w:rPr>
        <w:t xml:space="preserve">Two webinars for 262 RAC technicians on good refrigeration practices, leak control, and new trends in the RAC sector; discussions have begun with a consultant on the preparation of a good refrigeration practices manual; </w:t>
      </w:r>
      <w:r>
        <w:t xml:space="preserve">and </w:t>
      </w:r>
      <w:r w:rsidRPr="007A33C6">
        <w:t xml:space="preserve">one webinar </w:t>
      </w:r>
      <w:r>
        <w:t>on the use of ammonia-based equipment with the participation of and</w:t>
      </w:r>
      <w:r w:rsidRPr="007A33C6">
        <w:t xml:space="preserve"> 279 RAC technicians</w:t>
      </w:r>
      <w:r>
        <w:t>;</w:t>
      </w:r>
    </w:p>
    <w:p w14:paraId="4BF608E5" w14:textId="77777777" w:rsidR="00300A91" w:rsidRDefault="00300A91" w:rsidP="00300A91">
      <w:pPr>
        <w:pStyle w:val="Heading2"/>
        <w:rPr>
          <w:lang w:val="en-CA"/>
        </w:rPr>
      </w:pPr>
      <w:r>
        <w:rPr>
          <w:lang w:val="en-CA"/>
        </w:rPr>
        <w:t>M</w:t>
      </w:r>
      <w:r w:rsidRPr="00006A32">
        <w:rPr>
          <w:lang w:val="en-CA"/>
        </w:rPr>
        <w:t xml:space="preserve">eetings with supermarkets to identify the main </w:t>
      </w:r>
      <w:r>
        <w:rPr>
          <w:lang w:val="en-CA"/>
        </w:rPr>
        <w:t xml:space="preserve">HCFC </w:t>
      </w:r>
      <w:r w:rsidRPr="00006A32">
        <w:rPr>
          <w:lang w:val="en-CA"/>
        </w:rPr>
        <w:t>co</w:t>
      </w:r>
      <w:r>
        <w:rPr>
          <w:lang w:val="en-CA"/>
        </w:rPr>
        <w:t>nsumption sources and amounts;</w:t>
      </w:r>
    </w:p>
    <w:p w14:paraId="38C009F7" w14:textId="77777777" w:rsidR="00300A91" w:rsidRDefault="00300A91" w:rsidP="00300A91">
      <w:pPr>
        <w:pStyle w:val="Heading2"/>
        <w:rPr>
          <w:lang w:val="en-CA"/>
        </w:rPr>
      </w:pPr>
      <w:r>
        <w:rPr>
          <w:lang w:val="en-CA"/>
        </w:rPr>
        <w:t xml:space="preserve">Distributions of </w:t>
      </w:r>
      <w:r w:rsidRPr="00B0117B">
        <w:rPr>
          <w:lang w:val="en-CA"/>
        </w:rPr>
        <w:t xml:space="preserve">awareness raising material on the </w:t>
      </w:r>
      <w:r>
        <w:rPr>
          <w:lang w:val="en-CA"/>
        </w:rPr>
        <w:t>o</w:t>
      </w:r>
      <w:r w:rsidRPr="00B0117B">
        <w:rPr>
          <w:lang w:val="en-CA"/>
        </w:rPr>
        <w:t>zone layer and the Montreal Protocol among</w:t>
      </w:r>
      <w:r>
        <w:rPr>
          <w:lang w:val="en-CA"/>
        </w:rPr>
        <w:t xml:space="preserve"> the</w:t>
      </w:r>
      <w:r w:rsidRPr="00B0117B">
        <w:rPr>
          <w:lang w:val="en-CA"/>
        </w:rPr>
        <w:t xml:space="preserve"> general public and RAC technicians</w:t>
      </w:r>
      <w:r>
        <w:rPr>
          <w:lang w:val="en-CA"/>
        </w:rPr>
        <w:t xml:space="preserve"> and update the relevant webpage</w:t>
      </w:r>
      <w:r w:rsidRPr="00B0117B">
        <w:rPr>
          <w:lang w:val="en-CA"/>
        </w:rPr>
        <w:t>.</w:t>
      </w:r>
    </w:p>
    <w:p w14:paraId="3A4B1B3A" w14:textId="77777777" w:rsidR="00300A91" w:rsidRPr="007973DA" w:rsidRDefault="00300A91" w:rsidP="00300A91">
      <w:pPr>
        <w:pStyle w:val="Heading2"/>
        <w:keepNext/>
        <w:keepLines/>
        <w:numPr>
          <w:ilvl w:val="0"/>
          <w:numId w:val="0"/>
        </w:numPr>
        <w:rPr>
          <w:u w:val="single"/>
          <w:lang w:val="en-CA"/>
        </w:rPr>
      </w:pPr>
      <w:r w:rsidRPr="007973DA">
        <w:rPr>
          <w:u w:val="single"/>
          <w:lang w:val="en-CA"/>
        </w:rPr>
        <w:t>Level of fund disbursement</w:t>
      </w:r>
    </w:p>
    <w:p w14:paraId="6E605962" w14:textId="77777777" w:rsidR="00300A91" w:rsidRPr="00621D13" w:rsidRDefault="00300A91" w:rsidP="00300A91">
      <w:pPr>
        <w:pStyle w:val="Heading1"/>
        <w:keepNext/>
        <w:keepLines/>
        <w:rPr>
          <w:b/>
          <w:lang w:val="en-CA"/>
        </w:rPr>
      </w:pPr>
      <w:r w:rsidRPr="002A5402">
        <w:rPr>
          <w:lang w:val="en-CA"/>
        </w:rPr>
        <w:t xml:space="preserve">As of May 2021, of the </w:t>
      </w:r>
      <w:r>
        <w:rPr>
          <w:lang w:val="en-CA"/>
        </w:rPr>
        <w:t>US $</w:t>
      </w:r>
      <w:r w:rsidRPr="002A5402">
        <w:rPr>
          <w:lang w:val="en-CA"/>
        </w:rPr>
        <w:t xml:space="preserve">1,105,157 approved so far, </w:t>
      </w:r>
      <w:r>
        <w:rPr>
          <w:lang w:val="en-CA"/>
        </w:rPr>
        <w:t>US $653,199</w:t>
      </w:r>
      <w:r w:rsidRPr="002A5402">
        <w:rPr>
          <w:lang w:val="en-CA"/>
        </w:rPr>
        <w:t xml:space="preserve"> had been disbursed as shown in </w:t>
      </w:r>
      <w:r w:rsidRPr="00621D13">
        <w:rPr>
          <w:lang w:val="en-CA"/>
        </w:rPr>
        <w:t>Table </w:t>
      </w:r>
      <w:r w:rsidR="00621D13" w:rsidRPr="00621D13">
        <w:rPr>
          <w:lang w:val="en-CA"/>
        </w:rPr>
        <w:t>13</w:t>
      </w:r>
      <w:r w:rsidRPr="00621D13">
        <w:rPr>
          <w:lang w:val="en-CA"/>
        </w:rPr>
        <w:t xml:space="preserve">. </w:t>
      </w:r>
    </w:p>
    <w:p w14:paraId="0151F23A" w14:textId="77777777" w:rsidR="00300A91" w:rsidRPr="002A5402" w:rsidRDefault="00300A91" w:rsidP="00300A91">
      <w:pPr>
        <w:pStyle w:val="Heading1"/>
        <w:numPr>
          <w:ilvl w:val="0"/>
          <w:numId w:val="0"/>
        </w:numPr>
        <w:spacing w:after="0"/>
        <w:rPr>
          <w:b/>
          <w:lang w:val="en-CA"/>
        </w:rPr>
      </w:pPr>
      <w:r w:rsidRPr="00621D13">
        <w:rPr>
          <w:b/>
          <w:lang w:val="en-CA"/>
        </w:rPr>
        <w:t>Table </w:t>
      </w:r>
      <w:r w:rsidR="00621D13" w:rsidRPr="00621D13">
        <w:rPr>
          <w:b/>
          <w:lang w:val="en-CA"/>
        </w:rPr>
        <w:t>13</w:t>
      </w:r>
      <w:r w:rsidRPr="00621D13">
        <w:rPr>
          <w:b/>
          <w:lang w:val="en-CA"/>
        </w:rPr>
        <w:t>. Financial</w:t>
      </w:r>
      <w:r w:rsidRPr="002A5402">
        <w:rPr>
          <w:b/>
          <w:lang w:val="en-CA"/>
        </w:rPr>
        <w:t xml:space="preserve"> report of stage II of the HPMP for Uruguay (</w:t>
      </w:r>
      <w:r>
        <w:rPr>
          <w:b/>
          <w:lang w:val="en-CA"/>
        </w:rPr>
        <w:t>US $</w:t>
      </w:r>
      <w:r w:rsidRPr="002A5402">
        <w:rPr>
          <w:b/>
          <w:lang w:val="en-CA"/>
        </w:rPr>
        <w:t>)</w:t>
      </w:r>
    </w:p>
    <w:tbl>
      <w:tblPr>
        <w:tblW w:w="9360" w:type="dxa"/>
        <w:tblInd w:w="-5" w:type="dxa"/>
        <w:tblLayout w:type="fixed"/>
        <w:tblLook w:val="04A0" w:firstRow="1" w:lastRow="0" w:firstColumn="1" w:lastColumn="0" w:noHBand="0" w:noVBand="1"/>
      </w:tblPr>
      <w:tblGrid>
        <w:gridCol w:w="2340"/>
        <w:gridCol w:w="2340"/>
        <w:gridCol w:w="2340"/>
        <w:gridCol w:w="2340"/>
      </w:tblGrid>
      <w:tr w:rsidR="00300A91" w:rsidRPr="00F16082" w14:paraId="2F7AFF8F" w14:textId="77777777" w:rsidTr="00C17492">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644A8" w14:textId="77777777" w:rsidR="00300A91" w:rsidRPr="00F16082" w:rsidRDefault="00300A91" w:rsidP="00C17492">
            <w:pPr>
              <w:jc w:val="left"/>
              <w:rPr>
                <w:b/>
                <w:color w:val="000000"/>
                <w:sz w:val="20"/>
                <w:szCs w:val="20"/>
                <w:lang w:val="en-CA" w:eastAsia="en-CA"/>
              </w:rPr>
            </w:pPr>
            <w:r w:rsidRPr="00F16082">
              <w:rPr>
                <w:b/>
                <w:color w:val="000000"/>
                <w:sz w:val="20"/>
                <w:szCs w:val="20"/>
                <w:lang w:val="en-CA" w:eastAsia="en-CA"/>
              </w:rPr>
              <w:t>Tranche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444B39B" w14:textId="77777777" w:rsidR="00300A91" w:rsidRPr="00F16082" w:rsidRDefault="00300A91" w:rsidP="00C17492">
            <w:pPr>
              <w:jc w:val="center"/>
              <w:rPr>
                <w:b/>
                <w:color w:val="000000"/>
                <w:sz w:val="20"/>
                <w:szCs w:val="20"/>
                <w:lang w:val="en-CA" w:eastAsia="en-CA"/>
              </w:rPr>
            </w:pPr>
            <w:r w:rsidRPr="00F16082">
              <w:rPr>
                <w:b/>
                <w:color w:val="000000"/>
                <w:sz w:val="20"/>
                <w:szCs w:val="20"/>
                <w:lang w:val="en-CA" w:eastAsia="en-CA"/>
              </w:rPr>
              <w:t>Approved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AAB06B1" w14:textId="77777777" w:rsidR="00300A91" w:rsidRPr="00F16082" w:rsidRDefault="00300A91" w:rsidP="00C17492">
            <w:pPr>
              <w:jc w:val="center"/>
              <w:rPr>
                <w:b/>
                <w:color w:val="000000"/>
                <w:sz w:val="20"/>
                <w:szCs w:val="20"/>
                <w:lang w:val="en-CA" w:eastAsia="en-CA"/>
              </w:rPr>
            </w:pPr>
            <w:r w:rsidRPr="00F16082">
              <w:rPr>
                <w:b/>
                <w:color w:val="000000"/>
                <w:sz w:val="20"/>
                <w:szCs w:val="20"/>
                <w:lang w:val="en-CA" w:eastAsia="en-CA"/>
              </w:rPr>
              <w:t>Disbursed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E2C95C9" w14:textId="77777777" w:rsidR="00300A91" w:rsidRPr="00F16082" w:rsidRDefault="00300A91" w:rsidP="00C17492">
            <w:pPr>
              <w:jc w:val="center"/>
              <w:rPr>
                <w:b/>
                <w:color w:val="000000"/>
                <w:sz w:val="20"/>
                <w:szCs w:val="20"/>
                <w:lang w:val="en-CA" w:eastAsia="en-CA"/>
              </w:rPr>
            </w:pPr>
            <w:r w:rsidRPr="00F16082">
              <w:rPr>
                <w:b/>
                <w:color w:val="000000"/>
                <w:sz w:val="20"/>
                <w:szCs w:val="20"/>
                <w:lang w:val="en-CA" w:eastAsia="en-CA"/>
              </w:rPr>
              <w:t>Disbursement rate (%)</w:t>
            </w:r>
          </w:p>
        </w:tc>
      </w:tr>
      <w:tr w:rsidR="00300A91" w:rsidRPr="00F16082" w14:paraId="64A2B984" w14:textId="77777777" w:rsidTr="00C17492">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CAAEBFD" w14:textId="77777777" w:rsidR="00300A91" w:rsidRPr="00F16082" w:rsidRDefault="00300A91" w:rsidP="00C17492">
            <w:pPr>
              <w:jc w:val="left"/>
              <w:rPr>
                <w:color w:val="000000"/>
                <w:sz w:val="20"/>
                <w:szCs w:val="20"/>
                <w:lang w:val="en-CA" w:eastAsia="en-CA"/>
              </w:rPr>
            </w:pPr>
            <w:r w:rsidRPr="00F16082">
              <w:rPr>
                <w:color w:val="000000"/>
                <w:sz w:val="20"/>
                <w:szCs w:val="20"/>
                <w:lang w:val="en-CA" w:eastAsia="en-CA"/>
              </w:rPr>
              <w:t>First</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642C16FC" w14:textId="77777777" w:rsidR="00300A91" w:rsidRPr="00F16082" w:rsidRDefault="00300A91" w:rsidP="00C17492">
            <w:pPr>
              <w:jc w:val="right"/>
              <w:rPr>
                <w:color w:val="000000"/>
                <w:sz w:val="20"/>
                <w:szCs w:val="20"/>
                <w:lang w:val="en-CA" w:eastAsia="en-CA"/>
              </w:rPr>
            </w:pPr>
            <w:r w:rsidRPr="00F16082">
              <w:rPr>
                <w:color w:val="000000"/>
                <w:sz w:val="20"/>
                <w:szCs w:val="20"/>
                <w:lang w:val="en-CA" w:eastAsia="en-CA"/>
              </w:rPr>
              <w:t>314,000</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0A7AA5BB" w14:textId="77777777" w:rsidR="00300A91" w:rsidRPr="0092031D" w:rsidRDefault="00300A91" w:rsidP="00C17492">
            <w:pPr>
              <w:jc w:val="right"/>
              <w:rPr>
                <w:color w:val="000000"/>
                <w:sz w:val="20"/>
                <w:szCs w:val="20"/>
                <w:lang w:val="en-CA" w:eastAsia="en-CA"/>
              </w:rPr>
            </w:pPr>
            <w:r w:rsidRPr="0092031D">
              <w:rPr>
                <w:color w:val="000000"/>
                <w:sz w:val="20"/>
                <w:szCs w:val="20"/>
                <w:lang w:val="en-CA" w:eastAsia="en-CA"/>
              </w:rPr>
              <w:t>314,000</w:t>
            </w:r>
          </w:p>
        </w:tc>
        <w:tc>
          <w:tcPr>
            <w:tcW w:w="2340" w:type="dxa"/>
            <w:tcBorders>
              <w:top w:val="nil"/>
              <w:left w:val="nil"/>
              <w:bottom w:val="single" w:sz="4" w:space="0" w:color="auto"/>
              <w:right w:val="single" w:sz="4" w:space="0" w:color="auto"/>
            </w:tcBorders>
            <w:shd w:val="clear" w:color="auto" w:fill="auto"/>
            <w:noWrap/>
            <w:vAlign w:val="center"/>
            <w:hideMark/>
          </w:tcPr>
          <w:p w14:paraId="1E34A4CB" w14:textId="77777777" w:rsidR="00300A91" w:rsidRPr="0092031D" w:rsidRDefault="00300A91" w:rsidP="00C17492">
            <w:pPr>
              <w:jc w:val="center"/>
              <w:rPr>
                <w:color w:val="000000"/>
                <w:sz w:val="20"/>
                <w:szCs w:val="20"/>
                <w:lang w:val="en-CA" w:eastAsia="en-CA"/>
              </w:rPr>
            </w:pPr>
            <w:r w:rsidRPr="0092031D">
              <w:rPr>
                <w:color w:val="000000"/>
                <w:sz w:val="20"/>
                <w:szCs w:val="20"/>
                <w:lang w:val="en-CA" w:eastAsia="en-CA"/>
              </w:rPr>
              <w:t>100</w:t>
            </w:r>
          </w:p>
        </w:tc>
      </w:tr>
      <w:tr w:rsidR="00300A91" w:rsidRPr="00F16082" w14:paraId="0EE5B0EB" w14:textId="77777777" w:rsidTr="00C17492">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1B3D884" w14:textId="77777777" w:rsidR="00300A91" w:rsidRPr="00F16082" w:rsidRDefault="00300A91" w:rsidP="00C17492">
            <w:pPr>
              <w:jc w:val="left"/>
              <w:rPr>
                <w:color w:val="000000"/>
                <w:sz w:val="20"/>
                <w:szCs w:val="20"/>
                <w:lang w:val="en-CA" w:eastAsia="en-CA"/>
              </w:rPr>
            </w:pPr>
            <w:r w:rsidRPr="00F16082">
              <w:rPr>
                <w:color w:val="000000"/>
                <w:sz w:val="20"/>
                <w:szCs w:val="20"/>
                <w:lang w:val="en-CA" w:eastAsia="en-CA"/>
              </w:rPr>
              <w:t>Second</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7B861871" w14:textId="77777777" w:rsidR="00300A91" w:rsidRPr="00F16082" w:rsidRDefault="00300A91" w:rsidP="00C17492">
            <w:pPr>
              <w:jc w:val="right"/>
              <w:rPr>
                <w:color w:val="000000"/>
                <w:sz w:val="20"/>
                <w:szCs w:val="20"/>
                <w:lang w:val="en-CA" w:eastAsia="en-CA"/>
              </w:rPr>
            </w:pPr>
            <w:r w:rsidRPr="00F16082">
              <w:rPr>
                <w:color w:val="000000"/>
                <w:sz w:val="20"/>
                <w:szCs w:val="20"/>
                <w:lang w:val="en-CA" w:eastAsia="en-CA"/>
              </w:rPr>
              <w:t>679,889</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626494BE" w14:textId="77777777" w:rsidR="00300A91" w:rsidRPr="0092031D" w:rsidRDefault="00300A91" w:rsidP="00C17492">
            <w:pPr>
              <w:jc w:val="right"/>
              <w:rPr>
                <w:color w:val="000000"/>
                <w:sz w:val="20"/>
                <w:szCs w:val="20"/>
                <w:lang w:val="en-CA" w:eastAsia="en-CA"/>
              </w:rPr>
            </w:pPr>
            <w:r w:rsidRPr="0092031D">
              <w:rPr>
                <w:color w:val="000000"/>
                <w:sz w:val="20"/>
                <w:szCs w:val="20"/>
                <w:lang w:val="en-CA" w:eastAsia="en-CA"/>
              </w:rPr>
              <w:t>324,862</w:t>
            </w:r>
          </w:p>
        </w:tc>
        <w:tc>
          <w:tcPr>
            <w:tcW w:w="2340" w:type="dxa"/>
            <w:tcBorders>
              <w:top w:val="nil"/>
              <w:left w:val="nil"/>
              <w:bottom w:val="single" w:sz="4" w:space="0" w:color="auto"/>
              <w:right w:val="single" w:sz="4" w:space="0" w:color="auto"/>
            </w:tcBorders>
            <w:shd w:val="clear" w:color="auto" w:fill="auto"/>
            <w:noWrap/>
            <w:vAlign w:val="center"/>
            <w:hideMark/>
          </w:tcPr>
          <w:p w14:paraId="47AB3A3A" w14:textId="77777777" w:rsidR="00300A91" w:rsidRPr="0092031D" w:rsidRDefault="00300A91" w:rsidP="00C17492">
            <w:pPr>
              <w:jc w:val="center"/>
              <w:rPr>
                <w:color w:val="000000"/>
                <w:sz w:val="20"/>
                <w:szCs w:val="20"/>
                <w:lang w:val="en-CA" w:eastAsia="en-CA"/>
              </w:rPr>
            </w:pPr>
            <w:r w:rsidRPr="0092031D">
              <w:rPr>
                <w:color w:val="000000"/>
                <w:sz w:val="20"/>
                <w:szCs w:val="20"/>
                <w:lang w:val="en-CA" w:eastAsia="en-CA"/>
              </w:rPr>
              <w:t>48</w:t>
            </w:r>
          </w:p>
        </w:tc>
      </w:tr>
      <w:tr w:rsidR="00300A91" w:rsidRPr="00F16082" w14:paraId="192F1CBC" w14:textId="77777777" w:rsidTr="00C17492">
        <w:tc>
          <w:tcPr>
            <w:tcW w:w="2340" w:type="dxa"/>
            <w:tcBorders>
              <w:top w:val="nil"/>
              <w:left w:val="single" w:sz="4" w:space="0" w:color="auto"/>
              <w:bottom w:val="single" w:sz="4" w:space="0" w:color="auto"/>
              <w:right w:val="single" w:sz="4" w:space="0" w:color="auto"/>
            </w:tcBorders>
            <w:shd w:val="clear" w:color="auto" w:fill="auto"/>
            <w:noWrap/>
            <w:vAlign w:val="bottom"/>
          </w:tcPr>
          <w:p w14:paraId="1CC0E5CA" w14:textId="77777777" w:rsidR="00300A91" w:rsidRPr="00F16082" w:rsidRDefault="00300A91" w:rsidP="00C17492">
            <w:pPr>
              <w:jc w:val="left"/>
              <w:rPr>
                <w:color w:val="000000"/>
                <w:sz w:val="20"/>
                <w:szCs w:val="20"/>
                <w:lang w:val="en-CA" w:eastAsia="en-CA"/>
              </w:rPr>
            </w:pPr>
            <w:r w:rsidRPr="00F16082">
              <w:rPr>
                <w:color w:val="000000"/>
                <w:sz w:val="20"/>
                <w:szCs w:val="20"/>
                <w:lang w:val="en-CA" w:eastAsia="en-CA"/>
              </w:rPr>
              <w:t>Third</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tcPr>
          <w:p w14:paraId="2F3C35A0" w14:textId="77777777" w:rsidR="00300A91" w:rsidRPr="00F16082" w:rsidRDefault="00300A91" w:rsidP="00C17492">
            <w:pPr>
              <w:jc w:val="right"/>
              <w:rPr>
                <w:color w:val="000000"/>
                <w:sz w:val="20"/>
                <w:szCs w:val="20"/>
                <w:lang w:val="en-CA" w:eastAsia="en-CA"/>
              </w:rPr>
            </w:pPr>
            <w:r w:rsidRPr="00F16082">
              <w:rPr>
                <w:color w:val="000000"/>
                <w:sz w:val="20"/>
                <w:szCs w:val="20"/>
                <w:lang w:val="en-CA" w:eastAsia="en-CA"/>
              </w:rPr>
              <w:t>111,268</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tcPr>
          <w:p w14:paraId="33E1FA4A" w14:textId="77777777" w:rsidR="00300A91" w:rsidRPr="0092031D" w:rsidRDefault="00300A91" w:rsidP="00C17492">
            <w:pPr>
              <w:jc w:val="right"/>
              <w:rPr>
                <w:color w:val="000000"/>
                <w:sz w:val="20"/>
                <w:szCs w:val="20"/>
                <w:lang w:val="en-CA" w:eastAsia="en-CA"/>
              </w:rPr>
            </w:pPr>
            <w:r w:rsidRPr="0092031D">
              <w:rPr>
                <w:color w:val="000000"/>
                <w:sz w:val="20"/>
                <w:szCs w:val="20"/>
                <w:lang w:val="en-CA" w:eastAsia="en-CA"/>
              </w:rPr>
              <w:t>14,337</w:t>
            </w:r>
          </w:p>
        </w:tc>
        <w:tc>
          <w:tcPr>
            <w:tcW w:w="2340" w:type="dxa"/>
            <w:tcBorders>
              <w:top w:val="nil"/>
              <w:left w:val="nil"/>
              <w:bottom w:val="single" w:sz="4" w:space="0" w:color="auto"/>
              <w:right w:val="single" w:sz="4" w:space="0" w:color="auto"/>
            </w:tcBorders>
            <w:shd w:val="clear" w:color="auto" w:fill="auto"/>
            <w:noWrap/>
            <w:vAlign w:val="center"/>
          </w:tcPr>
          <w:p w14:paraId="7F4BC770" w14:textId="77777777" w:rsidR="00300A91" w:rsidRPr="0092031D" w:rsidRDefault="00300A91" w:rsidP="00C17492">
            <w:pPr>
              <w:jc w:val="center"/>
              <w:rPr>
                <w:color w:val="000000"/>
                <w:sz w:val="20"/>
                <w:szCs w:val="20"/>
                <w:lang w:val="en-CA" w:eastAsia="en-CA"/>
              </w:rPr>
            </w:pPr>
            <w:r w:rsidRPr="0092031D">
              <w:rPr>
                <w:color w:val="000000"/>
                <w:sz w:val="20"/>
                <w:szCs w:val="20"/>
                <w:lang w:val="en-CA" w:eastAsia="en-CA"/>
              </w:rPr>
              <w:t>13</w:t>
            </w:r>
          </w:p>
        </w:tc>
      </w:tr>
      <w:tr w:rsidR="00300A91" w:rsidRPr="00F16082" w14:paraId="0F4B5D49" w14:textId="77777777" w:rsidTr="00C17492">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F6E1451" w14:textId="77777777" w:rsidR="00300A91" w:rsidRPr="00F16082" w:rsidRDefault="00300A91" w:rsidP="00C17492">
            <w:pPr>
              <w:jc w:val="left"/>
              <w:rPr>
                <w:color w:val="000000"/>
                <w:sz w:val="20"/>
                <w:szCs w:val="20"/>
                <w:lang w:val="en-CA" w:eastAsia="en-CA"/>
              </w:rPr>
            </w:pPr>
            <w:r w:rsidRPr="00F16082">
              <w:rPr>
                <w:color w:val="000000"/>
                <w:sz w:val="20"/>
                <w:szCs w:val="20"/>
                <w:lang w:val="en-CA" w:eastAsia="en-CA"/>
              </w:rPr>
              <w:t>Total</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7D0E2DDB" w14:textId="77777777" w:rsidR="00300A91" w:rsidRPr="00F16082" w:rsidRDefault="00300A91" w:rsidP="00C17492">
            <w:pPr>
              <w:jc w:val="right"/>
              <w:rPr>
                <w:color w:val="000000"/>
                <w:sz w:val="20"/>
                <w:szCs w:val="20"/>
                <w:lang w:val="en-CA" w:eastAsia="en-CA"/>
              </w:rPr>
            </w:pPr>
            <w:r w:rsidRPr="00F16082">
              <w:rPr>
                <w:sz w:val="20"/>
                <w:szCs w:val="20"/>
                <w:lang w:val="en-CA"/>
              </w:rPr>
              <w:t>1,105,157</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240220DF" w14:textId="77777777" w:rsidR="00300A91" w:rsidRPr="0092031D" w:rsidRDefault="00300A91" w:rsidP="00C17492">
            <w:pPr>
              <w:jc w:val="right"/>
              <w:rPr>
                <w:color w:val="000000"/>
                <w:sz w:val="20"/>
                <w:szCs w:val="20"/>
                <w:lang w:val="en-CA" w:eastAsia="en-CA"/>
              </w:rPr>
            </w:pPr>
            <w:r w:rsidRPr="0092031D">
              <w:rPr>
                <w:color w:val="000000"/>
                <w:sz w:val="20"/>
                <w:szCs w:val="20"/>
                <w:lang w:val="en-CA" w:eastAsia="en-CA"/>
              </w:rPr>
              <w:t>653,199</w:t>
            </w:r>
          </w:p>
        </w:tc>
        <w:tc>
          <w:tcPr>
            <w:tcW w:w="2340" w:type="dxa"/>
            <w:tcBorders>
              <w:top w:val="nil"/>
              <w:left w:val="nil"/>
              <w:bottom w:val="single" w:sz="4" w:space="0" w:color="auto"/>
              <w:right w:val="single" w:sz="4" w:space="0" w:color="auto"/>
            </w:tcBorders>
            <w:shd w:val="clear" w:color="auto" w:fill="auto"/>
            <w:noWrap/>
            <w:vAlign w:val="center"/>
            <w:hideMark/>
          </w:tcPr>
          <w:p w14:paraId="00B3DDA9" w14:textId="77777777" w:rsidR="00300A91" w:rsidRPr="0092031D" w:rsidRDefault="00300A91" w:rsidP="00C17492">
            <w:pPr>
              <w:jc w:val="center"/>
              <w:rPr>
                <w:color w:val="000000"/>
                <w:sz w:val="20"/>
                <w:szCs w:val="20"/>
                <w:lang w:val="en-CA" w:eastAsia="en-CA"/>
              </w:rPr>
            </w:pPr>
            <w:r w:rsidRPr="0092031D">
              <w:rPr>
                <w:color w:val="000000"/>
                <w:sz w:val="20"/>
                <w:szCs w:val="20"/>
                <w:lang w:val="en-CA" w:eastAsia="en-CA"/>
              </w:rPr>
              <w:t>59</w:t>
            </w:r>
          </w:p>
        </w:tc>
      </w:tr>
    </w:tbl>
    <w:p w14:paraId="59467889" w14:textId="77777777" w:rsidR="00300A91" w:rsidRDefault="00300A91" w:rsidP="00300A91">
      <w:pPr>
        <w:rPr>
          <w:lang w:val="en-CA"/>
        </w:rPr>
      </w:pPr>
    </w:p>
    <w:p w14:paraId="7F8AFBE4" w14:textId="77777777" w:rsidR="00300A91" w:rsidRDefault="00300A91" w:rsidP="00300A91">
      <w:pPr>
        <w:rPr>
          <w:u w:val="single"/>
          <w:lang w:val="en-CA"/>
        </w:rPr>
      </w:pPr>
      <w:r w:rsidRPr="00CF2D8D">
        <w:rPr>
          <w:u w:val="single"/>
          <w:lang w:val="en-CA"/>
        </w:rPr>
        <w:t>Completion of stage II</w:t>
      </w:r>
    </w:p>
    <w:p w14:paraId="11EE535D" w14:textId="77777777" w:rsidR="00300A91" w:rsidRPr="00CF2D8D" w:rsidRDefault="00300A91" w:rsidP="00300A91">
      <w:pPr>
        <w:rPr>
          <w:u w:val="single"/>
          <w:lang w:val="en-CA"/>
        </w:rPr>
      </w:pPr>
    </w:p>
    <w:p w14:paraId="7F00E23C" w14:textId="77777777" w:rsidR="00300A91" w:rsidRDefault="00300A91" w:rsidP="00300A91">
      <w:pPr>
        <w:pStyle w:val="Heading1"/>
        <w:rPr>
          <w:lang w:val="en-US"/>
        </w:rPr>
      </w:pPr>
      <w:r w:rsidRPr="004C0BC7">
        <w:rPr>
          <w:lang w:val="en-CA"/>
        </w:rPr>
        <w:t xml:space="preserve">The Government of Uruguay through UNDP has requested an extension of the </w:t>
      </w:r>
      <w:r>
        <w:rPr>
          <w:lang w:val="en-CA"/>
        </w:rPr>
        <w:t xml:space="preserve">completion date </w:t>
      </w:r>
      <w:r w:rsidRPr="004C0BC7">
        <w:rPr>
          <w:lang w:val="en-CA"/>
        </w:rPr>
        <w:t>of stage II</w:t>
      </w:r>
      <w:r>
        <w:rPr>
          <w:lang w:val="en-CA"/>
        </w:rPr>
        <w:t xml:space="preserve"> of the HPMP to December 2022 d</w:t>
      </w:r>
      <w:r w:rsidRPr="004C0BC7">
        <w:rPr>
          <w:lang w:val="en-CA"/>
        </w:rPr>
        <w:t xml:space="preserve">ue to </w:t>
      </w:r>
      <w:r>
        <w:rPr>
          <w:lang w:val="en-CA"/>
        </w:rPr>
        <w:t xml:space="preserve">delays caused by </w:t>
      </w:r>
      <w:r w:rsidRPr="004C0BC7">
        <w:rPr>
          <w:lang w:val="en-CA"/>
        </w:rPr>
        <w:t xml:space="preserve">the creation of a new Ministry of Environment with oversight of the NOU and </w:t>
      </w:r>
      <w:r>
        <w:rPr>
          <w:lang w:val="en-CA"/>
        </w:rPr>
        <w:t>by the public health measures in response to the COVID</w:t>
      </w:r>
      <w:r>
        <w:rPr>
          <w:lang w:val="en-CA"/>
        </w:rPr>
        <w:noBreakHyphen/>
        <w:t>19 pandemic</w:t>
      </w:r>
      <w:r>
        <w:rPr>
          <w:lang w:val="en-US"/>
        </w:rPr>
        <w:t>.</w:t>
      </w:r>
      <w:r w:rsidRPr="004C0BC7">
        <w:rPr>
          <w:lang w:val="en-US"/>
        </w:rPr>
        <w:t xml:space="preserve"> Technical support from international experts is a key component of the conversion project </w:t>
      </w:r>
      <w:r>
        <w:rPr>
          <w:lang w:val="en-US"/>
        </w:rPr>
        <w:t>which has not been possible during the pandemic.</w:t>
      </w:r>
    </w:p>
    <w:p w14:paraId="5FF414A0" w14:textId="77777777" w:rsidR="00300A91" w:rsidRDefault="00300A91" w:rsidP="00300A91">
      <w:pPr>
        <w:numPr>
          <w:ilvl w:val="0"/>
          <w:numId w:val="1"/>
        </w:numPr>
        <w:tabs>
          <w:tab w:val="clear" w:pos="0"/>
          <w:tab w:val="num" w:pos="710"/>
        </w:tabs>
        <w:spacing w:after="240"/>
        <w:outlineLvl w:val="0"/>
        <w:rPr>
          <w:rFonts w:eastAsia="MS Mincho"/>
          <w:lang w:val="en-US"/>
        </w:rPr>
      </w:pPr>
      <w:r>
        <w:rPr>
          <w:rFonts w:eastAsia="MS Mincho"/>
          <w:lang w:val="en-US"/>
        </w:rPr>
        <w:t xml:space="preserve">UNDP provided a detailed work plan for the remaining activities to support the request for an extension of the implementation period, including: </w:t>
      </w:r>
    </w:p>
    <w:p w14:paraId="31C82FA4" w14:textId="77777777" w:rsidR="00300A91" w:rsidRDefault="00300A91" w:rsidP="00300A91">
      <w:pPr>
        <w:pStyle w:val="Heading2"/>
        <w:rPr>
          <w:lang w:val="en-CA"/>
        </w:rPr>
      </w:pPr>
      <w:r w:rsidRPr="00BD0D94">
        <w:rPr>
          <w:lang w:val="en-CA"/>
        </w:rPr>
        <w:t xml:space="preserve">One </w:t>
      </w:r>
      <w:r>
        <w:rPr>
          <w:lang w:val="en-CA"/>
        </w:rPr>
        <w:t xml:space="preserve">training workshop for 12 customs officers on the </w:t>
      </w:r>
      <w:r w:rsidRPr="00BD0D94">
        <w:rPr>
          <w:lang w:val="en-CA"/>
        </w:rPr>
        <w:t>con</w:t>
      </w:r>
      <w:r>
        <w:rPr>
          <w:lang w:val="en-CA"/>
        </w:rPr>
        <w:t xml:space="preserve">trol the illegal trade of ODS to </w:t>
      </w:r>
      <w:r w:rsidRPr="00BD0D94">
        <w:rPr>
          <w:lang w:val="en-CA"/>
        </w:rPr>
        <w:t>strength</w:t>
      </w:r>
      <w:r>
        <w:rPr>
          <w:lang w:val="en-CA"/>
        </w:rPr>
        <w:t>en</w:t>
      </w:r>
      <w:r w:rsidRPr="00BD0D94">
        <w:rPr>
          <w:lang w:val="en-CA"/>
        </w:rPr>
        <w:t xml:space="preserve"> the capabilities of the Customs National Direction</w:t>
      </w:r>
      <w:r>
        <w:rPr>
          <w:lang w:val="en-CA"/>
        </w:rPr>
        <w:t>;</w:t>
      </w:r>
    </w:p>
    <w:p w14:paraId="67D88789" w14:textId="77777777" w:rsidR="00300A91" w:rsidRDefault="00300A91" w:rsidP="00300A91">
      <w:pPr>
        <w:pStyle w:val="Heading2"/>
        <w:rPr>
          <w:lang w:val="en-CA"/>
        </w:rPr>
      </w:pPr>
      <w:r w:rsidRPr="00BD0D94">
        <w:rPr>
          <w:lang w:val="en-CA"/>
        </w:rPr>
        <w:t xml:space="preserve">One </w:t>
      </w:r>
      <w:r>
        <w:rPr>
          <w:lang w:val="en-CA"/>
        </w:rPr>
        <w:t>training workshop on good servicing practices for 60 RAC technicians and the provision of</w:t>
      </w:r>
      <w:r w:rsidRPr="007973DA">
        <w:rPr>
          <w:lang w:val="en-CA"/>
        </w:rPr>
        <w:t xml:space="preserve"> tools </w:t>
      </w:r>
      <w:r>
        <w:rPr>
          <w:lang w:val="en-CA"/>
        </w:rPr>
        <w:t xml:space="preserve">for reducing refrigerant losses; distribution of a </w:t>
      </w:r>
      <w:r w:rsidRPr="007973DA">
        <w:rPr>
          <w:lang w:val="en-CA"/>
        </w:rPr>
        <w:t xml:space="preserve">technical </w:t>
      </w:r>
      <w:r>
        <w:rPr>
          <w:lang w:val="en-CA"/>
        </w:rPr>
        <w:t xml:space="preserve">sheet on good servicing practices for </w:t>
      </w:r>
      <w:r w:rsidRPr="007973DA">
        <w:rPr>
          <w:lang w:val="en-CA"/>
        </w:rPr>
        <w:t>all stakeholders</w:t>
      </w:r>
      <w:r>
        <w:rPr>
          <w:lang w:val="en-CA"/>
        </w:rPr>
        <w:t>;</w:t>
      </w:r>
      <w:r w:rsidRPr="007C0060">
        <w:rPr>
          <w:lang w:val="en-CA"/>
        </w:rPr>
        <w:t xml:space="preserve"> </w:t>
      </w:r>
      <w:r>
        <w:rPr>
          <w:lang w:val="en-CA"/>
        </w:rPr>
        <w:t>m</w:t>
      </w:r>
      <w:r w:rsidRPr="007973DA">
        <w:rPr>
          <w:lang w:val="en-CA"/>
        </w:rPr>
        <w:t>eetings with technical teams of supermarkets and large</w:t>
      </w:r>
      <w:r>
        <w:rPr>
          <w:lang w:val="en-CA"/>
        </w:rPr>
        <w:t xml:space="preserve"> end-users</w:t>
      </w:r>
      <w:r w:rsidRPr="007973DA">
        <w:rPr>
          <w:lang w:val="en-CA"/>
        </w:rPr>
        <w:t xml:space="preserve"> </w:t>
      </w:r>
      <w:r>
        <w:rPr>
          <w:lang w:val="en-CA"/>
        </w:rPr>
        <w:t xml:space="preserve">for training to </w:t>
      </w:r>
      <w:r w:rsidRPr="007973DA">
        <w:rPr>
          <w:lang w:val="en-CA"/>
        </w:rPr>
        <w:t>supp</w:t>
      </w:r>
      <w:r>
        <w:rPr>
          <w:lang w:val="en-CA"/>
        </w:rPr>
        <w:t xml:space="preserve">ort the implementation of good servicing practices; </w:t>
      </w:r>
    </w:p>
    <w:p w14:paraId="78D46E41" w14:textId="77777777" w:rsidR="00300A91" w:rsidRDefault="00300A91" w:rsidP="00300A91">
      <w:pPr>
        <w:pStyle w:val="Heading2"/>
      </w:pPr>
      <w:r>
        <w:rPr>
          <w:lang w:val="en-CA"/>
        </w:rPr>
        <w:t>One</w:t>
      </w:r>
      <w:r w:rsidRPr="00611343">
        <w:rPr>
          <w:lang w:val="en-CA"/>
        </w:rPr>
        <w:t xml:space="preserve"> specialized workshop</w:t>
      </w:r>
      <w:r>
        <w:rPr>
          <w:lang w:val="en-CA"/>
        </w:rPr>
        <w:t xml:space="preserve"> o</w:t>
      </w:r>
      <w:r w:rsidRPr="00611343">
        <w:rPr>
          <w:lang w:val="en-CA"/>
        </w:rPr>
        <w:t>n the use of CO</w:t>
      </w:r>
      <w:r w:rsidRPr="00611343">
        <w:rPr>
          <w:vertAlign w:val="subscript"/>
          <w:lang w:val="en-CA"/>
        </w:rPr>
        <w:t>2</w:t>
      </w:r>
      <w:r w:rsidRPr="00611343">
        <w:rPr>
          <w:lang w:val="en-CA"/>
        </w:rPr>
        <w:t xml:space="preserve"> and ammonia as a refrigerant in commercial and/or industrial applications, and the use of R-290 and HFC-32 in residential AC equipment; </w:t>
      </w:r>
      <w:r w:rsidRPr="00257374">
        <w:rPr>
          <w:lang w:val="en-CA"/>
        </w:rPr>
        <w:t xml:space="preserve">two field visits to identify potential </w:t>
      </w:r>
      <w:r w:rsidRPr="00257374">
        <w:t>projects that may use low-GWP alternatives and to selected service shops to monitor and promote alternatives and good refrigeration practices among technicians</w:t>
      </w:r>
      <w:r>
        <w:t xml:space="preserve">; </w:t>
      </w:r>
    </w:p>
    <w:p w14:paraId="0896AB81" w14:textId="77777777" w:rsidR="00300A91" w:rsidRDefault="00300A91" w:rsidP="003B5FC0">
      <w:pPr>
        <w:pStyle w:val="Heading2"/>
        <w:keepNext/>
        <w:widowControl/>
        <w:rPr>
          <w:lang w:val="en-CA"/>
        </w:rPr>
      </w:pPr>
      <w:r w:rsidRPr="007C0060">
        <w:rPr>
          <w:lang w:val="en-CA"/>
        </w:rPr>
        <w:lastRenderedPageBreak/>
        <w:t xml:space="preserve">Procurement of </w:t>
      </w:r>
      <w:r>
        <w:rPr>
          <w:lang w:val="en-CA"/>
        </w:rPr>
        <w:t>low-GWP alternative-based AC unit for pilot demonstration on</w:t>
      </w:r>
      <w:r w:rsidRPr="00275B6C">
        <w:rPr>
          <w:lang w:val="en-CA"/>
        </w:rPr>
        <w:t xml:space="preserve"> </w:t>
      </w:r>
      <w:r w:rsidRPr="00611343">
        <w:rPr>
          <w:lang w:val="en-CA"/>
        </w:rPr>
        <w:t>the use of CO</w:t>
      </w:r>
      <w:r w:rsidRPr="00611343">
        <w:rPr>
          <w:vertAlign w:val="subscript"/>
          <w:lang w:val="en-CA"/>
        </w:rPr>
        <w:t>2</w:t>
      </w:r>
      <w:r w:rsidRPr="00611343">
        <w:rPr>
          <w:lang w:val="en-CA"/>
        </w:rPr>
        <w:t>-based systems for cold rooms in supermarket</w:t>
      </w:r>
      <w:r>
        <w:rPr>
          <w:lang w:val="en-CA"/>
        </w:rPr>
        <w:t>s</w:t>
      </w:r>
      <w:r w:rsidRPr="00611343">
        <w:rPr>
          <w:lang w:val="en-CA"/>
        </w:rPr>
        <w:t xml:space="preserve"> and the food industry</w:t>
      </w:r>
      <w:r>
        <w:rPr>
          <w:lang w:val="en-CA"/>
        </w:rPr>
        <w:t>;</w:t>
      </w:r>
      <w:r w:rsidRPr="00275B6C">
        <w:rPr>
          <w:lang w:val="en-CA"/>
        </w:rPr>
        <w:t xml:space="preserve"> </w:t>
      </w:r>
      <w:r w:rsidRPr="00257374">
        <w:rPr>
          <w:lang w:val="en-CA"/>
        </w:rPr>
        <w:t xml:space="preserve">and finalizing criteria and procedures for sustainable public procurement </w:t>
      </w:r>
      <w:r w:rsidRPr="00611343">
        <w:rPr>
          <w:lang w:val="en-CA"/>
        </w:rPr>
        <w:t>of non-ODS, low-GWP, high energy efficiency technologies</w:t>
      </w:r>
      <w:r>
        <w:rPr>
          <w:lang w:val="en-CA"/>
        </w:rPr>
        <w:t>;</w:t>
      </w:r>
    </w:p>
    <w:p w14:paraId="173E18F5" w14:textId="77777777" w:rsidR="00300A91" w:rsidRDefault="00300A91" w:rsidP="00300A91">
      <w:pPr>
        <w:pStyle w:val="Heading2"/>
        <w:rPr>
          <w:lang w:val="en-CA"/>
        </w:rPr>
      </w:pPr>
      <w:r>
        <w:rPr>
          <w:lang w:val="en-CA"/>
        </w:rPr>
        <w:t xml:space="preserve">Design, print and disseminate information </w:t>
      </w:r>
      <w:r w:rsidRPr="00275B6C">
        <w:rPr>
          <w:lang w:val="en-CA"/>
        </w:rPr>
        <w:t>to promote</w:t>
      </w:r>
      <w:r>
        <w:rPr>
          <w:lang w:val="en-CA"/>
        </w:rPr>
        <w:t xml:space="preserve"> the phase-</w:t>
      </w:r>
      <w:r w:rsidRPr="00275B6C">
        <w:rPr>
          <w:lang w:val="en-CA"/>
        </w:rPr>
        <w:t>out of HCFC</w:t>
      </w:r>
      <w:r>
        <w:rPr>
          <w:lang w:val="en-CA"/>
        </w:rPr>
        <w:t xml:space="preserve">; and </w:t>
      </w:r>
    </w:p>
    <w:p w14:paraId="44501F1C" w14:textId="77777777" w:rsidR="00300A91" w:rsidRPr="00275B6C" w:rsidRDefault="00300A91" w:rsidP="00300A91">
      <w:pPr>
        <w:pStyle w:val="Heading2"/>
        <w:rPr>
          <w:lang w:val="en-CA"/>
        </w:rPr>
      </w:pPr>
      <w:r>
        <w:rPr>
          <w:lang w:val="en-CA"/>
        </w:rPr>
        <w:t>Continue implementation and monitoring activities of the NOU including one meeting with stakeholders and the preparation of reports.</w:t>
      </w:r>
    </w:p>
    <w:p w14:paraId="50C6402D" w14:textId="77777777" w:rsidR="00300A91" w:rsidRDefault="00300A91" w:rsidP="00300A91">
      <w:pPr>
        <w:rPr>
          <w:i/>
          <w:lang w:val="en-CA"/>
        </w:rPr>
      </w:pPr>
      <w:r>
        <w:rPr>
          <w:b/>
        </w:rPr>
        <w:t>Secretariat’s comments</w:t>
      </w:r>
      <w:r w:rsidRPr="00423010">
        <w:rPr>
          <w:i/>
          <w:lang w:val="en-CA"/>
        </w:rPr>
        <w:t xml:space="preserve"> </w:t>
      </w:r>
    </w:p>
    <w:p w14:paraId="6098D15E" w14:textId="77777777" w:rsidR="00300A91" w:rsidRDefault="00300A91" w:rsidP="00300A91">
      <w:pPr>
        <w:rPr>
          <w:i/>
          <w:lang w:val="en-CA"/>
        </w:rPr>
      </w:pPr>
    </w:p>
    <w:p w14:paraId="61A4E6E0" w14:textId="77777777" w:rsidR="00300A91" w:rsidRPr="00E41D67" w:rsidRDefault="00300A91" w:rsidP="00300A91">
      <w:pPr>
        <w:pStyle w:val="Heading1"/>
        <w:keepLines/>
        <w:rPr>
          <w:lang w:val="en-CA"/>
        </w:rPr>
      </w:pPr>
      <w:r w:rsidRPr="0093232E">
        <w:rPr>
          <w:lang w:val="en-CA"/>
        </w:rPr>
        <w:t>It was noted that while progress had been made</w:t>
      </w:r>
      <w:r>
        <w:rPr>
          <w:lang w:val="en-CA"/>
        </w:rPr>
        <w:t>,</w:t>
      </w:r>
      <w:r w:rsidRPr="0093232E">
        <w:rPr>
          <w:lang w:val="en-CA"/>
        </w:rPr>
        <w:t xml:space="preserve"> constraints imposed by the pandemic </w:t>
      </w:r>
      <w:r>
        <w:rPr>
          <w:lang w:val="en-CA"/>
        </w:rPr>
        <w:t xml:space="preserve">and the </w:t>
      </w:r>
      <w:r w:rsidRPr="002018BB">
        <w:rPr>
          <w:lang w:val="en-CA"/>
        </w:rPr>
        <w:t xml:space="preserve">limited availability </w:t>
      </w:r>
      <w:r>
        <w:rPr>
          <w:lang w:val="en-CA"/>
        </w:rPr>
        <w:t xml:space="preserve">of low-GWP alternatives </w:t>
      </w:r>
      <w:r w:rsidRPr="0093232E">
        <w:rPr>
          <w:lang w:val="en-CA"/>
        </w:rPr>
        <w:t>ha</w:t>
      </w:r>
      <w:r>
        <w:rPr>
          <w:lang w:val="en-CA"/>
        </w:rPr>
        <w:t>ve</w:t>
      </w:r>
      <w:r w:rsidRPr="0093232E">
        <w:rPr>
          <w:lang w:val="en-CA"/>
        </w:rPr>
        <w:t xml:space="preserve"> </w:t>
      </w:r>
      <w:r>
        <w:rPr>
          <w:lang w:val="en-CA"/>
        </w:rPr>
        <w:t xml:space="preserve">slowed down </w:t>
      </w:r>
      <w:r w:rsidRPr="0093232E">
        <w:rPr>
          <w:lang w:val="en-CA"/>
        </w:rPr>
        <w:t>the completion of the conversion of the SMEs</w:t>
      </w:r>
      <w:r>
        <w:rPr>
          <w:lang w:val="en-CA"/>
        </w:rPr>
        <w:t>;</w:t>
      </w:r>
      <w:r w:rsidRPr="0093232E">
        <w:rPr>
          <w:lang w:val="en-CA"/>
        </w:rPr>
        <w:t xml:space="preserve"> </w:t>
      </w:r>
      <w:r>
        <w:rPr>
          <w:lang w:val="en-CA"/>
        </w:rPr>
        <w:t>w</w:t>
      </w:r>
      <w:r w:rsidRPr="0093232E">
        <w:rPr>
          <w:lang w:val="en-CA"/>
        </w:rPr>
        <w:t xml:space="preserve">hile UNDP had </w:t>
      </w:r>
      <w:r w:rsidRPr="00285C22">
        <w:rPr>
          <w:lang w:val="en-CA"/>
        </w:rPr>
        <w:t xml:space="preserve">committed </w:t>
      </w:r>
      <w:r>
        <w:rPr>
          <w:lang w:val="en-CA"/>
        </w:rPr>
        <w:t>to complete</w:t>
      </w:r>
      <w:r w:rsidRPr="00285C22">
        <w:rPr>
          <w:lang w:val="en-CA"/>
        </w:rPr>
        <w:t xml:space="preserve"> the</w:t>
      </w:r>
      <w:r>
        <w:rPr>
          <w:lang w:val="en-CA"/>
        </w:rPr>
        <w:t xml:space="preserve"> conversion</w:t>
      </w:r>
      <w:r w:rsidRPr="00285C22">
        <w:rPr>
          <w:lang w:val="en-CA"/>
        </w:rPr>
        <w:t xml:space="preserve"> by June 2021, these </w:t>
      </w:r>
      <w:r>
        <w:rPr>
          <w:lang w:val="en-CA"/>
        </w:rPr>
        <w:t xml:space="preserve">constraints </w:t>
      </w:r>
      <w:r w:rsidRPr="00285C22">
        <w:rPr>
          <w:lang w:val="en-CA"/>
        </w:rPr>
        <w:t xml:space="preserve">provide </w:t>
      </w:r>
      <w:r>
        <w:rPr>
          <w:lang w:val="en-CA"/>
        </w:rPr>
        <w:t>the</w:t>
      </w:r>
      <w:r w:rsidRPr="00285C22">
        <w:rPr>
          <w:lang w:val="en-CA"/>
        </w:rPr>
        <w:t xml:space="preserve"> basis for which stage II of the HPMP is requested to be extended until December 2022.</w:t>
      </w:r>
      <w:r>
        <w:rPr>
          <w:lang w:val="en-CA"/>
        </w:rPr>
        <w:t xml:space="preserve"> </w:t>
      </w:r>
      <w:r w:rsidRPr="00285C22">
        <w:rPr>
          <w:lang w:val="en-CA"/>
        </w:rPr>
        <w:t xml:space="preserve">The Secretariat further noted that </w:t>
      </w:r>
      <w:r>
        <w:rPr>
          <w:lang w:val="en-CA"/>
        </w:rPr>
        <w:t xml:space="preserve">UNDP and the Government are </w:t>
      </w:r>
      <w:r w:rsidRPr="00E41D67">
        <w:rPr>
          <w:lang w:val="en-CA"/>
        </w:rPr>
        <w:t xml:space="preserve">working closely with importers and distributors to ensure that HFO systems would be </w:t>
      </w:r>
      <w:r>
        <w:rPr>
          <w:lang w:val="en-CA"/>
        </w:rPr>
        <w:t xml:space="preserve">commercially available </w:t>
      </w:r>
      <w:r w:rsidRPr="00E41D67">
        <w:rPr>
          <w:lang w:val="en-CA"/>
        </w:rPr>
        <w:t xml:space="preserve">to SMEs. Once the availability of HFO in local markets is resolved, technical assistance will be provided to the SMEs to introduce the HFO-based </w:t>
      </w:r>
      <w:r w:rsidRPr="0092031D">
        <w:rPr>
          <w:lang w:val="en-CA"/>
        </w:rPr>
        <w:t xml:space="preserve">systems or </w:t>
      </w:r>
      <w:r w:rsidRPr="0092031D">
        <w:rPr>
          <w:lang w:val="en-US"/>
        </w:rPr>
        <w:t>other low-GWP alternatives (such as water-based systems)</w:t>
      </w:r>
      <w:r w:rsidRPr="0092031D">
        <w:rPr>
          <w:lang w:val="en-CA"/>
        </w:rPr>
        <w:t>. In acknowledging their efforts, the</w:t>
      </w:r>
      <w:r w:rsidRPr="00E41D67">
        <w:rPr>
          <w:lang w:val="en-CA"/>
        </w:rPr>
        <w:t xml:space="preserve"> Secretariat considers it unlikely that the activities will be completed by the end of December 2021; the extension of one additional year would allow the Government and UNDP to complete the remaining activities for stage</w:t>
      </w:r>
      <w:r>
        <w:rPr>
          <w:lang w:val="en-CA"/>
        </w:rPr>
        <w:t xml:space="preserve"> </w:t>
      </w:r>
      <w:r w:rsidRPr="00E41D67">
        <w:rPr>
          <w:lang w:val="en-CA"/>
        </w:rPr>
        <w:t>II.</w:t>
      </w:r>
    </w:p>
    <w:p w14:paraId="0E3A1684" w14:textId="77777777" w:rsidR="00300A91" w:rsidRPr="00285C22" w:rsidRDefault="00300A91" w:rsidP="00300A91">
      <w:pPr>
        <w:pStyle w:val="Heading1"/>
        <w:keepLines/>
        <w:rPr>
          <w:lang w:val="en-CA"/>
        </w:rPr>
      </w:pPr>
      <w:r w:rsidRPr="00285C22">
        <w:rPr>
          <w:lang w:val="en-CA"/>
        </w:rPr>
        <w:t xml:space="preserve">UNDP </w:t>
      </w:r>
      <w:r>
        <w:rPr>
          <w:lang w:val="en-CA"/>
        </w:rPr>
        <w:t xml:space="preserve">noted that the </w:t>
      </w:r>
      <w:r w:rsidRPr="00285C22">
        <w:rPr>
          <w:lang w:val="en-CA"/>
        </w:rPr>
        <w:t xml:space="preserve">ban on the import of pure HCFC-141b </w:t>
      </w:r>
      <w:r>
        <w:rPr>
          <w:lang w:val="en-CA"/>
        </w:rPr>
        <w:t xml:space="preserve">has been in place since </w:t>
      </w:r>
      <w:r w:rsidRPr="00285C22">
        <w:rPr>
          <w:lang w:val="en-CA"/>
        </w:rPr>
        <w:t>1</w:t>
      </w:r>
      <w:r>
        <w:rPr>
          <w:lang w:val="en-CA"/>
        </w:rPr>
        <w:t xml:space="preserve"> </w:t>
      </w:r>
      <w:r w:rsidRPr="00285C22">
        <w:rPr>
          <w:lang w:val="en-CA"/>
        </w:rPr>
        <w:t>January 2021 as originally planned</w:t>
      </w:r>
      <w:r>
        <w:rPr>
          <w:lang w:val="en-CA"/>
        </w:rPr>
        <w:t>;</w:t>
      </w:r>
      <w:r w:rsidRPr="00285C22">
        <w:rPr>
          <w:lang w:val="en-CA"/>
        </w:rPr>
        <w:t xml:space="preserve"> however due to the delayed conversions </w:t>
      </w:r>
      <w:r>
        <w:rPr>
          <w:lang w:val="en-CA"/>
        </w:rPr>
        <w:t xml:space="preserve">of the foam </w:t>
      </w:r>
      <w:r w:rsidRPr="00285C22">
        <w:rPr>
          <w:lang w:val="en-CA"/>
        </w:rPr>
        <w:t>SMEs</w:t>
      </w:r>
      <w:r>
        <w:rPr>
          <w:lang w:val="en-CA"/>
        </w:rPr>
        <w:t>,</w:t>
      </w:r>
      <w:r w:rsidRPr="00285C22">
        <w:rPr>
          <w:lang w:val="en-CA"/>
        </w:rPr>
        <w:t xml:space="preserve"> the ban </w:t>
      </w:r>
      <w:r>
        <w:rPr>
          <w:lang w:val="en-CA"/>
        </w:rPr>
        <w:t xml:space="preserve">on </w:t>
      </w:r>
      <w:r w:rsidRPr="00285C22">
        <w:rPr>
          <w:lang w:val="en-CA"/>
        </w:rPr>
        <w:t xml:space="preserve">HCFC-141b contained in imported pre-blended polyols will be effective only from 1 January 2023. </w:t>
      </w:r>
    </w:p>
    <w:p w14:paraId="657E7215" w14:textId="77777777" w:rsidR="00300A91" w:rsidRPr="00FF62E9" w:rsidRDefault="00300A91" w:rsidP="00300A91">
      <w:pPr>
        <w:pStyle w:val="Heading1"/>
        <w:keepNext/>
        <w:keepLines/>
        <w:numPr>
          <w:ilvl w:val="0"/>
          <w:numId w:val="0"/>
        </w:numPr>
        <w:jc w:val="left"/>
        <w:rPr>
          <w:b/>
        </w:rPr>
      </w:pPr>
      <w:r w:rsidRPr="00FF62E9">
        <w:rPr>
          <w:b/>
        </w:rPr>
        <w:t>Recommendation</w:t>
      </w:r>
    </w:p>
    <w:p w14:paraId="3EEB8F4F" w14:textId="77777777" w:rsidR="00300A91" w:rsidRDefault="00300A91" w:rsidP="00300A91">
      <w:pPr>
        <w:pStyle w:val="Heading1"/>
        <w:keepNext/>
        <w:keepLines/>
        <w:jc w:val="left"/>
      </w:pPr>
      <w:r>
        <w:t>The Executive Committee may wish:</w:t>
      </w:r>
    </w:p>
    <w:p w14:paraId="6DE590F4" w14:textId="77777777" w:rsidR="00300A91" w:rsidRPr="00A77369" w:rsidRDefault="00300A91" w:rsidP="00300A91">
      <w:pPr>
        <w:pStyle w:val="Heading2"/>
        <w:rPr>
          <w:lang w:val="en-CA"/>
        </w:rPr>
      </w:pPr>
      <w:r>
        <w:rPr>
          <w:lang w:val="en-CA"/>
        </w:rPr>
        <w:t>To note</w:t>
      </w:r>
      <w:r w:rsidRPr="00A77369">
        <w:rPr>
          <w:lang w:val="en-CA"/>
        </w:rPr>
        <w:t xml:space="preserve"> the progress report on the implementation of the</w:t>
      </w:r>
      <w:r>
        <w:rPr>
          <w:lang w:val="en-CA"/>
        </w:rPr>
        <w:t xml:space="preserve"> third (and final)</w:t>
      </w:r>
      <w:r w:rsidRPr="00A77369">
        <w:rPr>
          <w:lang w:val="en-CA"/>
        </w:rPr>
        <w:t xml:space="preserve"> tranche of stage I</w:t>
      </w:r>
      <w:r>
        <w:rPr>
          <w:lang w:val="en-CA"/>
        </w:rPr>
        <w:t>I</w:t>
      </w:r>
      <w:r w:rsidRPr="00A77369">
        <w:rPr>
          <w:lang w:val="en-CA"/>
        </w:rPr>
        <w:t xml:space="preserve"> of the HCFC phase-out management plan of (HPMP) </w:t>
      </w:r>
      <w:r>
        <w:rPr>
          <w:lang w:val="en-CA"/>
        </w:rPr>
        <w:t>for Uruguay and the report on the implementation of the foam sector conversion project;</w:t>
      </w:r>
    </w:p>
    <w:p w14:paraId="1AF6D6E1" w14:textId="77777777" w:rsidR="00300A91" w:rsidRDefault="00300A91" w:rsidP="00300A91">
      <w:pPr>
        <w:pStyle w:val="Heading2"/>
        <w:rPr>
          <w:lang w:val="en-CA"/>
        </w:rPr>
      </w:pPr>
      <w:r>
        <w:rPr>
          <w:lang w:val="en-CA"/>
        </w:rPr>
        <w:t>To a</w:t>
      </w:r>
      <w:r w:rsidRPr="00A77369">
        <w:rPr>
          <w:lang w:val="en-CA"/>
        </w:rPr>
        <w:t>pprove, on an exceptional basis</w:t>
      </w:r>
      <w:r>
        <w:rPr>
          <w:lang w:val="en-CA"/>
        </w:rPr>
        <w:t xml:space="preserve">, </w:t>
      </w:r>
      <w:r w:rsidRPr="00A77369">
        <w:rPr>
          <w:lang w:val="en-CA"/>
        </w:rPr>
        <w:t>the extension of the date of completion of stage</w:t>
      </w:r>
      <w:r>
        <w:rPr>
          <w:lang w:val="en-CA"/>
        </w:rPr>
        <w:t xml:space="preserve"> II of the HPMP for Uruguay </w:t>
      </w:r>
      <w:r w:rsidRPr="00A77369">
        <w:rPr>
          <w:lang w:val="en-CA"/>
        </w:rPr>
        <w:t>to 31 December 2022</w:t>
      </w:r>
      <w:r>
        <w:rPr>
          <w:lang w:val="en-CA"/>
        </w:rPr>
        <w:t>, given the delay in implementing phase</w:t>
      </w:r>
      <w:r>
        <w:rPr>
          <w:lang w:val="en-CA"/>
        </w:rPr>
        <w:noBreakHyphen/>
        <w:t>out activities due to the COVID-19 pandemic</w:t>
      </w:r>
      <w:r w:rsidRPr="00A77369">
        <w:rPr>
          <w:lang w:val="en-CA"/>
        </w:rPr>
        <w:t xml:space="preserve">, and noting that no further extension of project implementation would be requested; </w:t>
      </w:r>
    </w:p>
    <w:p w14:paraId="0A9E417F" w14:textId="77777777" w:rsidR="00300A91" w:rsidRPr="00FE47BC" w:rsidRDefault="00300A91" w:rsidP="00300A91">
      <w:pPr>
        <w:pStyle w:val="Heading2"/>
        <w:rPr>
          <w:lang w:val="en-CA"/>
        </w:rPr>
      </w:pPr>
      <w:r>
        <w:rPr>
          <w:lang w:val="en-CA"/>
        </w:rPr>
        <w:t>To note that the ban on imports of HCFC-141b contained in imported pre-blended polyols would be effective from 1 January 2023;</w:t>
      </w:r>
    </w:p>
    <w:p w14:paraId="74434ABF" w14:textId="77777777" w:rsidR="00300A91" w:rsidRPr="00A77369" w:rsidRDefault="00300A91" w:rsidP="00300A91">
      <w:pPr>
        <w:pStyle w:val="Heading2"/>
        <w:rPr>
          <w:lang w:val="en-CA"/>
        </w:rPr>
      </w:pPr>
      <w:r>
        <w:rPr>
          <w:lang w:val="en-CA"/>
        </w:rPr>
        <w:t xml:space="preserve">To request </w:t>
      </w:r>
      <w:r w:rsidRPr="00C07CBE">
        <w:rPr>
          <w:lang w:val="en-CA"/>
        </w:rPr>
        <w:t xml:space="preserve">UNDP </w:t>
      </w:r>
      <w:r>
        <w:rPr>
          <w:lang w:val="en-CA"/>
        </w:rPr>
        <w:t xml:space="preserve">to continue to </w:t>
      </w:r>
      <w:r w:rsidRPr="00C07CBE">
        <w:rPr>
          <w:lang w:val="en-CA"/>
        </w:rPr>
        <w:t>report</w:t>
      </w:r>
      <w:r>
        <w:rPr>
          <w:lang w:val="en-CA"/>
        </w:rPr>
        <w:t xml:space="preserve"> to </w:t>
      </w:r>
      <w:r w:rsidRPr="00C07CBE">
        <w:rPr>
          <w:lang w:val="en-CA"/>
        </w:rPr>
        <w:t xml:space="preserve">the </w:t>
      </w:r>
      <w:r>
        <w:rPr>
          <w:lang w:val="en-CA"/>
        </w:rPr>
        <w:t>89</w:t>
      </w:r>
      <w:r w:rsidRPr="00C22F1F">
        <w:rPr>
          <w:vertAlign w:val="superscript"/>
          <w:lang w:val="en-CA"/>
        </w:rPr>
        <w:t>th</w:t>
      </w:r>
      <w:r>
        <w:rPr>
          <w:lang w:val="en-CA"/>
        </w:rPr>
        <w:t xml:space="preserve"> </w:t>
      </w:r>
      <w:r w:rsidRPr="00C07CBE">
        <w:rPr>
          <w:lang w:val="en-CA"/>
        </w:rPr>
        <w:t xml:space="preserve">meeting on the progress in implementation of the conversion of the foam enterprises and the availability of HFO/HFO-based </w:t>
      </w:r>
      <w:r>
        <w:rPr>
          <w:lang w:val="en-CA"/>
        </w:rPr>
        <w:t>polyurethane</w:t>
      </w:r>
      <w:r w:rsidRPr="00C07CBE">
        <w:rPr>
          <w:lang w:val="en-CA"/>
        </w:rPr>
        <w:t xml:space="preserve"> systems and their associated components</w:t>
      </w:r>
      <w:r>
        <w:rPr>
          <w:lang w:val="en-CA"/>
        </w:rPr>
        <w:t>; and</w:t>
      </w:r>
    </w:p>
    <w:p w14:paraId="549788A2" w14:textId="77777777" w:rsidR="00300A91" w:rsidRPr="00155A38" w:rsidRDefault="00300A91" w:rsidP="00300A91">
      <w:pPr>
        <w:pStyle w:val="Heading2"/>
        <w:rPr>
          <w:lang w:val="en-CA"/>
        </w:rPr>
      </w:pPr>
      <w:r>
        <w:rPr>
          <w:lang w:val="en-CA"/>
        </w:rPr>
        <w:t>To r</w:t>
      </w:r>
      <w:r w:rsidRPr="00A77369">
        <w:rPr>
          <w:lang w:val="en-CA"/>
        </w:rPr>
        <w:t xml:space="preserve">equest the </w:t>
      </w:r>
      <w:r>
        <w:rPr>
          <w:lang w:val="en-CA"/>
        </w:rPr>
        <w:t>Government of Uruguay and UNDP</w:t>
      </w:r>
      <w:r w:rsidRPr="00A77369">
        <w:rPr>
          <w:lang w:val="en-CA"/>
        </w:rPr>
        <w:t xml:space="preserve"> to submit a progress report on the implementation of the work programme associated with the final tranche and the project completion report to the first meeting of the Executive Committee in 2023</w:t>
      </w:r>
      <w:r>
        <w:rPr>
          <w:lang w:val="en-CA"/>
        </w:rPr>
        <w:t>.</w:t>
      </w:r>
    </w:p>
    <w:p w14:paraId="54618372" w14:textId="77777777" w:rsidR="009C7B62" w:rsidRPr="00B747D4" w:rsidRDefault="00B747D4" w:rsidP="003B5FC0">
      <w:pPr>
        <w:keepNext/>
        <w:spacing w:after="240"/>
        <w:rPr>
          <w:b/>
        </w:rPr>
      </w:pPr>
      <w:r w:rsidRPr="00B747D4">
        <w:rPr>
          <w:b/>
        </w:rPr>
        <w:lastRenderedPageBreak/>
        <w:t>Change of implementing agencies</w:t>
      </w:r>
    </w:p>
    <w:p w14:paraId="3BFC8907" w14:textId="77777777" w:rsidR="008C5479" w:rsidRDefault="008C5479" w:rsidP="008C5479">
      <w:pPr>
        <w:rPr>
          <w:u w:val="single"/>
        </w:rPr>
      </w:pPr>
      <w:r>
        <w:rPr>
          <w:u w:val="single"/>
        </w:rPr>
        <w:t>Ecuador: C</w:t>
      </w:r>
      <w:r w:rsidRPr="00456EDD">
        <w:rPr>
          <w:u w:val="single"/>
        </w:rPr>
        <w:t xml:space="preserve">hange of implementing agency </w:t>
      </w:r>
      <w:r>
        <w:rPr>
          <w:u w:val="single"/>
        </w:rPr>
        <w:t xml:space="preserve">for the </w:t>
      </w:r>
      <w:r w:rsidRPr="00456EDD">
        <w:rPr>
          <w:u w:val="single"/>
        </w:rPr>
        <w:t>institutional strengthening and</w:t>
      </w:r>
      <w:r>
        <w:rPr>
          <w:u w:val="single"/>
        </w:rPr>
        <w:t xml:space="preserve"> the HCFC phase</w:t>
      </w:r>
      <w:r>
        <w:rPr>
          <w:u w:val="single"/>
        </w:rPr>
        <w:noBreakHyphen/>
      </w:r>
      <w:r w:rsidRPr="00456EDD">
        <w:rPr>
          <w:u w:val="single"/>
        </w:rPr>
        <w:t xml:space="preserve">out management plan </w:t>
      </w:r>
      <w:r>
        <w:rPr>
          <w:u w:val="single"/>
        </w:rPr>
        <w:t>(stages I and II)</w:t>
      </w:r>
      <w:r w:rsidRPr="006D5A7C">
        <w:t xml:space="preserve"> (UNIDO and UNEP)</w:t>
      </w:r>
    </w:p>
    <w:p w14:paraId="62219880" w14:textId="77777777" w:rsidR="008C5479" w:rsidRPr="00456EDD" w:rsidRDefault="008C5479" w:rsidP="008C5479">
      <w:pPr>
        <w:rPr>
          <w:u w:val="single"/>
        </w:rPr>
      </w:pPr>
    </w:p>
    <w:p w14:paraId="3DE440DD" w14:textId="77777777" w:rsidR="008C5479" w:rsidRPr="00456EDD" w:rsidRDefault="008C5479" w:rsidP="008C5479">
      <w:pPr>
        <w:rPr>
          <w:b/>
        </w:rPr>
      </w:pPr>
      <w:r w:rsidRPr="00456EDD">
        <w:rPr>
          <w:b/>
        </w:rPr>
        <w:t>Background</w:t>
      </w:r>
    </w:p>
    <w:p w14:paraId="78993A5E" w14:textId="77777777" w:rsidR="008C5479" w:rsidRDefault="008C5479" w:rsidP="008C5479"/>
    <w:p w14:paraId="2961316B" w14:textId="77777777" w:rsidR="008C5479" w:rsidRDefault="008C5479" w:rsidP="008C5479">
      <w:pPr>
        <w:pStyle w:val="Heading1"/>
      </w:pPr>
      <w:r>
        <w:t>Subsequent to the finalization of documentation for the intersessional approval process established for the 86</w:t>
      </w:r>
      <w:r w:rsidRPr="00B440FA">
        <w:rPr>
          <w:vertAlign w:val="superscript"/>
        </w:rPr>
        <w:t>th</w:t>
      </w:r>
      <w:r>
        <w:t xml:space="preserve"> meeting (IAP-86), the Sec</w:t>
      </w:r>
      <w:bookmarkStart w:id="3" w:name="_GoBack"/>
      <w:bookmarkEnd w:id="3"/>
      <w:r>
        <w:t xml:space="preserve">retariat received in November 2020 a request from the Government of Ecuador to transfer </w:t>
      </w:r>
      <w:r w:rsidRPr="00BB2CC7">
        <w:t>from UNEP</w:t>
      </w:r>
      <w:r>
        <w:t xml:space="preserve"> to UNIDO </w:t>
      </w:r>
      <w:r w:rsidRPr="00254AE3">
        <w:t xml:space="preserve">phase VII of the </w:t>
      </w:r>
      <w:r>
        <w:t>institutional strengthening (</w:t>
      </w:r>
      <w:r w:rsidRPr="00254AE3">
        <w:t>IS</w:t>
      </w:r>
      <w:r>
        <w:t xml:space="preserve">) project, </w:t>
      </w:r>
      <w:r w:rsidRPr="00254AE3">
        <w:t>the fifth</w:t>
      </w:r>
      <w:r>
        <w:t> </w:t>
      </w:r>
      <w:r w:rsidRPr="00254AE3">
        <w:t xml:space="preserve">tranche of stage I of the HPMP, </w:t>
      </w:r>
      <w:r>
        <w:t>and all</w:t>
      </w:r>
      <w:r w:rsidRPr="00254AE3">
        <w:t xml:space="preserve"> phase-out activities included in stage II of the HPMP initially planned for implementation by UNEP</w:t>
      </w:r>
      <w:r>
        <w:t>.</w:t>
      </w:r>
    </w:p>
    <w:p w14:paraId="10B1A6B9" w14:textId="77777777" w:rsidR="008C5479" w:rsidRDefault="008C5479" w:rsidP="008C5479">
      <w:pPr>
        <w:rPr>
          <w:b/>
        </w:rPr>
      </w:pPr>
      <w:r>
        <w:rPr>
          <w:b/>
        </w:rPr>
        <w:t>Secretariat’s c</w:t>
      </w:r>
      <w:r w:rsidRPr="00991AC1">
        <w:rPr>
          <w:b/>
        </w:rPr>
        <w:t>omments</w:t>
      </w:r>
    </w:p>
    <w:p w14:paraId="0A55BA50" w14:textId="77777777" w:rsidR="008C5479" w:rsidRDefault="008C5479" w:rsidP="008C5479">
      <w:pPr>
        <w:rPr>
          <w:b/>
        </w:rPr>
      </w:pPr>
    </w:p>
    <w:p w14:paraId="15D93DE5" w14:textId="77777777" w:rsidR="008C5479" w:rsidRPr="004471DA" w:rsidRDefault="008C5479" w:rsidP="008C5479">
      <w:pPr>
        <w:pStyle w:val="Heading1"/>
        <w:widowControl w:val="0"/>
      </w:pPr>
      <w:r>
        <w:t xml:space="preserve">Noting that the request was received too late for consideration at the IAP-86 (i.e., after the </w:t>
      </w:r>
      <w:r w:rsidRPr="004471DA">
        <w:t>finalization of documents for the 86</w:t>
      </w:r>
      <w:r w:rsidRPr="004471DA">
        <w:rPr>
          <w:vertAlign w:val="superscript"/>
        </w:rPr>
        <w:t>th</w:t>
      </w:r>
      <w:r w:rsidRPr="004471DA">
        <w:t xml:space="preserve"> meeting and during the IAP-86), the Secretariat informed the Government of Ecuador that the issue would be submitted to the 87</w:t>
      </w:r>
      <w:r w:rsidRPr="004471DA">
        <w:rPr>
          <w:vertAlign w:val="superscript"/>
        </w:rPr>
        <w:t>th</w:t>
      </w:r>
      <w:r w:rsidRPr="004471DA">
        <w:t xml:space="preserve"> meeting. Accordingly, the request from the Government of Ecuador is presented for the Executive Committee’s consideration.</w:t>
      </w:r>
    </w:p>
    <w:p w14:paraId="4A2841D3" w14:textId="77777777" w:rsidR="008C5479" w:rsidRPr="004471DA" w:rsidRDefault="008C5479" w:rsidP="008C5479">
      <w:pPr>
        <w:pStyle w:val="Heading1"/>
        <w:widowControl w:val="0"/>
      </w:pPr>
      <w:r w:rsidRPr="004471DA">
        <w:t xml:space="preserve">The Secretariat notes that the request for the change of implementing agency from UNEP to UNIDO for the IS project and the removal of UNEP as cooperating agency in the HPMP (stages I and II) was presented upon consultation and agreement by the relevant parties. UNEP confirmed that the funding approved for the relevant projects was not disbursed. These funds will be returned to the Multilateral Fund to be approved for transfer to UNIDO. In addition, the funds approved in principle for future tranches of stage II of the HPMP will be transferred from UNEP to UNIDO in the Agreement between the Government and the Executive Committee. The level of approved funds to be returned by UNEP and funds approved in principle to be transferred to UNIDO are presented in Table </w:t>
      </w:r>
      <w:r w:rsidR="00621D13">
        <w:t>14</w:t>
      </w:r>
      <w:r w:rsidRPr="004471DA">
        <w:t>.</w:t>
      </w:r>
    </w:p>
    <w:p w14:paraId="05720802" w14:textId="77777777" w:rsidR="008C5479" w:rsidRPr="00975ECD" w:rsidRDefault="008C5479" w:rsidP="008C5479">
      <w:pPr>
        <w:pStyle w:val="Heading1"/>
        <w:widowControl w:val="0"/>
        <w:numPr>
          <w:ilvl w:val="0"/>
          <w:numId w:val="0"/>
        </w:numPr>
        <w:spacing w:after="0"/>
        <w:rPr>
          <w:b/>
        </w:rPr>
      </w:pPr>
      <w:r w:rsidRPr="00975ECD">
        <w:rPr>
          <w:b/>
        </w:rPr>
        <w:t xml:space="preserve">Table </w:t>
      </w:r>
      <w:r w:rsidR="00621D13">
        <w:rPr>
          <w:b/>
        </w:rPr>
        <w:t>14</w:t>
      </w:r>
      <w:r w:rsidRPr="00975ECD">
        <w:rPr>
          <w:b/>
        </w:rPr>
        <w:t>. Balance of funds to be returned by UNEP from projects in Ecuador at the 87</w:t>
      </w:r>
      <w:r w:rsidRPr="00975ECD">
        <w:rPr>
          <w:b/>
          <w:vertAlign w:val="superscript"/>
        </w:rPr>
        <w:t>th</w:t>
      </w:r>
      <w:r w:rsidRPr="00975ECD">
        <w:rPr>
          <w:b/>
        </w:rPr>
        <w:t xml:space="preserve"> meeting</w:t>
      </w:r>
    </w:p>
    <w:tbl>
      <w:tblPr>
        <w:tblStyle w:val="TableGrid"/>
        <w:tblW w:w="0" w:type="auto"/>
        <w:tblLayout w:type="fixed"/>
        <w:tblLook w:val="04A0" w:firstRow="1" w:lastRow="0" w:firstColumn="1" w:lastColumn="0" w:noHBand="0" w:noVBand="1"/>
      </w:tblPr>
      <w:tblGrid>
        <w:gridCol w:w="3775"/>
        <w:gridCol w:w="1029"/>
        <w:gridCol w:w="893"/>
        <w:gridCol w:w="866"/>
        <w:gridCol w:w="1028"/>
        <w:gridCol w:w="893"/>
        <w:gridCol w:w="866"/>
      </w:tblGrid>
      <w:tr w:rsidR="008C5479" w:rsidRPr="000E3318" w14:paraId="0EC63527" w14:textId="77777777" w:rsidTr="00AD7294">
        <w:trPr>
          <w:trHeight w:val="116"/>
        </w:trPr>
        <w:tc>
          <w:tcPr>
            <w:tcW w:w="3775" w:type="dxa"/>
          </w:tcPr>
          <w:p w14:paraId="02A9EBBA" w14:textId="77777777" w:rsidR="008C5479" w:rsidRPr="000E3318" w:rsidRDefault="008C5479" w:rsidP="00057085">
            <w:pPr>
              <w:pStyle w:val="Heading1"/>
              <w:widowControl w:val="0"/>
              <w:numPr>
                <w:ilvl w:val="0"/>
                <w:numId w:val="0"/>
              </w:numPr>
              <w:spacing w:after="0"/>
              <w:outlineLvl w:val="0"/>
              <w:rPr>
                <w:b/>
                <w:sz w:val="20"/>
                <w:szCs w:val="20"/>
              </w:rPr>
            </w:pPr>
          </w:p>
        </w:tc>
        <w:tc>
          <w:tcPr>
            <w:tcW w:w="2788" w:type="dxa"/>
            <w:gridSpan w:val="3"/>
          </w:tcPr>
          <w:p w14:paraId="4BC4FE7C"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Funds to be returned by UNEP (US</w:t>
            </w:r>
            <w:r>
              <w:rPr>
                <w:b/>
                <w:sz w:val="20"/>
                <w:szCs w:val="20"/>
              </w:rPr>
              <w:t> </w:t>
            </w:r>
            <w:r w:rsidRPr="000E3318">
              <w:rPr>
                <w:b/>
                <w:sz w:val="20"/>
                <w:szCs w:val="20"/>
              </w:rPr>
              <w:t>$)</w:t>
            </w:r>
          </w:p>
        </w:tc>
        <w:tc>
          <w:tcPr>
            <w:tcW w:w="2787" w:type="dxa"/>
            <w:gridSpan w:val="3"/>
          </w:tcPr>
          <w:p w14:paraId="5F63B290"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 xml:space="preserve">Funds to be approved </w:t>
            </w:r>
            <w:r>
              <w:rPr>
                <w:b/>
                <w:sz w:val="20"/>
                <w:szCs w:val="20"/>
              </w:rPr>
              <w:t>for</w:t>
            </w:r>
            <w:r w:rsidRPr="000E3318">
              <w:rPr>
                <w:b/>
                <w:sz w:val="20"/>
                <w:szCs w:val="20"/>
              </w:rPr>
              <w:t xml:space="preserve"> UNIDO (US</w:t>
            </w:r>
            <w:r>
              <w:rPr>
                <w:b/>
                <w:sz w:val="20"/>
                <w:szCs w:val="20"/>
              </w:rPr>
              <w:t> </w:t>
            </w:r>
            <w:r w:rsidRPr="000E3318">
              <w:rPr>
                <w:b/>
                <w:sz w:val="20"/>
                <w:szCs w:val="20"/>
              </w:rPr>
              <w:t>$)</w:t>
            </w:r>
          </w:p>
        </w:tc>
      </w:tr>
      <w:tr w:rsidR="008C5479" w:rsidRPr="000E3318" w14:paraId="4FFF40B6" w14:textId="77777777" w:rsidTr="00AD7294">
        <w:trPr>
          <w:trHeight w:val="116"/>
        </w:trPr>
        <w:tc>
          <w:tcPr>
            <w:tcW w:w="3775" w:type="dxa"/>
          </w:tcPr>
          <w:p w14:paraId="64F1CFCA" w14:textId="77777777" w:rsidR="008C5479" w:rsidRPr="000E3318" w:rsidRDefault="008C5479" w:rsidP="00057085">
            <w:pPr>
              <w:pStyle w:val="Heading1"/>
              <w:widowControl w:val="0"/>
              <w:numPr>
                <w:ilvl w:val="0"/>
                <w:numId w:val="0"/>
              </w:numPr>
              <w:spacing w:after="0"/>
              <w:outlineLvl w:val="0"/>
              <w:rPr>
                <w:b/>
                <w:sz w:val="20"/>
                <w:szCs w:val="20"/>
              </w:rPr>
            </w:pPr>
            <w:r w:rsidRPr="000E3318">
              <w:rPr>
                <w:b/>
                <w:sz w:val="20"/>
                <w:szCs w:val="20"/>
              </w:rPr>
              <w:t>Project (code)</w:t>
            </w:r>
          </w:p>
        </w:tc>
        <w:tc>
          <w:tcPr>
            <w:tcW w:w="1029" w:type="dxa"/>
          </w:tcPr>
          <w:p w14:paraId="2BBD622F"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A</w:t>
            </w:r>
            <w:r>
              <w:rPr>
                <w:b/>
                <w:sz w:val="20"/>
                <w:szCs w:val="20"/>
              </w:rPr>
              <w:t>pproval</w:t>
            </w:r>
          </w:p>
        </w:tc>
        <w:tc>
          <w:tcPr>
            <w:tcW w:w="893" w:type="dxa"/>
          </w:tcPr>
          <w:p w14:paraId="1B6C6AD6"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Agency support cost</w:t>
            </w:r>
            <w:r>
              <w:rPr>
                <w:b/>
                <w:sz w:val="20"/>
                <w:szCs w:val="20"/>
              </w:rPr>
              <w:t>s</w:t>
            </w:r>
            <w:r w:rsidRPr="000E3318">
              <w:rPr>
                <w:b/>
                <w:sz w:val="20"/>
                <w:szCs w:val="20"/>
              </w:rPr>
              <w:t xml:space="preserve"> </w:t>
            </w:r>
          </w:p>
        </w:tc>
        <w:tc>
          <w:tcPr>
            <w:tcW w:w="866" w:type="dxa"/>
          </w:tcPr>
          <w:p w14:paraId="294B4B57"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Total</w:t>
            </w:r>
          </w:p>
        </w:tc>
        <w:tc>
          <w:tcPr>
            <w:tcW w:w="1028" w:type="dxa"/>
          </w:tcPr>
          <w:p w14:paraId="489619E7" w14:textId="77777777" w:rsidR="008C5479" w:rsidRPr="000E3318" w:rsidRDefault="008C5479" w:rsidP="00057085">
            <w:pPr>
              <w:pStyle w:val="Heading1"/>
              <w:widowControl w:val="0"/>
              <w:numPr>
                <w:ilvl w:val="0"/>
                <w:numId w:val="0"/>
              </w:numPr>
              <w:spacing w:after="0"/>
              <w:jc w:val="center"/>
              <w:outlineLvl w:val="0"/>
              <w:rPr>
                <w:b/>
                <w:sz w:val="20"/>
                <w:szCs w:val="20"/>
              </w:rPr>
            </w:pPr>
            <w:r>
              <w:rPr>
                <w:b/>
                <w:sz w:val="20"/>
                <w:szCs w:val="20"/>
              </w:rPr>
              <w:t>Approval</w:t>
            </w:r>
          </w:p>
        </w:tc>
        <w:tc>
          <w:tcPr>
            <w:tcW w:w="893" w:type="dxa"/>
          </w:tcPr>
          <w:p w14:paraId="416C8FD4"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Agency support cost</w:t>
            </w:r>
            <w:r>
              <w:rPr>
                <w:b/>
                <w:sz w:val="20"/>
                <w:szCs w:val="20"/>
              </w:rPr>
              <w:t>s</w:t>
            </w:r>
          </w:p>
        </w:tc>
        <w:tc>
          <w:tcPr>
            <w:tcW w:w="866" w:type="dxa"/>
          </w:tcPr>
          <w:p w14:paraId="7CD69AD8" w14:textId="77777777" w:rsidR="008C5479" w:rsidRPr="000E3318" w:rsidRDefault="008C5479" w:rsidP="00057085">
            <w:pPr>
              <w:pStyle w:val="Heading1"/>
              <w:widowControl w:val="0"/>
              <w:numPr>
                <w:ilvl w:val="0"/>
                <w:numId w:val="0"/>
              </w:numPr>
              <w:spacing w:after="0"/>
              <w:jc w:val="center"/>
              <w:outlineLvl w:val="0"/>
              <w:rPr>
                <w:b/>
                <w:sz w:val="20"/>
                <w:szCs w:val="20"/>
              </w:rPr>
            </w:pPr>
            <w:r w:rsidRPr="000E3318">
              <w:rPr>
                <w:b/>
                <w:sz w:val="20"/>
                <w:szCs w:val="20"/>
              </w:rPr>
              <w:t>Total</w:t>
            </w:r>
          </w:p>
        </w:tc>
      </w:tr>
      <w:tr w:rsidR="008C5479" w:rsidRPr="000E3318" w14:paraId="60EE9F06" w14:textId="77777777" w:rsidTr="00AD7294">
        <w:tc>
          <w:tcPr>
            <w:tcW w:w="3775" w:type="dxa"/>
          </w:tcPr>
          <w:p w14:paraId="0E6263DB" w14:textId="77777777" w:rsidR="008C5479" w:rsidRPr="000E3318" w:rsidRDefault="008C5479" w:rsidP="00057085">
            <w:pPr>
              <w:pStyle w:val="Heading1"/>
              <w:widowControl w:val="0"/>
              <w:numPr>
                <w:ilvl w:val="0"/>
                <w:numId w:val="0"/>
              </w:numPr>
              <w:spacing w:after="0"/>
              <w:outlineLvl w:val="0"/>
              <w:rPr>
                <w:sz w:val="20"/>
                <w:szCs w:val="20"/>
              </w:rPr>
            </w:pPr>
            <w:r w:rsidRPr="000E3318">
              <w:rPr>
                <w:sz w:val="20"/>
                <w:szCs w:val="20"/>
              </w:rPr>
              <w:t>IS - phase VII (ECU/SEV/83/INS/71)</w:t>
            </w:r>
          </w:p>
        </w:tc>
        <w:tc>
          <w:tcPr>
            <w:tcW w:w="1029" w:type="dxa"/>
          </w:tcPr>
          <w:p w14:paraId="6F9D84F3" w14:textId="77777777" w:rsidR="008C5479" w:rsidRPr="000E3318" w:rsidRDefault="008C5479" w:rsidP="00057085">
            <w:pPr>
              <w:pStyle w:val="Heading1"/>
              <w:widowControl w:val="0"/>
              <w:numPr>
                <w:ilvl w:val="0"/>
                <w:numId w:val="0"/>
              </w:numPr>
              <w:spacing w:after="0"/>
              <w:jc w:val="right"/>
              <w:outlineLvl w:val="0"/>
              <w:rPr>
                <w:sz w:val="20"/>
                <w:szCs w:val="20"/>
              </w:rPr>
            </w:pPr>
            <w:r w:rsidRPr="000E3318">
              <w:rPr>
                <w:sz w:val="20"/>
                <w:szCs w:val="20"/>
              </w:rPr>
              <w:t>226,305</w:t>
            </w:r>
          </w:p>
        </w:tc>
        <w:tc>
          <w:tcPr>
            <w:tcW w:w="893" w:type="dxa"/>
          </w:tcPr>
          <w:p w14:paraId="0902478E" w14:textId="77777777" w:rsidR="008C5479" w:rsidRPr="000E3318" w:rsidRDefault="008C5479" w:rsidP="00057085">
            <w:pPr>
              <w:pStyle w:val="Heading1"/>
              <w:widowControl w:val="0"/>
              <w:numPr>
                <w:ilvl w:val="0"/>
                <w:numId w:val="0"/>
              </w:numPr>
              <w:spacing w:after="0"/>
              <w:jc w:val="right"/>
              <w:outlineLvl w:val="0"/>
              <w:rPr>
                <w:sz w:val="20"/>
                <w:szCs w:val="20"/>
              </w:rPr>
            </w:pPr>
            <w:r w:rsidRPr="000E3318">
              <w:rPr>
                <w:sz w:val="20"/>
                <w:szCs w:val="20"/>
              </w:rPr>
              <w:t>0</w:t>
            </w:r>
          </w:p>
        </w:tc>
        <w:tc>
          <w:tcPr>
            <w:tcW w:w="866" w:type="dxa"/>
          </w:tcPr>
          <w:p w14:paraId="377FCE01" w14:textId="77777777" w:rsidR="008C5479" w:rsidRPr="000E3318" w:rsidRDefault="008C5479" w:rsidP="00057085">
            <w:pPr>
              <w:pStyle w:val="Heading1"/>
              <w:widowControl w:val="0"/>
              <w:numPr>
                <w:ilvl w:val="0"/>
                <w:numId w:val="0"/>
              </w:numPr>
              <w:spacing w:after="0"/>
              <w:jc w:val="right"/>
              <w:outlineLvl w:val="0"/>
              <w:rPr>
                <w:sz w:val="20"/>
                <w:szCs w:val="20"/>
              </w:rPr>
            </w:pPr>
            <w:r>
              <w:rPr>
                <w:sz w:val="20"/>
                <w:szCs w:val="20"/>
              </w:rPr>
              <w:t>226,305</w:t>
            </w:r>
          </w:p>
        </w:tc>
        <w:tc>
          <w:tcPr>
            <w:tcW w:w="1028" w:type="dxa"/>
          </w:tcPr>
          <w:p w14:paraId="3D0ED7C7" w14:textId="77777777" w:rsidR="008C5479" w:rsidRPr="000E3318" w:rsidRDefault="008C5479" w:rsidP="00057085">
            <w:pPr>
              <w:pStyle w:val="Heading1"/>
              <w:widowControl w:val="0"/>
              <w:numPr>
                <w:ilvl w:val="0"/>
                <w:numId w:val="0"/>
              </w:numPr>
              <w:spacing w:after="0"/>
              <w:jc w:val="right"/>
              <w:outlineLvl w:val="0"/>
              <w:rPr>
                <w:sz w:val="20"/>
                <w:szCs w:val="20"/>
              </w:rPr>
            </w:pPr>
            <w:r w:rsidRPr="000E3318">
              <w:rPr>
                <w:sz w:val="20"/>
                <w:szCs w:val="20"/>
              </w:rPr>
              <w:t>226,305</w:t>
            </w:r>
          </w:p>
        </w:tc>
        <w:tc>
          <w:tcPr>
            <w:tcW w:w="893" w:type="dxa"/>
          </w:tcPr>
          <w:p w14:paraId="7D78B7D8" w14:textId="77777777" w:rsidR="008C5479" w:rsidRPr="000E3318" w:rsidRDefault="008C5479" w:rsidP="00057085">
            <w:pPr>
              <w:pStyle w:val="Heading1"/>
              <w:widowControl w:val="0"/>
              <w:numPr>
                <w:ilvl w:val="0"/>
                <w:numId w:val="0"/>
              </w:numPr>
              <w:spacing w:after="0"/>
              <w:jc w:val="right"/>
              <w:outlineLvl w:val="0"/>
              <w:rPr>
                <w:sz w:val="20"/>
                <w:szCs w:val="20"/>
              </w:rPr>
            </w:pPr>
            <w:r>
              <w:rPr>
                <w:sz w:val="20"/>
                <w:szCs w:val="20"/>
              </w:rPr>
              <w:t>15,841</w:t>
            </w:r>
          </w:p>
        </w:tc>
        <w:tc>
          <w:tcPr>
            <w:tcW w:w="866" w:type="dxa"/>
          </w:tcPr>
          <w:p w14:paraId="1B31CF69" w14:textId="77777777" w:rsidR="008C5479" w:rsidRPr="000E3318" w:rsidRDefault="008C5479" w:rsidP="00057085">
            <w:pPr>
              <w:pStyle w:val="Heading1"/>
              <w:widowControl w:val="0"/>
              <w:numPr>
                <w:ilvl w:val="0"/>
                <w:numId w:val="0"/>
              </w:numPr>
              <w:spacing w:after="0"/>
              <w:jc w:val="right"/>
              <w:outlineLvl w:val="0"/>
              <w:rPr>
                <w:sz w:val="20"/>
                <w:szCs w:val="20"/>
              </w:rPr>
            </w:pPr>
            <w:r>
              <w:rPr>
                <w:sz w:val="20"/>
                <w:szCs w:val="20"/>
              </w:rPr>
              <w:t>242,146</w:t>
            </w:r>
          </w:p>
        </w:tc>
      </w:tr>
      <w:tr w:rsidR="008C5479" w:rsidRPr="004471DA" w14:paraId="5510CD7E" w14:textId="77777777" w:rsidTr="00AD7294">
        <w:tc>
          <w:tcPr>
            <w:tcW w:w="3775" w:type="dxa"/>
          </w:tcPr>
          <w:p w14:paraId="3D5785A4" w14:textId="77777777" w:rsidR="008C5479" w:rsidRPr="004471DA" w:rsidRDefault="008C5479" w:rsidP="00057085">
            <w:pPr>
              <w:pStyle w:val="Heading1"/>
              <w:widowControl w:val="0"/>
              <w:numPr>
                <w:ilvl w:val="0"/>
                <w:numId w:val="0"/>
              </w:numPr>
              <w:spacing w:after="0"/>
              <w:outlineLvl w:val="0"/>
              <w:rPr>
                <w:sz w:val="20"/>
                <w:szCs w:val="20"/>
              </w:rPr>
            </w:pPr>
            <w:r w:rsidRPr="004471DA">
              <w:rPr>
                <w:sz w:val="20"/>
                <w:szCs w:val="20"/>
              </w:rPr>
              <w:t xml:space="preserve">Stage I of the HPMP - fifth tranche </w:t>
            </w:r>
          </w:p>
          <w:p w14:paraId="61AEC3F6" w14:textId="77777777" w:rsidR="008C5479" w:rsidRPr="004471DA" w:rsidRDefault="008C5479" w:rsidP="00057085">
            <w:pPr>
              <w:pStyle w:val="Heading1"/>
              <w:widowControl w:val="0"/>
              <w:numPr>
                <w:ilvl w:val="0"/>
                <w:numId w:val="0"/>
              </w:numPr>
              <w:spacing w:after="0"/>
              <w:outlineLvl w:val="0"/>
              <w:rPr>
                <w:sz w:val="20"/>
                <w:szCs w:val="20"/>
              </w:rPr>
            </w:pPr>
            <w:r w:rsidRPr="004471DA">
              <w:rPr>
                <w:sz w:val="20"/>
                <w:szCs w:val="20"/>
              </w:rPr>
              <w:t>(ECU/PHA/85/TAS/73)</w:t>
            </w:r>
          </w:p>
        </w:tc>
        <w:tc>
          <w:tcPr>
            <w:tcW w:w="1029" w:type="dxa"/>
          </w:tcPr>
          <w:p w14:paraId="08A096FA"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10,000</w:t>
            </w:r>
          </w:p>
        </w:tc>
        <w:tc>
          <w:tcPr>
            <w:tcW w:w="893" w:type="dxa"/>
          </w:tcPr>
          <w:p w14:paraId="13CCA9CC"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1,300</w:t>
            </w:r>
          </w:p>
        </w:tc>
        <w:tc>
          <w:tcPr>
            <w:tcW w:w="866" w:type="dxa"/>
          </w:tcPr>
          <w:p w14:paraId="2D9ABAB2"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11,300</w:t>
            </w:r>
          </w:p>
        </w:tc>
        <w:tc>
          <w:tcPr>
            <w:tcW w:w="1028" w:type="dxa"/>
          </w:tcPr>
          <w:p w14:paraId="23F9125C"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10,000</w:t>
            </w:r>
          </w:p>
        </w:tc>
        <w:tc>
          <w:tcPr>
            <w:tcW w:w="893" w:type="dxa"/>
          </w:tcPr>
          <w:p w14:paraId="25422924"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700</w:t>
            </w:r>
          </w:p>
        </w:tc>
        <w:tc>
          <w:tcPr>
            <w:tcW w:w="866" w:type="dxa"/>
          </w:tcPr>
          <w:p w14:paraId="76311C1F"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10,700</w:t>
            </w:r>
          </w:p>
        </w:tc>
      </w:tr>
      <w:tr w:rsidR="008C5479" w:rsidRPr="004471DA" w14:paraId="5566B6DD" w14:textId="77777777" w:rsidTr="00AD7294">
        <w:tc>
          <w:tcPr>
            <w:tcW w:w="3775" w:type="dxa"/>
          </w:tcPr>
          <w:p w14:paraId="00A83AE9" w14:textId="77777777" w:rsidR="008C5479" w:rsidRPr="004471DA" w:rsidRDefault="008C5479" w:rsidP="00057085">
            <w:pPr>
              <w:pStyle w:val="Heading1"/>
              <w:widowControl w:val="0"/>
              <w:numPr>
                <w:ilvl w:val="0"/>
                <w:numId w:val="0"/>
              </w:numPr>
              <w:spacing w:after="0"/>
              <w:outlineLvl w:val="0"/>
              <w:rPr>
                <w:sz w:val="20"/>
                <w:szCs w:val="20"/>
              </w:rPr>
            </w:pPr>
            <w:r w:rsidRPr="004471DA">
              <w:rPr>
                <w:sz w:val="20"/>
                <w:szCs w:val="20"/>
              </w:rPr>
              <w:t>Stage II of the HPMP - first tranche</w:t>
            </w:r>
          </w:p>
          <w:p w14:paraId="50E8B1D8" w14:textId="77777777" w:rsidR="008C5479" w:rsidRPr="004471DA" w:rsidRDefault="008C5479" w:rsidP="00057085">
            <w:pPr>
              <w:pStyle w:val="Heading1"/>
              <w:widowControl w:val="0"/>
              <w:numPr>
                <w:ilvl w:val="0"/>
                <w:numId w:val="0"/>
              </w:numPr>
              <w:spacing w:after="0"/>
              <w:outlineLvl w:val="0"/>
              <w:rPr>
                <w:sz w:val="20"/>
                <w:szCs w:val="20"/>
              </w:rPr>
            </w:pPr>
            <w:r w:rsidRPr="004471DA">
              <w:rPr>
                <w:sz w:val="20"/>
                <w:szCs w:val="20"/>
              </w:rPr>
              <w:t>(ECU/TAS/86/TAS/74)</w:t>
            </w:r>
          </w:p>
        </w:tc>
        <w:tc>
          <w:tcPr>
            <w:tcW w:w="1029" w:type="dxa"/>
          </w:tcPr>
          <w:p w14:paraId="09FB83F7"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24,000</w:t>
            </w:r>
          </w:p>
        </w:tc>
        <w:tc>
          <w:tcPr>
            <w:tcW w:w="893" w:type="dxa"/>
          </w:tcPr>
          <w:p w14:paraId="1102472B"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 xml:space="preserve">3,120 </w:t>
            </w:r>
          </w:p>
        </w:tc>
        <w:tc>
          <w:tcPr>
            <w:tcW w:w="866" w:type="dxa"/>
          </w:tcPr>
          <w:p w14:paraId="1F70E516"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27,120</w:t>
            </w:r>
          </w:p>
        </w:tc>
        <w:tc>
          <w:tcPr>
            <w:tcW w:w="1028" w:type="dxa"/>
          </w:tcPr>
          <w:p w14:paraId="491133C4"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24,000</w:t>
            </w:r>
          </w:p>
        </w:tc>
        <w:tc>
          <w:tcPr>
            <w:tcW w:w="893" w:type="dxa"/>
          </w:tcPr>
          <w:p w14:paraId="33FBB794"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1,680</w:t>
            </w:r>
          </w:p>
        </w:tc>
        <w:tc>
          <w:tcPr>
            <w:tcW w:w="866" w:type="dxa"/>
          </w:tcPr>
          <w:p w14:paraId="5ABE6648"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25,680</w:t>
            </w:r>
          </w:p>
        </w:tc>
      </w:tr>
      <w:tr w:rsidR="008C5479" w:rsidRPr="004471DA" w14:paraId="446B99FA" w14:textId="77777777" w:rsidTr="00AD7294">
        <w:tc>
          <w:tcPr>
            <w:tcW w:w="3775" w:type="dxa"/>
          </w:tcPr>
          <w:p w14:paraId="60822CE7" w14:textId="77777777" w:rsidR="008C5479" w:rsidRPr="004471DA" w:rsidRDefault="008C5479" w:rsidP="00057085">
            <w:pPr>
              <w:pStyle w:val="Heading1"/>
              <w:widowControl w:val="0"/>
              <w:numPr>
                <w:ilvl w:val="0"/>
                <w:numId w:val="0"/>
              </w:numPr>
              <w:spacing w:after="0"/>
              <w:outlineLvl w:val="0"/>
              <w:rPr>
                <w:sz w:val="20"/>
                <w:szCs w:val="20"/>
              </w:rPr>
            </w:pPr>
            <w:r w:rsidRPr="004471DA">
              <w:rPr>
                <w:sz w:val="20"/>
                <w:szCs w:val="20"/>
              </w:rPr>
              <w:t>Funds approved in principle for the second, third and fourth tranche of stage II of the HPMP</w:t>
            </w:r>
          </w:p>
        </w:tc>
        <w:tc>
          <w:tcPr>
            <w:tcW w:w="1029" w:type="dxa"/>
          </w:tcPr>
          <w:p w14:paraId="7D0173FA"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*71,000</w:t>
            </w:r>
          </w:p>
        </w:tc>
        <w:tc>
          <w:tcPr>
            <w:tcW w:w="893" w:type="dxa"/>
          </w:tcPr>
          <w:p w14:paraId="3BCB4AC3"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*9,230</w:t>
            </w:r>
          </w:p>
        </w:tc>
        <w:tc>
          <w:tcPr>
            <w:tcW w:w="866" w:type="dxa"/>
          </w:tcPr>
          <w:p w14:paraId="00FFE7F2"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80,230</w:t>
            </w:r>
          </w:p>
        </w:tc>
        <w:tc>
          <w:tcPr>
            <w:tcW w:w="1028" w:type="dxa"/>
          </w:tcPr>
          <w:p w14:paraId="7471DEDE"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71,000</w:t>
            </w:r>
          </w:p>
        </w:tc>
        <w:tc>
          <w:tcPr>
            <w:tcW w:w="893" w:type="dxa"/>
          </w:tcPr>
          <w:p w14:paraId="4F7FCE14"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4,970</w:t>
            </w:r>
          </w:p>
        </w:tc>
        <w:tc>
          <w:tcPr>
            <w:tcW w:w="866" w:type="dxa"/>
          </w:tcPr>
          <w:p w14:paraId="7511BC24" w14:textId="77777777" w:rsidR="008C5479" w:rsidRPr="004471DA" w:rsidRDefault="008C5479" w:rsidP="00057085">
            <w:pPr>
              <w:pStyle w:val="Heading1"/>
              <w:widowControl w:val="0"/>
              <w:numPr>
                <w:ilvl w:val="0"/>
                <w:numId w:val="0"/>
              </w:numPr>
              <w:spacing w:after="0"/>
              <w:jc w:val="right"/>
              <w:outlineLvl w:val="0"/>
              <w:rPr>
                <w:sz w:val="20"/>
                <w:szCs w:val="20"/>
              </w:rPr>
            </w:pPr>
            <w:r w:rsidRPr="004471DA">
              <w:rPr>
                <w:sz w:val="20"/>
                <w:szCs w:val="20"/>
              </w:rPr>
              <w:t>75,970</w:t>
            </w:r>
          </w:p>
        </w:tc>
      </w:tr>
      <w:tr w:rsidR="008C5479" w:rsidRPr="004471DA" w14:paraId="25535D65" w14:textId="77777777" w:rsidTr="00AD7294">
        <w:tc>
          <w:tcPr>
            <w:tcW w:w="3775" w:type="dxa"/>
          </w:tcPr>
          <w:p w14:paraId="6EFEF10C" w14:textId="77777777" w:rsidR="008C5479" w:rsidRPr="004471DA" w:rsidRDefault="008C5479" w:rsidP="00057085">
            <w:pPr>
              <w:pStyle w:val="Heading1"/>
              <w:widowControl w:val="0"/>
              <w:numPr>
                <w:ilvl w:val="0"/>
                <w:numId w:val="0"/>
              </w:numPr>
              <w:spacing w:after="0"/>
              <w:outlineLvl w:val="0"/>
              <w:rPr>
                <w:b/>
                <w:sz w:val="20"/>
                <w:szCs w:val="20"/>
              </w:rPr>
            </w:pPr>
            <w:r w:rsidRPr="004471DA">
              <w:rPr>
                <w:b/>
                <w:sz w:val="20"/>
                <w:szCs w:val="20"/>
              </w:rPr>
              <w:t>Total</w:t>
            </w:r>
          </w:p>
        </w:tc>
        <w:tc>
          <w:tcPr>
            <w:tcW w:w="1029" w:type="dxa"/>
          </w:tcPr>
          <w:p w14:paraId="45724269" w14:textId="77777777" w:rsidR="008C5479" w:rsidRPr="004471DA" w:rsidRDefault="008C5479" w:rsidP="00057085">
            <w:pPr>
              <w:pStyle w:val="Heading1"/>
              <w:widowControl w:val="0"/>
              <w:numPr>
                <w:ilvl w:val="0"/>
                <w:numId w:val="0"/>
              </w:numPr>
              <w:spacing w:after="0"/>
              <w:jc w:val="right"/>
              <w:outlineLvl w:val="0"/>
              <w:rPr>
                <w:b/>
                <w:sz w:val="20"/>
                <w:szCs w:val="20"/>
              </w:rPr>
            </w:pPr>
            <w:r w:rsidRPr="004471DA">
              <w:rPr>
                <w:b/>
                <w:sz w:val="20"/>
                <w:szCs w:val="20"/>
              </w:rPr>
              <w:t>331,305</w:t>
            </w:r>
          </w:p>
        </w:tc>
        <w:tc>
          <w:tcPr>
            <w:tcW w:w="893" w:type="dxa"/>
          </w:tcPr>
          <w:p w14:paraId="4B6A8318" w14:textId="77777777" w:rsidR="008C5479" w:rsidRPr="004471DA" w:rsidRDefault="008C5479" w:rsidP="00057085">
            <w:pPr>
              <w:pStyle w:val="Heading1"/>
              <w:widowControl w:val="0"/>
              <w:numPr>
                <w:ilvl w:val="0"/>
                <w:numId w:val="0"/>
              </w:numPr>
              <w:spacing w:after="0"/>
              <w:jc w:val="right"/>
              <w:outlineLvl w:val="0"/>
              <w:rPr>
                <w:b/>
                <w:sz w:val="20"/>
                <w:szCs w:val="20"/>
              </w:rPr>
            </w:pPr>
            <w:r w:rsidRPr="004471DA">
              <w:rPr>
                <w:b/>
                <w:sz w:val="20"/>
                <w:szCs w:val="20"/>
              </w:rPr>
              <w:t>13,650</w:t>
            </w:r>
          </w:p>
        </w:tc>
        <w:tc>
          <w:tcPr>
            <w:tcW w:w="866" w:type="dxa"/>
          </w:tcPr>
          <w:p w14:paraId="50341E76" w14:textId="77777777" w:rsidR="008C5479" w:rsidRPr="004471DA" w:rsidRDefault="008C5479" w:rsidP="00057085">
            <w:pPr>
              <w:pStyle w:val="Heading1"/>
              <w:widowControl w:val="0"/>
              <w:numPr>
                <w:ilvl w:val="0"/>
                <w:numId w:val="0"/>
              </w:numPr>
              <w:spacing w:after="0"/>
              <w:jc w:val="right"/>
              <w:outlineLvl w:val="0"/>
              <w:rPr>
                <w:b/>
                <w:sz w:val="20"/>
                <w:szCs w:val="20"/>
              </w:rPr>
            </w:pPr>
            <w:r w:rsidRPr="004471DA">
              <w:rPr>
                <w:b/>
                <w:sz w:val="20"/>
                <w:szCs w:val="20"/>
              </w:rPr>
              <w:t>344,955</w:t>
            </w:r>
          </w:p>
        </w:tc>
        <w:tc>
          <w:tcPr>
            <w:tcW w:w="1028" w:type="dxa"/>
          </w:tcPr>
          <w:p w14:paraId="7A818089" w14:textId="77777777" w:rsidR="008C5479" w:rsidRPr="004471DA" w:rsidRDefault="008C5479" w:rsidP="00057085">
            <w:pPr>
              <w:pStyle w:val="Heading1"/>
              <w:widowControl w:val="0"/>
              <w:numPr>
                <w:ilvl w:val="0"/>
                <w:numId w:val="0"/>
              </w:numPr>
              <w:spacing w:after="0"/>
              <w:jc w:val="right"/>
              <w:outlineLvl w:val="0"/>
              <w:rPr>
                <w:b/>
                <w:sz w:val="20"/>
                <w:szCs w:val="20"/>
              </w:rPr>
            </w:pPr>
            <w:r w:rsidRPr="004471DA">
              <w:rPr>
                <w:b/>
                <w:sz w:val="20"/>
                <w:szCs w:val="20"/>
              </w:rPr>
              <w:t>331,305</w:t>
            </w:r>
          </w:p>
        </w:tc>
        <w:tc>
          <w:tcPr>
            <w:tcW w:w="893" w:type="dxa"/>
          </w:tcPr>
          <w:p w14:paraId="552D08A5" w14:textId="77777777" w:rsidR="008C5479" w:rsidRPr="004471DA" w:rsidRDefault="008C5479" w:rsidP="00057085">
            <w:pPr>
              <w:pStyle w:val="Heading1"/>
              <w:widowControl w:val="0"/>
              <w:numPr>
                <w:ilvl w:val="0"/>
                <w:numId w:val="0"/>
              </w:numPr>
              <w:spacing w:after="0"/>
              <w:jc w:val="right"/>
              <w:outlineLvl w:val="0"/>
              <w:rPr>
                <w:b/>
                <w:sz w:val="20"/>
                <w:szCs w:val="20"/>
              </w:rPr>
            </w:pPr>
            <w:r w:rsidRPr="004471DA">
              <w:rPr>
                <w:b/>
                <w:sz w:val="20"/>
                <w:szCs w:val="20"/>
              </w:rPr>
              <w:t>23,191</w:t>
            </w:r>
          </w:p>
        </w:tc>
        <w:tc>
          <w:tcPr>
            <w:tcW w:w="866" w:type="dxa"/>
          </w:tcPr>
          <w:p w14:paraId="3BB18BF7" w14:textId="77777777" w:rsidR="008C5479" w:rsidRPr="004471DA" w:rsidRDefault="008C5479" w:rsidP="00057085">
            <w:pPr>
              <w:pStyle w:val="Heading1"/>
              <w:widowControl w:val="0"/>
              <w:numPr>
                <w:ilvl w:val="0"/>
                <w:numId w:val="0"/>
              </w:numPr>
              <w:spacing w:after="0"/>
              <w:jc w:val="right"/>
              <w:outlineLvl w:val="0"/>
              <w:rPr>
                <w:b/>
                <w:sz w:val="20"/>
                <w:szCs w:val="20"/>
              </w:rPr>
            </w:pPr>
            <w:r w:rsidRPr="004471DA">
              <w:rPr>
                <w:b/>
                <w:sz w:val="20"/>
                <w:szCs w:val="20"/>
              </w:rPr>
              <w:t>354,496</w:t>
            </w:r>
          </w:p>
        </w:tc>
      </w:tr>
    </w:tbl>
    <w:p w14:paraId="0A32BD4B" w14:textId="77777777" w:rsidR="008C5479" w:rsidRPr="00802258" w:rsidRDefault="008C5479" w:rsidP="008C5479">
      <w:pPr>
        <w:rPr>
          <w:sz w:val="20"/>
          <w:szCs w:val="20"/>
        </w:rPr>
      </w:pPr>
      <w:r w:rsidRPr="004471DA">
        <w:rPr>
          <w:sz w:val="20"/>
          <w:szCs w:val="20"/>
        </w:rPr>
        <w:t>*The funds are not to be returned as they are only approved in principle. These funds are instead transferred to UNIDO in Appendix 2-A of the Agreement between the Government and the Executive Committee, for future approval.</w:t>
      </w:r>
    </w:p>
    <w:p w14:paraId="5794924E" w14:textId="77777777" w:rsidR="008C5479" w:rsidRPr="00BB5DFE" w:rsidRDefault="008C5479" w:rsidP="008C5479"/>
    <w:p w14:paraId="79BD8CAE" w14:textId="77777777" w:rsidR="008C5479" w:rsidRDefault="008C5479" w:rsidP="008C5479">
      <w:pPr>
        <w:pStyle w:val="Heading1"/>
        <w:widowControl w:val="0"/>
      </w:pPr>
      <w:r>
        <w:t xml:space="preserve">The removal of UNEP as cooperating agency in stage I and stage II of the HPMP requires updates of the </w:t>
      </w:r>
      <w:r w:rsidRPr="00AD7294">
        <w:t>Agreements between the Government of Ecuador and the Executive Comm</w:t>
      </w:r>
      <w:r w:rsidR="00621D13">
        <w:t>ittee, as presented in Annexes </w:t>
      </w:r>
      <w:r w:rsidRPr="00AD7294">
        <w:t>V and V</w:t>
      </w:r>
      <w:r w:rsidR="00621D13">
        <w:t>I</w:t>
      </w:r>
      <w:r w:rsidRPr="00AD7294">
        <w:t>, respectively</w:t>
      </w:r>
      <w:r>
        <w:t xml:space="preserve">, to the present document. </w:t>
      </w:r>
    </w:p>
    <w:p w14:paraId="77CAE0F3" w14:textId="77777777" w:rsidR="008C5479" w:rsidRPr="00535D75" w:rsidRDefault="008C5479" w:rsidP="008C5479">
      <w:pPr>
        <w:keepNext/>
        <w:rPr>
          <w:b/>
        </w:rPr>
      </w:pPr>
      <w:r w:rsidRPr="00535D75">
        <w:rPr>
          <w:b/>
        </w:rPr>
        <w:lastRenderedPageBreak/>
        <w:t>Recommendation</w:t>
      </w:r>
    </w:p>
    <w:p w14:paraId="3D24C04A" w14:textId="77777777" w:rsidR="008C5479" w:rsidRPr="00535D75" w:rsidRDefault="008C5479" w:rsidP="008C5479">
      <w:pPr>
        <w:keepNext/>
      </w:pPr>
    </w:p>
    <w:p w14:paraId="45F1B405" w14:textId="77777777" w:rsidR="008C5479" w:rsidRDefault="008C5479" w:rsidP="008C5479">
      <w:pPr>
        <w:pStyle w:val="Heading1"/>
        <w:keepNext/>
      </w:pPr>
      <w:r>
        <w:t>The Executive Committee may wish:</w:t>
      </w:r>
    </w:p>
    <w:p w14:paraId="6493F530" w14:textId="77777777" w:rsidR="008C5479" w:rsidRDefault="008C5479" w:rsidP="008C5479">
      <w:pPr>
        <w:pStyle w:val="Heading2"/>
        <w:keepNext/>
        <w:widowControl/>
      </w:pPr>
      <w:r>
        <w:t>To note:</w:t>
      </w:r>
    </w:p>
    <w:p w14:paraId="1B321652" w14:textId="77777777" w:rsidR="008C5479" w:rsidRPr="00EB24F3" w:rsidRDefault="008C5479" w:rsidP="008C5479">
      <w:pPr>
        <w:pStyle w:val="Heading3"/>
      </w:pPr>
      <w:r>
        <w:t>T</w:t>
      </w:r>
      <w:r w:rsidRPr="00EB24F3">
        <w:t>he request by the Government</w:t>
      </w:r>
      <w:r>
        <w:t xml:space="preserve"> of Ecuador </w:t>
      </w:r>
      <w:r w:rsidRPr="00EB24F3">
        <w:t>to transfer</w:t>
      </w:r>
      <w:r>
        <w:t xml:space="preserve"> t</w:t>
      </w:r>
      <w:r w:rsidRPr="00EB24F3">
        <w:t>o UNIDO</w:t>
      </w:r>
      <w:r>
        <w:t xml:space="preserve"> phase VII of the </w:t>
      </w:r>
      <w:r w:rsidRPr="0067785D">
        <w:t>institutional strengthening proje</w:t>
      </w:r>
      <w:r>
        <w:t xml:space="preserve">ct (IS) project and all the phase-out activities included in the fifth tranche of stage I, and stage II of the </w:t>
      </w:r>
      <w:r w:rsidRPr="00EB24F3">
        <w:t>H</w:t>
      </w:r>
      <w:r>
        <w:t>CFC phase</w:t>
      </w:r>
      <w:r>
        <w:noBreakHyphen/>
        <w:t>out management plan (HPMP)</w:t>
      </w:r>
      <w:r w:rsidRPr="0013677D">
        <w:t xml:space="preserve"> </w:t>
      </w:r>
      <w:r>
        <w:t>for implementation by UNEP;</w:t>
      </w:r>
      <w:r w:rsidRPr="00EB24F3">
        <w:t xml:space="preserve"> </w:t>
      </w:r>
    </w:p>
    <w:p w14:paraId="6B8F0022" w14:textId="77777777" w:rsidR="008C5479" w:rsidRDefault="008C5479" w:rsidP="008C5479">
      <w:pPr>
        <w:pStyle w:val="Heading3"/>
      </w:pPr>
      <w:r w:rsidRPr="006D71CE">
        <w:t>That the Fund Secretariat has</w:t>
      </w:r>
      <w:r w:rsidRPr="00BF555A">
        <w:t xml:space="preserve"> </w:t>
      </w:r>
      <w:r>
        <w:t xml:space="preserve">updated the Agreement </w:t>
      </w:r>
      <w:r w:rsidRPr="00C07C7F">
        <w:t>between the Government of Ecuador and the Executive Committee for stage</w:t>
      </w:r>
      <w:r>
        <w:t> </w:t>
      </w:r>
      <w:r w:rsidRPr="00C07C7F">
        <w:t>I of the HPMP</w:t>
      </w:r>
      <w:r>
        <w:t>, as contained in Annex </w:t>
      </w:r>
      <w:r w:rsidRPr="00AD7294">
        <w:t>V</w:t>
      </w:r>
      <w:r w:rsidRPr="00C07C7F">
        <w:t xml:space="preserve"> to the present document</w:t>
      </w:r>
      <w:r>
        <w:t xml:space="preserve">, specifically Appendix 2-A, on the basis of the transfer of UNEP’s component to UNIDO for the fifth tranche, and paragraph 16, to </w:t>
      </w:r>
      <w:r w:rsidRPr="00A65DE7">
        <w:t xml:space="preserve">indicate that the </w:t>
      </w:r>
      <w:r>
        <w:t xml:space="preserve">revised </w:t>
      </w:r>
      <w:r w:rsidRPr="00A65DE7">
        <w:t xml:space="preserve">updated Agreement supersedes that reached at the </w:t>
      </w:r>
      <w:r>
        <w:t>81</w:t>
      </w:r>
      <w:r w:rsidRPr="00A65DE7">
        <w:rPr>
          <w:vertAlign w:val="superscript"/>
        </w:rPr>
        <w:t>st</w:t>
      </w:r>
      <w:r>
        <w:t> meeting;</w:t>
      </w:r>
    </w:p>
    <w:p w14:paraId="680508F7" w14:textId="77777777" w:rsidR="008C5479" w:rsidRPr="004C38AB" w:rsidRDefault="008C5479" w:rsidP="008C5479">
      <w:pPr>
        <w:pStyle w:val="Heading3"/>
      </w:pPr>
      <w:r w:rsidRPr="00A65DE7">
        <w:t xml:space="preserve">That the Fund Secretariat has </w:t>
      </w:r>
      <w:r>
        <w:t xml:space="preserve">updated </w:t>
      </w:r>
      <w:r w:rsidRPr="006D71CE">
        <w:t xml:space="preserve">the Agreement between the Government of </w:t>
      </w:r>
      <w:r>
        <w:t>Ecuador and t</w:t>
      </w:r>
      <w:r w:rsidRPr="006D71CE">
        <w:t>he Executive Committee</w:t>
      </w:r>
      <w:r>
        <w:t xml:space="preserve"> for stage II of the HPMP,</w:t>
      </w:r>
      <w:r w:rsidRPr="00BF555A">
        <w:t xml:space="preserve"> </w:t>
      </w:r>
      <w:r w:rsidRPr="004C38AB">
        <w:t>as contained in Annex</w:t>
      </w:r>
      <w:r>
        <w:t> </w:t>
      </w:r>
      <w:r w:rsidRPr="00AD7294">
        <w:t>V</w:t>
      </w:r>
      <w:r w:rsidR="00621D13">
        <w:t>I</w:t>
      </w:r>
      <w:r>
        <w:t xml:space="preserve"> </w:t>
      </w:r>
      <w:r w:rsidRPr="004C38AB">
        <w:t>to the present document</w:t>
      </w:r>
      <w:r>
        <w:t xml:space="preserve">, specifically to remove </w:t>
      </w:r>
      <w:r w:rsidRPr="00BF555A">
        <w:t xml:space="preserve">all references </w:t>
      </w:r>
      <w:r>
        <w:t>to</w:t>
      </w:r>
      <w:r w:rsidRPr="00BF555A">
        <w:t xml:space="preserve"> the Cooperating Agency</w:t>
      </w:r>
      <w:r>
        <w:t xml:space="preserve"> and </w:t>
      </w:r>
      <w:r w:rsidRPr="00BF555A">
        <w:t>Appendix</w:t>
      </w:r>
      <w:r>
        <w:t> </w:t>
      </w:r>
      <w:r w:rsidRPr="00BF555A">
        <w:t>6</w:t>
      </w:r>
      <w:r>
        <w:noBreakHyphen/>
      </w:r>
      <w:r w:rsidRPr="00BF555A">
        <w:t xml:space="preserve">B, </w:t>
      </w:r>
      <w:r>
        <w:t>reallocate all</w:t>
      </w:r>
      <w:r w:rsidRPr="00BF555A">
        <w:t xml:space="preserve"> funding </w:t>
      </w:r>
      <w:r>
        <w:t xml:space="preserve">from UNEP </w:t>
      </w:r>
      <w:r w:rsidRPr="00BF555A">
        <w:t>to UNIDO in Appendix</w:t>
      </w:r>
      <w:r>
        <w:t> </w:t>
      </w:r>
      <w:r w:rsidRPr="00BF555A">
        <w:t>2</w:t>
      </w:r>
      <w:r>
        <w:noBreakHyphen/>
        <w:t>A,</w:t>
      </w:r>
      <w:r w:rsidRPr="006D71CE">
        <w:t xml:space="preserve"> </w:t>
      </w:r>
      <w:r>
        <w:t xml:space="preserve">and to </w:t>
      </w:r>
      <w:r w:rsidRPr="006D71CE">
        <w:t>add a new paragraph</w:t>
      </w:r>
      <w:r>
        <w:t> </w:t>
      </w:r>
      <w:r w:rsidRPr="006D71CE">
        <w:t>1</w:t>
      </w:r>
      <w:r>
        <w:t>7</w:t>
      </w:r>
      <w:r w:rsidRPr="006D71CE">
        <w:t xml:space="preserve"> to indicate that</w:t>
      </w:r>
      <w:r>
        <w:t xml:space="preserve"> UNEP</w:t>
      </w:r>
      <w:r w:rsidRPr="006D71CE">
        <w:t xml:space="preserve"> stopped being the coop</w:t>
      </w:r>
      <w:r>
        <w:t xml:space="preserve">erating agency as of </w:t>
      </w:r>
      <w:r w:rsidRPr="004C38AB">
        <w:t>the 8</w:t>
      </w:r>
      <w:r>
        <w:t>7</w:t>
      </w:r>
      <w:r w:rsidRPr="004C38AB">
        <w:rPr>
          <w:vertAlign w:val="superscript"/>
        </w:rPr>
        <w:t>th</w:t>
      </w:r>
      <w:r>
        <w:t> </w:t>
      </w:r>
      <w:r w:rsidRPr="004C38AB">
        <w:t>meeting and that the updated Agreement supersede</w:t>
      </w:r>
      <w:r>
        <w:t>s that reached at the 86</w:t>
      </w:r>
      <w:r w:rsidRPr="004C38AB">
        <w:rPr>
          <w:vertAlign w:val="superscript"/>
        </w:rPr>
        <w:t>th</w:t>
      </w:r>
      <w:r>
        <w:rPr>
          <w:vertAlign w:val="superscript"/>
        </w:rPr>
        <w:t> </w:t>
      </w:r>
      <w:r w:rsidRPr="004C38AB">
        <w:t>meeting;</w:t>
      </w:r>
    </w:p>
    <w:p w14:paraId="2435EC3C" w14:textId="77777777" w:rsidR="008C5479" w:rsidRDefault="008C5479" w:rsidP="008C5479">
      <w:pPr>
        <w:pStyle w:val="Heading2"/>
      </w:pPr>
      <w:r>
        <w:t>With regard to phase VII of the IS project (</w:t>
      </w:r>
      <w:r w:rsidRPr="003678E4">
        <w:t>ECU/SEV/83/INS/71</w:t>
      </w:r>
      <w:r>
        <w:t>):</w:t>
      </w:r>
    </w:p>
    <w:p w14:paraId="43B480FB" w14:textId="77777777" w:rsidR="008C5479" w:rsidRDefault="008C5479" w:rsidP="008C5479">
      <w:pPr>
        <w:pStyle w:val="Heading3"/>
      </w:pPr>
      <w:r>
        <w:t>To request UNEP to return to the Multilateral Fund at the 87</w:t>
      </w:r>
      <w:r w:rsidRPr="0009230E">
        <w:rPr>
          <w:vertAlign w:val="superscript"/>
        </w:rPr>
        <w:t>th</w:t>
      </w:r>
      <w:r>
        <w:t> meeting the funding of US $226,305;</w:t>
      </w:r>
    </w:p>
    <w:p w14:paraId="7EC4E616" w14:textId="77777777" w:rsidR="008C5479" w:rsidRDefault="008C5479" w:rsidP="008C5479">
      <w:pPr>
        <w:pStyle w:val="Heading3"/>
      </w:pPr>
      <w:r>
        <w:t>To approve the transfer to UNIDO of the funding of US $226,305, plus agency support costs of US $15,841;</w:t>
      </w:r>
    </w:p>
    <w:p w14:paraId="62BBD014" w14:textId="77777777" w:rsidR="008C5479" w:rsidRDefault="008C5479" w:rsidP="008C5479">
      <w:pPr>
        <w:pStyle w:val="Heading2"/>
      </w:pPr>
      <w:r w:rsidRPr="003678E4">
        <w:t>With regard to</w:t>
      </w:r>
      <w:r>
        <w:t xml:space="preserve"> the fifth tranche of stage I of the HPMP</w:t>
      </w:r>
      <w:r w:rsidRPr="003678E4">
        <w:t xml:space="preserve"> (ECU/SEV/8</w:t>
      </w:r>
      <w:r>
        <w:t>5</w:t>
      </w:r>
      <w:r w:rsidRPr="003678E4">
        <w:t>/</w:t>
      </w:r>
      <w:r>
        <w:t>TAS</w:t>
      </w:r>
      <w:r w:rsidRPr="003678E4">
        <w:t>/7</w:t>
      </w:r>
      <w:r>
        <w:t>3):</w:t>
      </w:r>
    </w:p>
    <w:p w14:paraId="5A2A734B" w14:textId="77777777" w:rsidR="008C5479" w:rsidRDefault="008C5479" w:rsidP="008C5479">
      <w:pPr>
        <w:pStyle w:val="Heading3"/>
      </w:pPr>
      <w:r>
        <w:t>To request UNEP to return to the Multilateral Fund at the 87</w:t>
      </w:r>
      <w:r w:rsidRPr="00707899">
        <w:rPr>
          <w:vertAlign w:val="superscript"/>
        </w:rPr>
        <w:t>th</w:t>
      </w:r>
      <w:r>
        <w:t xml:space="preserve"> meeting the funding of </w:t>
      </w:r>
      <w:r w:rsidRPr="00160327">
        <w:t>US</w:t>
      </w:r>
      <w:r>
        <w:t> </w:t>
      </w:r>
      <w:r w:rsidRPr="00160327">
        <w:t>$10,000, plus agency support cost</w:t>
      </w:r>
      <w:r>
        <w:t>s</w:t>
      </w:r>
      <w:r w:rsidRPr="00160327">
        <w:t xml:space="preserve"> of US</w:t>
      </w:r>
      <w:r>
        <w:t> </w:t>
      </w:r>
      <w:r w:rsidRPr="00160327">
        <w:t>$1,300</w:t>
      </w:r>
      <w:r>
        <w:t xml:space="preserve">; </w:t>
      </w:r>
    </w:p>
    <w:p w14:paraId="2995F0E5" w14:textId="77777777" w:rsidR="008C5479" w:rsidRPr="004471DA" w:rsidRDefault="008C5479" w:rsidP="008C5479">
      <w:pPr>
        <w:pStyle w:val="Heading3"/>
      </w:pPr>
      <w:r>
        <w:t>To a</w:t>
      </w:r>
      <w:r w:rsidRPr="00707899">
        <w:t xml:space="preserve">pprove </w:t>
      </w:r>
      <w:r w:rsidRPr="004471DA">
        <w:t>the transfer to UNIDO of the funding of US $10,000, plus agency support costs of US $700;</w:t>
      </w:r>
    </w:p>
    <w:p w14:paraId="78474333" w14:textId="77777777" w:rsidR="008C5479" w:rsidRPr="00707899" w:rsidRDefault="008C5479" w:rsidP="008C5479">
      <w:pPr>
        <w:pStyle w:val="Heading2"/>
      </w:pPr>
      <w:r w:rsidRPr="004471DA">
        <w:t>With regard to the first tranche of stage II of the HPMP (</w:t>
      </w:r>
      <w:r w:rsidRPr="00707899">
        <w:t>ECU/SEV/8</w:t>
      </w:r>
      <w:r>
        <w:t>6</w:t>
      </w:r>
      <w:r w:rsidRPr="00707899">
        <w:t>/TAS/7</w:t>
      </w:r>
      <w:r>
        <w:t>4</w:t>
      </w:r>
      <w:r w:rsidRPr="00707899">
        <w:t>):</w:t>
      </w:r>
    </w:p>
    <w:p w14:paraId="60E9FCB4" w14:textId="77777777" w:rsidR="008C5479" w:rsidRDefault="008C5479" w:rsidP="008C5479">
      <w:pPr>
        <w:pStyle w:val="Heading3"/>
      </w:pPr>
      <w:r>
        <w:t>To r</w:t>
      </w:r>
      <w:r w:rsidRPr="00707899">
        <w:t>equest UNEP to return to the Multilateral Fund at the 87</w:t>
      </w:r>
      <w:r w:rsidRPr="00707899">
        <w:rPr>
          <w:vertAlign w:val="superscript"/>
        </w:rPr>
        <w:t>th</w:t>
      </w:r>
      <w:r>
        <w:t xml:space="preserve"> </w:t>
      </w:r>
      <w:r w:rsidRPr="00707899">
        <w:t>meeting</w:t>
      </w:r>
      <w:r>
        <w:t xml:space="preserve"> the funding of US $24,000, plus agency support costs of US $3,120; </w:t>
      </w:r>
    </w:p>
    <w:p w14:paraId="0B9064ED" w14:textId="77777777" w:rsidR="008C5479" w:rsidRPr="00707899" w:rsidRDefault="008C5479" w:rsidP="008C5479">
      <w:pPr>
        <w:pStyle w:val="Heading3"/>
      </w:pPr>
      <w:r>
        <w:t>To a</w:t>
      </w:r>
      <w:r w:rsidRPr="00707899">
        <w:t xml:space="preserve">pprove the transfer to UNIDO of </w:t>
      </w:r>
      <w:r>
        <w:t>the funding of US </w:t>
      </w:r>
      <w:r w:rsidRPr="00707899">
        <w:t>$2</w:t>
      </w:r>
      <w:r>
        <w:t>4,000</w:t>
      </w:r>
      <w:r w:rsidRPr="00707899">
        <w:t xml:space="preserve">, </w:t>
      </w:r>
      <w:r>
        <w:t xml:space="preserve">plus </w:t>
      </w:r>
      <w:r w:rsidRPr="00707899">
        <w:t>agency support costs</w:t>
      </w:r>
      <w:r>
        <w:t xml:space="preserve"> of US $1,680</w:t>
      </w:r>
      <w:r w:rsidRPr="00707899">
        <w:t>;</w:t>
      </w:r>
      <w:r>
        <w:t xml:space="preserve"> and</w:t>
      </w:r>
    </w:p>
    <w:p w14:paraId="3D7CA247" w14:textId="77777777" w:rsidR="008C5479" w:rsidRDefault="008C5479" w:rsidP="008C5479">
      <w:pPr>
        <w:pStyle w:val="Heading2"/>
      </w:pPr>
      <w:r>
        <w:t xml:space="preserve">Further to approve the transfer from UNEP </w:t>
      </w:r>
      <w:r w:rsidRPr="00AE4EBE">
        <w:t>to UNIDO</w:t>
      </w:r>
      <w:r>
        <w:t xml:space="preserve"> of the funding of </w:t>
      </w:r>
      <w:r w:rsidRPr="00AE4EBE">
        <w:t>US</w:t>
      </w:r>
      <w:r>
        <w:t> </w:t>
      </w:r>
      <w:r w:rsidRPr="00AE4EBE">
        <w:t>$</w:t>
      </w:r>
      <w:r>
        <w:t>71,</w:t>
      </w:r>
      <w:r w:rsidRPr="00A346C5">
        <w:t>000, plus agency support costs of US $4,970, approved in principle, associated with the second</w:t>
      </w:r>
      <w:r>
        <w:t xml:space="preserve">, third and fourth tranches of </w:t>
      </w:r>
      <w:r w:rsidRPr="00AE4EBE">
        <w:t>stage</w:t>
      </w:r>
      <w:r>
        <w:t> </w:t>
      </w:r>
      <w:r w:rsidRPr="00AE4EBE">
        <w:t>II of the HPMP</w:t>
      </w:r>
      <w:r>
        <w:t>.</w:t>
      </w:r>
    </w:p>
    <w:p w14:paraId="716A50E3" w14:textId="77777777" w:rsidR="00725768" w:rsidRPr="00ED126B" w:rsidRDefault="00725768" w:rsidP="00725768">
      <w:pPr>
        <w:pStyle w:val="StyleHeader4Para4Left0Firstline0"/>
        <w:numPr>
          <w:ilvl w:val="0"/>
          <w:numId w:val="0"/>
        </w:numPr>
        <w:jc w:val="left"/>
        <w:rPr>
          <w:b/>
          <w:sz w:val="22"/>
        </w:rPr>
      </w:pPr>
      <w:r w:rsidRPr="00ED126B">
        <w:rPr>
          <w:b/>
          <w:sz w:val="22"/>
        </w:rPr>
        <w:lastRenderedPageBreak/>
        <w:t>Report on HFC-related activities that require an extension of their completion date</w:t>
      </w:r>
    </w:p>
    <w:p w14:paraId="16ADFF2A" w14:textId="77777777" w:rsidR="00725768" w:rsidRPr="00ED126B" w:rsidRDefault="00725768" w:rsidP="00725768">
      <w:pPr>
        <w:pStyle w:val="Heading1"/>
      </w:pPr>
      <w:r w:rsidRPr="00ED126B">
        <w:t>During the intersessional approval process established for the 86</w:t>
      </w:r>
      <w:r w:rsidRPr="00ED126B">
        <w:rPr>
          <w:vertAlign w:val="superscript"/>
        </w:rPr>
        <w:t>th</w:t>
      </w:r>
      <w:r w:rsidRPr="00ED126B">
        <w:t> meeting, the Executive Committee decided to advise bilateral and implementing agencies to continue assisting all Article 5 countries in implementing ongoing activities taking into account the constraints imposed by the COVID-19 pandemic, irrespective of their completion dates, and to report back at the 87</w:t>
      </w:r>
      <w:r w:rsidRPr="00ED126B">
        <w:rPr>
          <w:vertAlign w:val="superscript"/>
        </w:rPr>
        <w:t>th</w:t>
      </w:r>
      <w:r w:rsidRPr="00ED126B">
        <w:t> meeting on the specific activities that required an extension of their completion dates (decision 86/50).</w:t>
      </w:r>
    </w:p>
    <w:p w14:paraId="2C22BAE9" w14:textId="77777777" w:rsidR="00725768" w:rsidRPr="00ED126B" w:rsidRDefault="00725768" w:rsidP="00725768">
      <w:pPr>
        <w:pStyle w:val="Heading1"/>
      </w:pPr>
      <w:r w:rsidRPr="00ED126B">
        <w:t>In response to the decision by the Executive Committee, the Secretariat requested information from bilateral and implementing agencies on the status of time</w:t>
      </w:r>
      <w:r w:rsidRPr="00ED126B">
        <w:noBreakHyphen/>
        <w:t>sensitive ongoing HFC</w:t>
      </w:r>
      <w:r w:rsidRPr="00ED126B">
        <w:noBreakHyphen/>
        <w:t>related activities, and the number of those activities for which an extension of the completion date would be requested. The status of implementation of HFC-related activities is summarized in Table</w:t>
      </w:r>
      <w:r w:rsidR="00621D13">
        <w:t xml:space="preserve"> 15; and Annex VII</w:t>
      </w:r>
      <w:r w:rsidRPr="00ED126B">
        <w:t xml:space="preserve"> to the present document provides the details of projects where extension is requested along with the proposed revised completion date and a brief summary of the activities still to be implemented.</w:t>
      </w:r>
    </w:p>
    <w:p w14:paraId="4B694F84" w14:textId="77777777" w:rsidR="00725768" w:rsidRPr="00ED126B" w:rsidRDefault="00621D13" w:rsidP="00725768">
      <w:pPr>
        <w:rPr>
          <w:b/>
        </w:rPr>
      </w:pPr>
      <w:r>
        <w:rPr>
          <w:b/>
        </w:rPr>
        <w:t>Table 15</w:t>
      </w:r>
      <w:r w:rsidR="00725768" w:rsidRPr="00ED126B">
        <w:rPr>
          <w:b/>
        </w:rPr>
        <w:t>. Status of implementation of HFC-related activities</w:t>
      </w:r>
    </w:p>
    <w:tbl>
      <w:tblPr>
        <w:tblStyle w:val="TableGrid"/>
        <w:tblW w:w="9351" w:type="dxa"/>
        <w:tblLook w:val="04A0" w:firstRow="1" w:lastRow="0" w:firstColumn="1" w:lastColumn="0" w:noHBand="0" w:noVBand="1"/>
      </w:tblPr>
      <w:tblGrid>
        <w:gridCol w:w="2547"/>
        <w:gridCol w:w="2268"/>
        <w:gridCol w:w="2268"/>
        <w:gridCol w:w="2268"/>
      </w:tblGrid>
      <w:tr w:rsidR="00725768" w:rsidRPr="00ED126B" w14:paraId="0085C782" w14:textId="77777777" w:rsidTr="0051060F">
        <w:tc>
          <w:tcPr>
            <w:tcW w:w="2547" w:type="dxa"/>
            <w:vAlign w:val="center"/>
          </w:tcPr>
          <w:p w14:paraId="221C50C0" w14:textId="77777777" w:rsidR="00725768" w:rsidRPr="00ED126B" w:rsidRDefault="00725768" w:rsidP="0051060F">
            <w:pPr>
              <w:jc w:val="center"/>
              <w:rPr>
                <w:b/>
                <w:sz w:val="20"/>
                <w:szCs w:val="20"/>
              </w:rPr>
            </w:pPr>
            <w:r w:rsidRPr="00ED126B">
              <w:rPr>
                <w:b/>
                <w:sz w:val="20"/>
                <w:szCs w:val="20"/>
              </w:rPr>
              <w:t>Agency</w:t>
            </w:r>
          </w:p>
        </w:tc>
        <w:tc>
          <w:tcPr>
            <w:tcW w:w="2268" w:type="dxa"/>
            <w:vAlign w:val="center"/>
          </w:tcPr>
          <w:p w14:paraId="33528867" w14:textId="77777777" w:rsidR="00725768" w:rsidRPr="00ED126B" w:rsidRDefault="00725768" w:rsidP="0051060F">
            <w:pPr>
              <w:jc w:val="center"/>
              <w:rPr>
                <w:b/>
                <w:sz w:val="20"/>
                <w:szCs w:val="20"/>
              </w:rPr>
            </w:pPr>
            <w:r w:rsidRPr="00ED126B">
              <w:rPr>
                <w:b/>
                <w:sz w:val="20"/>
                <w:szCs w:val="20"/>
              </w:rPr>
              <w:t>No. of projects approved</w:t>
            </w:r>
          </w:p>
        </w:tc>
        <w:tc>
          <w:tcPr>
            <w:tcW w:w="2268" w:type="dxa"/>
            <w:vAlign w:val="center"/>
          </w:tcPr>
          <w:p w14:paraId="0047A92B" w14:textId="77777777" w:rsidR="00725768" w:rsidRPr="00ED126B" w:rsidRDefault="00725768" w:rsidP="0051060F">
            <w:pPr>
              <w:jc w:val="center"/>
              <w:rPr>
                <w:b/>
                <w:sz w:val="20"/>
                <w:szCs w:val="20"/>
              </w:rPr>
            </w:pPr>
            <w:r w:rsidRPr="00ED126B">
              <w:rPr>
                <w:b/>
                <w:sz w:val="20"/>
                <w:szCs w:val="20"/>
              </w:rPr>
              <w:t>No. of projects completed*</w:t>
            </w:r>
          </w:p>
        </w:tc>
        <w:tc>
          <w:tcPr>
            <w:tcW w:w="2268" w:type="dxa"/>
            <w:tcBorders>
              <w:bottom w:val="single" w:sz="4" w:space="0" w:color="auto"/>
            </w:tcBorders>
            <w:vAlign w:val="center"/>
          </w:tcPr>
          <w:p w14:paraId="5831909D" w14:textId="77777777" w:rsidR="00725768" w:rsidRPr="00ED126B" w:rsidRDefault="00725768" w:rsidP="0051060F">
            <w:pPr>
              <w:jc w:val="center"/>
              <w:rPr>
                <w:b/>
                <w:sz w:val="20"/>
                <w:szCs w:val="20"/>
              </w:rPr>
            </w:pPr>
            <w:r w:rsidRPr="00ED126B">
              <w:rPr>
                <w:b/>
                <w:sz w:val="20"/>
                <w:szCs w:val="20"/>
              </w:rPr>
              <w:t>No. of projects with extension request</w:t>
            </w:r>
          </w:p>
        </w:tc>
      </w:tr>
      <w:tr w:rsidR="00725768" w:rsidRPr="00ED126B" w14:paraId="1FC0B741"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27437A61" w14:textId="77777777" w:rsidR="00725768" w:rsidRPr="00ED126B" w:rsidRDefault="00725768" w:rsidP="0051060F">
            <w:pPr>
              <w:rPr>
                <w:color w:val="000000"/>
                <w:sz w:val="20"/>
                <w:szCs w:val="20"/>
              </w:rPr>
            </w:pPr>
            <w:r w:rsidRPr="00ED126B">
              <w:rPr>
                <w:color w:val="000000"/>
                <w:sz w:val="20"/>
                <w:szCs w:val="20"/>
              </w:rPr>
              <w:t>Canada</w:t>
            </w:r>
          </w:p>
        </w:tc>
        <w:tc>
          <w:tcPr>
            <w:tcW w:w="2268" w:type="dxa"/>
            <w:tcBorders>
              <w:top w:val="nil"/>
              <w:left w:val="single" w:sz="4" w:space="0" w:color="auto"/>
              <w:bottom w:val="single" w:sz="4" w:space="0" w:color="auto"/>
              <w:right w:val="single" w:sz="4" w:space="0" w:color="auto"/>
            </w:tcBorders>
            <w:shd w:val="clear" w:color="auto" w:fill="auto"/>
          </w:tcPr>
          <w:p w14:paraId="62BA9EE6" w14:textId="77777777" w:rsidR="00725768" w:rsidRPr="00ED126B" w:rsidRDefault="00725768" w:rsidP="0051060F">
            <w:pPr>
              <w:tabs>
                <w:tab w:val="left" w:pos="1213"/>
              </w:tabs>
              <w:ind w:right="845"/>
              <w:jc w:val="right"/>
              <w:rPr>
                <w:color w:val="000000"/>
                <w:sz w:val="20"/>
                <w:szCs w:val="20"/>
              </w:rPr>
            </w:pPr>
            <w:r w:rsidRPr="00ED126B">
              <w:rPr>
                <w:sz w:val="20"/>
                <w:szCs w:val="20"/>
              </w:rPr>
              <w:t>7</w:t>
            </w:r>
          </w:p>
        </w:tc>
        <w:tc>
          <w:tcPr>
            <w:tcW w:w="2268" w:type="dxa"/>
            <w:tcBorders>
              <w:top w:val="nil"/>
              <w:left w:val="single" w:sz="4" w:space="0" w:color="auto"/>
              <w:bottom w:val="single" w:sz="4" w:space="0" w:color="auto"/>
              <w:right w:val="single" w:sz="4" w:space="0" w:color="auto"/>
            </w:tcBorders>
            <w:shd w:val="clear" w:color="auto" w:fill="auto"/>
          </w:tcPr>
          <w:p w14:paraId="2C6EC3B9" w14:textId="77777777" w:rsidR="00725768" w:rsidRPr="00ED126B" w:rsidRDefault="00725768" w:rsidP="0051060F">
            <w:pPr>
              <w:ind w:right="947"/>
              <w:jc w:val="right"/>
              <w:rPr>
                <w:color w:val="000000"/>
                <w:sz w:val="20"/>
                <w:szCs w:val="20"/>
              </w:rPr>
            </w:pPr>
            <w:r w:rsidRPr="00ED126B">
              <w:rPr>
                <w:sz w:val="20"/>
                <w:szCs w:val="20"/>
              </w:rPr>
              <w:t>3</w:t>
            </w:r>
          </w:p>
        </w:tc>
        <w:tc>
          <w:tcPr>
            <w:tcW w:w="2268" w:type="dxa"/>
            <w:tcBorders>
              <w:top w:val="single" w:sz="4" w:space="0" w:color="auto"/>
              <w:left w:val="nil"/>
              <w:bottom w:val="single" w:sz="4" w:space="0" w:color="auto"/>
              <w:right w:val="single" w:sz="4" w:space="0" w:color="auto"/>
            </w:tcBorders>
            <w:shd w:val="clear" w:color="auto" w:fill="auto"/>
          </w:tcPr>
          <w:p w14:paraId="30574A0E" w14:textId="77777777" w:rsidR="00725768" w:rsidRPr="00ED126B" w:rsidRDefault="00725768" w:rsidP="0051060F">
            <w:pPr>
              <w:ind w:right="879"/>
              <w:jc w:val="right"/>
              <w:rPr>
                <w:color w:val="000000"/>
                <w:sz w:val="20"/>
                <w:szCs w:val="20"/>
              </w:rPr>
            </w:pPr>
            <w:r w:rsidRPr="00ED126B">
              <w:rPr>
                <w:sz w:val="20"/>
                <w:szCs w:val="20"/>
              </w:rPr>
              <w:t>4</w:t>
            </w:r>
          </w:p>
        </w:tc>
      </w:tr>
      <w:tr w:rsidR="00725768" w:rsidRPr="00ED126B" w14:paraId="4725A177"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3F430CFC" w14:textId="77777777" w:rsidR="00725768" w:rsidRPr="00ED126B" w:rsidRDefault="00725768" w:rsidP="0051060F">
            <w:pPr>
              <w:rPr>
                <w:color w:val="000000"/>
                <w:sz w:val="20"/>
                <w:szCs w:val="20"/>
              </w:rPr>
            </w:pPr>
            <w:r w:rsidRPr="00ED126B">
              <w:rPr>
                <w:color w:val="000000"/>
                <w:sz w:val="20"/>
                <w:szCs w:val="20"/>
              </w:rPr>
              <w:t>France</w:t>
            </w:r>
          </w:p>
        </w:tc>
        <w:tc>
          <w:tcPr>
            <w:tcW w:w="2268" w:type="dxa"/>
            <w:tcBorders>
              <w:top w:val="nil"/>
              <w:left w:val="single" w:sz="4" w:space="0" w:color="auto"/>
              <w:bottom w:val="single" w:sz="4" w:space="0" w:color="auto"/>
              <w:right w:val="single" w:sz="4" w:space="0" w:color="auto"/>
            </w:tcBorders>
            <w:shd w:val="clear" w:color="auto" w:fill="auto"/>
          </w:tcPr>
          <w:p w14:paraId="0A55E742" w14:textId="77777777" w:rsidR="00725768" w:rsidRPr="00ED126B" w:rsidRDefault="00725768" w:rsidP="0051060F">
            <w:pPr>
              <w:tabs>
                <w:tab w:val="left" w:pos="1213"/>
              </w:tabs>
              <w:ind w:right="845"/>
              <w:jc w:val="right"/>
              <w:rPr>
                <w:color w:val="000000"/>
                <w:sz w:val="20"/>
                <w:szCs w:val="20"/>
              </w:rPr>
            </w:pPr>
            <w:r w:rsidRPr="00ED126B">
              <w:rPr>
                <w:sz w:val="20"/>
                <w:szCs w:val="20"/>
              </w:rPr>
              <w:t>1</w:t>
            </w:r>
          </w:p>
        </w:tc>
        <w:tc>
          <w:tcPr>
            <w:tcW w:w="2268" w:type="dxa"/>
            <w:tcBorders>
              <w:top w:val="nil"/>
              <w:left w:val="single" w:sz="4" w:space="0" w:color="auto"/>
              <w:bottom w:val="single" w:sz="4" w:space="0" w:color="auto"/>
              <w:right w:val="single" w:sz="4" w:space="0" w:color="auto"/>
            </w:tcBorders>
            <w:shd w:val="clear" w:color="auto" w:fill="auto"/>
          </w:tcPr>
          <w:p w14:paraId="1C957BF0" w14:textId="77777777" w:rsidR="00725768" w:rsidRPr="00ED126B" w:rsidRDefault="00725768" w:rsidP="0051060F">
            <w:pPr>
              <w:ind w:right="947"/>
              <w:jc w:val="right"/>
              <w:rPr>
                <w:color w:val="000000"/>
                <w:sz w:val="20"/>
                <w:szCs w:val="20"/>
              </w:rPr>
            </w:pPr>
            <w:r w:rsidRPr="00ED126B">
              <w:rPr>
                <w:sz w:val="20"/>
                <w:szCs w:val="20"/>
              </w:rPr>
              <w:t>0</w:t>
            </w:r>
          </w:p>
        </w:tc>
        <w:tc>
          <w:tcPr>
            <w:tcW w:w="2268" w:type="dxa"/>
            <w:tcBorders>
              <w:top w:val="single" w:sz="4" w:space="0" w:color="auto"/>
              <w:left w:val="nil"/>
              <w:bottom w:val="single" w:sz="4" w:space="0" w:color="auto"/>
              <w:right w:val="single" w:sz="4" w:space="0" w:color="auto"/>
            </w:tcBorders>
            <w:shd w:val="clear" w:color="auto" w:fill="auto"/>
          </w:tcPr>
          <w:p w14:paraId="2DC05911" w14:textId="77777777" w:rsidR="00725768" w:rsidRPr="00ED126B" w:rsidRDefault="00725768" w:rsidP="0051060F">
            <w:pPr>
              <w:ind w:right="879"/>
              <w:jc w:val="right"/>
              <w:rPr>
                <w:color w:val="000000"/>
                <w:sz w:val="20"/>
                <w:szCs w:val="20"/>
              </w:rPr>
            </w:pPr>
            <w:r w:rsidRPr="00ED126B">
              <w:rPr>
                <w:sz w:val="20"/>
                <w:szCs w:val="20"/>
              </w:rPr>
              <w:t>1</w:t>
            </w:r>
          </w:p>
        </w:tc>
      </w:tr>
      <w:tr w:rsidR="00725768" w:rsidRPr="00ED126B" w14:paraId="2121E89D"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09B0263B" w14:textId="77777777" w:rsidR="00725768" w:rsidRPr="00ED126B" w:rsidRDefault="00725768" w:rsidP="0051060F">
            <w:pPr>
              <w:rPr>
                <w:color w:val="000000"/>
                <w:sz w:val="20"/>
                <w:szCs w:val="20"/>
              </w:rPr>
            </w:pPr>
            <w:r w:rsidRPr="00ED126B">
              <w:rPr>
                <w:color w:val="000000"/>
                <w:sz w:val="20"/>
                <w:szCs w:val="20"/>
              </w:rPr>
              <w:t>Germany</w:t>
            </w:r>
          </w:p>
        </w:tc>
        <w:tc>
          <w:tcPr>
            <w:tcW w:w="2268" w:type="dxa"/>
            <w:tcBorders>
              <w:top w:val="nil"/>
              <w:left w:val="single" w:sz="4" w:space="0" w:color="auto"/>
              <w:bottom w:val="single" w:sz="4" w:space="0" w:color="auto"/>
              <w:right w:val="single" w:sz="4" w:space="0" w:color="auto"/>
            </w:tcBorders>
            <w:shd w:val="clear" w:color="auto" w:fill="auto"/>
          </w:tcPr>
          <w:p w14:paraId="45B74A4C" w14:textId="77777777" w:rsidR="00725768" w:rsidRPr="00ED126B" w:rsidRDefault="00725768" w:rsidP="0051060F">
            <w:pPr>
              <w:tabs>
                <w:tab w:val="left" w:pos="1213"/>
              </w:tabs>
              <w:ind w:right="845"/>
              <w:jc w:val="right"/>
              <w:rPr>
                <w:color w:val="000000"/>
                <w:sz w:val="20"/>
                <w:szCs w:val="20"/>
              </w:rPr>
            </w:pPr>
            <w:r w:rsidRPr="00ED126B">
              <w:rPr>
                <w:sz w:val="20"/>
                <w:szCs w:val="20"/>
              </w:rPr>
              <w:t>3</w:t>
            </w:r>
          </w:p>
        </w:tc>
        <w:tc>
          <w:tcPr>
            <w:tcW w:w="2268" w:type="dxa"/>
            <w:tcBorders>
              <w:top w:val="nil"/>
              <w:left w:val="single" w:sz="4" w:space="0" w:color="auto"/>
              <w:bottom w:val="single" w:sz="4" w:space="0" w:color="auto"/>
              <w:right w:val="single" w:sz="4" w:space="0" w:color="auto"/>
            </w:tcBorders>
            <w:shd w:val="clear" w:color="auto" w:fill="auto"/>
          </w:tcPr>
          <w:p w14:paraId="23AA2D89" w14:textId="77777777" w:rsidR="00725768" w:rsidRPr="00ED126B" w:rsidRDefault="00725768" w:rsidP="0051060F">
            <w:pPr>
              <w:ind w:right="947"/>
              <w:jc w:val="right"/>
              <w:rPr>
                <w:color w:val="000000"/>
                <w:sz w:val="20"/>
                <w:szCs w:val="20"/>
              </w:rPr>
            </w:pPr>
            <w:r w:rsidRPr="00ED126B">
              <w:rPr>
                <w:sz w:val="20"/>
                <w:szCs w:val="20"/>
              </w:rPr>
              <w:t>0</w:t>
            </w:r>
          </w:p>
        </w:tc>
        <w:tc>
          <w:tcPr>
            <w:tcW w:w="2268" w:type="dxa"/>
            <w:tcBorders>
              <w:top w:val="single" w:sz="4" w:space="0" w:color="auto"/>
              <w:left w:val="nil"/>
              <w:bottom w:val="single" w:sz="4" w:space="0" w:color="auto"/>
              <w:right w:val="single" w:sz="4" w:space="0" w:color="auto"/>
            </w:tcBorders>
            <w:shd w:val="clear" w:color="auto" w:fill="auto"/>
          </w:tcPr>
          <w:p w14:paraId="52A1B823" w14:textId="77777777" w:rsidR="00725768" w:rsidRPr="00ED126B" w:rsidRDefault="00725768" w:rsidP="0051060F">
            <w:pPr>
              <w:ind w:right="879"/>
              <w:jc w:val="right"/>
              <w:rPr>
                <w:color w:val="000000"/>
                <w:sz w:val="20"/>
                <w:szCs w:val="20"/>
              </w:rPr>
            </w:pPr>
            <w:r w:rsidRPr="00ED126B">
              <w:rPr>
                <w:sz w:val="20"/>
                <w:szCs w:val="20"/>
              </w:rPr>
              <w:t>3</w:t>
            </w:r>
          </w:p>
        </w:tc>
      </w:tr>
      <w:tr w:rsidR="00725768" w:rsidRPr="00ED126B" w14:paraId="0AA1FC21"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2CE596F8" w14:textId="77777777" w:rsidR="00725768" w:rsidRPr="00ED126B" w:rsidRDefault="00725768" w:rsidP="0051060F">
            <w:pPr>
              <w:rPr>
                <w:color w:val="000000"/>
                <w:sz w:val="20"/>
                <w:szCs w:val="20"/>
              </w:rPr>
            </w:pPr>
            <w:r w:rsidRPr="00ED126B">
              <w:rPr>
                <w:color w:val="000000"/>
                <w:sz w:val="20"/>
                <w:szCs w:val="20"/>
              </w:rPr>
              <w:t>Italy</w:t>
            </w:r>
          </w:p>
        </w:tc>
        <w:tc>
          <w:tcPr>
            <w:tcW w:w="2268" w:type="dxa"/>
            <w:tcBorders>
              <w:top w:val="nil"/>
              <w:left w:val="single" w:sz="4" w:space="0" w:color="auto"/>
              <w:bottom w:val="single" w:sz="4" w:space="0" w:color="auto"/>
              <w:right w:val="single" w:sz="4" w:space="0" w:color="auto"/>
            </w:tcBorders>
            <w:shd w:val="clear" w:color="auto" w:fill="auto"/>
          </w:tcPr>
          <w:p w14:paraId="7EDD69F4" w14:textId="77777777" w:rsidR="00725768" w:rsidRPr="00ED126B" w:rsidRDefault="00725768" w:rsidP="0051060F">
            <w:pPr>
              <w:tabs>
                <w:tab w:val="left" w:pos="1213"/>
              </w:tabs>
              <w:ind w:right="845"/>
              <w:jc w:val="right"/>
              <w:rPr>
                <w:color w:val="000000"/>
                <w:sz w:val="20"/>
                <w:szCs w:val="20"/>
              </w:rPr>
            </w:pPr>
            <w:r w:rsidRPr="00ED126B">
              <w:rPr>
                <w:sz w:val="20"/>
                <w:szCs w:val="20"/>
              </w:rPr>
              <w:t>4</w:t>
            </w:r>
          </w:p>
        </w:tc>
        <w:tc>
          <w:tcPr>
            <w:tcW w:w="2268" w:type="dxa"/>
            <w:tcBorders>
              <w:top w:val="nil"/>
              <w:left w:val="single" w:sz="4" w:space="0" w:color="auto"/>
              <w:bottom w:val="single" w:sz="4" w:space="0" w:color="auto"/>
              <w:right w:val="single" w:sz="4" w:space="0" w:color="auto"/>
            </w:tcBorders>
            <w:shd w:val="clear" w:color="auto" w:fill="auto"/>
          </w:tcPr>
          <w:p w14:paraId="0F36A8E2" w14:textId="77777777" w:rsidR="00725768" w:rsidRPr="00ED126B" w:rsidRDefault="00725768" w:rsidP="0051060F">
            <w:pPr>
              <w:ind w:right="947"/>
              <w:jc w:val="right"/>
              <w:rPr>
                <w:color w:val="000000"/>
                <w:sz w:val="20"/>
                <w:szCs w:val="20"/>
              </w:rPr>
            </w:pPr>
            <w:r w:rsidRPr="00ED126B">
              <w:rPr>
                <w:sz w:val="20"/>
                <w:szCs w:val="20"/>
              </w:rPr>
              <w:t>3</w:t>
            </w:r>
          </w:p>
        </w:tc>
        <w:tc>
          <w:tcPr>
            <w:tcW w:w="2268" w:type="dxa"/>
            <w:tcBorders>
              <w:top w:val="single" w:sz="4" w:space="0" w:color="auto"/>
              <w:left w:val="nil"/>
              <w:bottom w:val="single" w:sz="4" w:space="0" w:color="auto"/>
              <w:right w:val="single" w:sz="4" w:space="0" w:color="auto"/>
            </w:tcBorders>
            <w:shd w:val="clear" w:color="auto" w:fill="auto"/>
          </w:tcPr>
          <w:p w14:paraId="3EF9A7AA" w14:textId="77777777" w:rsidR="00725768" w:rsidRPr="00ED126B" w:rsidRDefault="00725768" w:rsidP="0051060F">
            <w:pPr>
              <w:ind w:right="879"/>
              <w:jc w:val="right"/>
              <w:rPr>
                <w:color w:val="000000"/>
                <w:sz w:val="20"/>
                <w:szCs w:val="20"/>
              </w:rPr>
            </w:pPr>
            <w:r w:rsidRPr="00ED126B">
              <w:rPr>
                <w:sz w:val="20"/>
                <w:szCs w:val="20"/>
              </w:rPr>
              <w:t>1</w:t>
            </w:r>
          </w:p>
        </w:tc>
      </w:tr>
      <w:tr w:rsidR="00725768" w:rsidRPr="00ED126B" w14:paraId="3F8EAF07"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03522987" w14:textId="77777777" w:rsidR="00725768" w:rsidRPr="00ED126B" w:rsidRDefault="00725768" w:rsidP="0051060F">
            <w:pPr>
              <w:rPr>
                <w:color w:val="000000"/>
                <w:sz w:val="20"/>
                <w:szCs w:val="20"/>
              </w:rPr>
            </w:pPr>
            <w:r w:rsidRPr="00ED126B">
              <w:rPr>
                <w:color w:val="000000"/>
                <w:sz w:val="20"/>
                <w:szCs w:val="20"/>
              </w:rPr>
              <w:t>UNDP</w:t>
            </w:r>
          </w:p>
        </w:tc>
        <w:tc>
          <w:tcPr>
            <w:tcW w:w="2268" w:type="dxa"/>
            <w:tcBorders>
              <w:top w:val="nil"/>
              <w:left w:val="single" w:sz="4" w:space="0" w:color="auto"/>
              <w:bottom w:val="single" w:sz="4" w:space="0" w:color="auto"/>
              <w:right w:val="single" w:sz="4" w:space="0" w:color="auto"/>
            </w:tcBorders>
            <w:shd w:val="clear" w:color="auto" w:fill="auto"/>
          </w:tcPr>
          <w:p w14:paraId="020FC19D" w14:textId="77777777" w:rsidR="00725768" w:rsidRPr="00ED126B" w:rsidRDefault="00725768" w:rsidP="0051060F">
            <w:pPr>
              <w:tabs>
                <w:tab w:val="left" w:pos="1213"/>
              </w:tabs>
              <w:ind w:right="845"/>
              <w:jc w:val="right"/>
              <w:rPr>
                <w:color w:val="000000"/>
                <w:sz w:val="20"/>
                <w:szCs w:val="20"/>
              </w:rPr>
            </w:pPr>
            <w:r w:rsidRPr="00ED126B">
              <w:rPr>
                <w:sz w:val="20"/>
                <w:szCs w:val="20"/>
              </w:rPr>
              <w:t>24</w:t>
            </w:r>
          </w:p>
        </w:tc>
        <w:tc>
          <w:tcPr>
            <w:tcW w:w="2268" w:type="dxa"/>
            <w:tcBorders>
              <w:top w:val="nil"/>
              <w:left w:val="single" w:sz="4" w:space="0" w:color="auto"/>
              <w:bottom w:val="single" w:sz="4" w:space="0" w:color="auto"/>
              <w:right w:val="single" w:sz="4" w:space="0" w:color="auto"/>
            </w:tcBorders>
            <w:shd w:val="clear" w:color="auto" w:fill="auto"/>
          </w:tcPr>
          <w:p w14:paraId="318365E7" w14:textId="77777777" w:rsidR="00725768" w:rsidRPr="00ED126B" w:rsidRDefault="00725768" w:rsidP="0051060F">
            <w:pPr>
              <w:ind w:right="947"/>
              <w:jc w:val="right"/>
              <w:rPr>
                <w:color w:val="000000"/>
                <w:sz w:val="20"/>
                <w:szCs w:val="20"/>
              </w:rPr>
            </w:pPr>
            <w:r w:rsidRPr="00ED126B">
              <w:rPr>
                <w:sz w:val="20"/>
                <w:szCs w:val="20"/>
              </w:rPr>
              <w:t>11</w:t>
            </w:r>
          </w:p>
        </w:tc>
        <w:tc>
          <w:tcPr>
            <w:tcW w:w="2268" w:type="dxa"/>
            <w:tcBorders>
              <w:top w:val="single" w:sz="4" w:space="0" w:color="auto"/>
              <w:left w:val="nil"/>
              <w:bottom w:val="single" w:sz="4" w:space="0" w:color="auto"/>
              <w:right w:val="single" w:sz="4" w:space="0" w:color="auto"/>
            </w:tcBorders>
            <w:shd w:val="clear" w:color="auto" w:fill="auto"/>
          </w:tcPr>
          <w:p w14:paraId="18E90C6F" w14:textId="77777777" w:rsidR="00725768" w:rsidRPr="00ED126B" w:rsidRDefault="00725768" w:rsidP="0051060F">
            <w:pPr>
              <w:ind w:right="879"/>
              <w:jc w:val="right"/>
              <w:rPr>
                <w:color w:val="000000"/>
                <w:sz w:val="20"/>
                <w:szCs w:val="20"/>
              </w:rPr>
            </w:pPr>
            <w:r w:rsidRPr="00ED126B">
              <w:rPr>
                <w:sz w:val="20"/>
                <w:szCs w:val="20"/>
              </w:rPr>
              <w:t>13</w:t>
            </w:r>
          </w:p>
        </w:tc>
      </w:tr>
      <w:tr w:rsidR="00725768" w:rsidRPr="00ED126B" w14:paraId="6E977040" w14:textId="77777777" w:rsidTr="0051060F">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5FDD7BEE" w14:textId="77777777" w:rsidR="00725768" w:rsidRPr="00ED126B" w:rsidRDefault="00725768" w:rsidP="0051060F">
            <w:pPr>
              <w:jc w:val="left"/>
              <w:rPr>
                <w:color w:val="000000"/>
                <w:sz w:val="20"/>
                <w:szCs w:val="20"/>
              </w:rPr>
            </w:pPr>
            <w:r w:rsidRPr="00ED126B">
              <w:rPr>
                <w:color w:val="000000"/>
                <w:sz w:val="20"/>
                <w:szCs w:val="20"/>
              </w:rPr>
              <w:t>UNEP</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E831E0" w14:textId="77777777" w:rsidR="00725768" w:rsidRPr="00ED126B" w:rsidRDefault="00725768" w:rsidP="0051060F">
            <w:pPr>
              <w:tabs>
                <w:tab w:val="left" w:pos="1213"/>
              </w:tabs>
              <w:ind w:right="845"/>
              <w:jc w:val="right"/>
              <w:rPr>
                <w:color w:val="000000"/>
                <w:sz w:val="20"/>
                <w:szCs w:val="20"/>
              </w:rPr>
            </w:pPr>
            <w:r w:rsidRPr="00ED126B">
              <w:rPr>
                <w:sz w:val="20"/>
                <w:szCs w:val="20"/>
              </w:rPr>
              <w:t>92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CE451A" w14:textId="77777777" w:rsidR="00725768" w:rsidRPr="00ED126B" w:rsidRDefault="00725768" w:rsidP="0051060F">
            <w:pPr>
              <w:ind w:right="947"/>
              <w:jc w:val="right"/>
              <w:rPr>
                <w:color w:val="000000"/>
                <w:sz w:val="20"/>
                <w:szCs w:val="20"/>
              </w:rPr>
            </w:pPr>
            <w:r w:rsidRPr="00ED126B">
              <w:rPr>
                <w:sz w:val="20"/>
                <w:szCs w:val="20"/>
              </w:rPr>
              <w:t>22</w:t>
            </w:r>
          </w:p>
        </w:tc>
        <w:tc>
          <w:tcPr>
            <w:tcW w:w="2268" w:type="dxa"/>
            <w:tcBorders>
              <w:top w:val="single" w:sz="4" w:space="0" w:color="auto"/>
              <w:left w:val="nil"/>
              <w:bottom w:val="single" w:sz="4" w:space="0" w:color="auto"/>
              <w:right w:val="single" w:sz="4" w:space="0" w:color="auto"/>
            </w:tcBorders>
            <w:shd w:val="clear" w:color="auto" w:fill="auto"/>
          </w:tcPr>
          <w:p w14:paraId="503DD168" w14:textId="77777777" w:rsidR="00725768" w:rsidRPr="00ED126B" w:rsidRDefault="00725768" w:rsidP="0051060F">
            <w:pPr>
              <w:ind w:right="879"/>
              <w:jc w:val="right"/>
              <w:rPr>
                <w:color w:val="000000"/>
                <w:sz w:val="20"/>
                <w:szCs w:val="20"/>
              </w:rPr>
            </w:pPr>
            <w:r w:rsidRPr="00ED126B">
              <w:rPr>
                <w:sz w:val="20"/>
                <w:szCs w:val="20"/>
              </w:rPr>
              <w:t>70</w:t>
            </w:r>
          </w:p>
        </w:tc>
      </w:tr>
      <w:tr w:rsidR="00725768" w:rsidRPr="00ED126B" w14:paraId="5341B16F"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42BA2F8D" w14:textId="77777777" w:rsidR="00725768" w:rsidRPr="00ED126B" w:rsidRDefault="00725768" w:rsidP="0051060F">
            <w:pPr>
              <w:rPr>
                <w:color w:val="000000"/>
                <w:sz w:val="20"/>
                <w:szCs w:val="20"/>
              </w:rPr>
            </w:pPr>
            <w:r w:rsidRPr="00ED126B">
              <w:rPr>
                <w:color w:val="000000"/>
                <w:sz w:val="20"/>
                <w:szCs w:val="20"/>
              </w:rPr>
              <w:t>UNIDO</w:t>
            </w:r>
          </w:p>
        </w:tc>
        <w:tc>
          <w:tcPr>
            <w:tcW w:w="2268" w:type="dxa"/>
            <w:tcBorders>
              <w:top w:val="nil"/>
              <w:left w:val="single" w:sz="4" w:space="0" w:color="auto"/>
              <w:bottom w:val="single" w:sz="4" w:space="0" w:color="auto"/>
              <w:right w:val="single" w:sz="4" w:space="0" w:color="auto"/>
            </w:tcBorders>
            <w:shd w:val="clear" w:color="auto" w:fill="auto"/>
          </w:tcPr>
          <w:p w14:paraId="7BBF0810" w14:textId="77777777" w:rsidR="00725768" w:rsidRPr="00ED126B" w:rsidRDefault="00725768" w:rsidP="0051060F">
            <w:pPr>
              <w:tabs>
                <w:tab w:val="left" w:pos="1213"/>
              </w:tabs>
              <w:ind w:right="845"/>
              <w:jc w:val="right"/>
              <w:rPr>
                <w:color w:val="000000"/>
                <w:sz w:val="20"/>
                <w:szCs w:val="20"/>
              </w:rPr>
            </w:pPr>
            <w:r w:rsidRPr="00ED126B">
              <w:rPr>
                <w:sz w:val="20"/>
                <w:szCs w:val="20"/>
              </w:rPr>
              <w:t>35</w:t>
            </w:r>
          </w:p>
        </w:tc>
        <w:tc>
          <w:tcPr>
            <w:tcW w:w="2268" w:type="dxa"/>
            <w:tcBorders>
              <w:top w:val="nil"/>
              <w:left w:val="single" w:sz="4" w:space="0" w:color="auto"/>
              <w:bottom w:val="single" w:sz="4" w:space="0" w:color="auto"/>
              <w:right w:val="single" w:sz="4" w:space="0" w:color="auto"/>
            </w:tcBorders>
            <w:shd w:val="clear" w:color="auto" w:fill="auto"/>
          </w:tcPr>
          <w:p w14:paraId="6AA557D4" w14:textId="77777777" w:rsidR="00725768" w:rsidRPr="00ED126B" w:rsidRDefault="00725768" w:rsidP="0051060F">
            <w:pPr>
              <w:ind w:right="947"/>
              <w:jc w:val="right"/>
              <w:rPr>
                <w:color w:val="000000"/>
                <w:sz w:val="20"/>
                <w:szCs w:val="20"/>
              </w:rPr>
            </w:pPr>
            <w:r w:rsidRPr="00ED126B">
              <w:rPr>
                <w:sz w:val="20"/>
                <w:szCs w:val="20"/>
              </w:rPr>
              <w:t>18</w:t>
            </w:r>
          </w:p>
        </w:tc>
        <w:tc>
          <w:tcPr>
            <w:tcW w:w="2268" w:type="dxa"/>
            <w:tcBorders>
              <w:top w:val="single" w:sz="4" w:space="0" w:color="auto"/>
              <w:left w:val="nil"/>
              <w:bottom w:val="single" w:sz="4" w:space="0" w:color="auto"/>
              <w:right w:val="single" w:sz="4" w:space="0" w:color="auto"/>
            </w:tcBorders>
            <w:shd w:val="clear" w:color="auto" w:fill="auto"/>
          </w:tcPr>
          <w:p w14:paraId="64275055" w14:textId="77777777" w:rsidR="00725768" w:rsidRPr="00ED126B" w:rsidRDefault="00725768" w:rsidP="0051060F">
            <w:pPr>
              <w:ind w:right="879"/>
              <w:jc w:val="right"/>
              <w:rPr>
                <w:color w:val="000000"/>
                <w:sz w:val="20"/>
                <w:szCs w:val="20"/>
              </w:rPr>
            </w:pPr>
            <w:r w:rsidRPr="00ED126B">
              <w:rPr>
                <w:sz w:val="20"/>
                <w:szCs w:val="20"/>
              </w:rPr>
              <w:t>17</w:t>
            </w:r>
          </w:p>
        </w:tc>
      </w:tr>
      <w:tr w:rsidR="00725768" w:rsidRPr="00ED126B" w14:paraId="21C1CCF9" w14:textId="77777777" w:rsidTr="0051060F">
        <w:tc>
          <w:tcPr>
            <w:tcW w:w="2547" w:type="dxa"/>
            <w:tcBorders>
              <w:top w:val="nil"/>
              <w:left w:val="single" w:sz="4" w:space="0" w:color="auto"/>
              <w:bottom w:val="single" w:sz="4" w:space="0" w:color="auto"/>
              <w:right w:val="single" w:sz="4" w:space="0" w:color="auto"/>
            </w:tcBorders>
            <w:shd w:val="clear" w:color="auto" w:fill="auto"/>
            <w:vAlign w:val="bottom"/>
          </w:tcPr>
          <w:p w14:paraId="1A40C006" w14:textId="77777777" w:rsidR="00725768" w:rsidRPr="00ED126B" w:rsidRDefault="00725768" w:rsidP="0051060F">
            <w:pPr>
              <w:rPr>
                <w:color w:val="000000"/>
                <w:sz w:val="20"/>
                <w:szCs w:val="20"/>
              </w:rPr>
            </w:pPr>
            <w:r w:rsidRPr="00ED126B">
              <w:rPr>
                <w:color w:val="000000"/>
                <w:sz w:val="20"/>
                <w:szCs w:val="20"/>
              </w:rPr>
              <w:t>World Bank</w:t>
            </w:r>
          </w:p>
        </w:tc>
        <w:tc>
          <w:tcPr>
            <w:tcW w:w="2268" w:type="dxa"/>
            <w:tcBorders>
              <w:top w:val="nil"/>
              <w:left w:val="single" w:sz="4" w:space="0" w:color="auto"/>
              <w:bottom w:val="single" w:sz="4" w:space="0" w:color="auto"/>
              <w:right w:val="single" w:sz="4" w:space="0" w:color="auto"/>
            </w:tcBorders>
            <w:shd w:val="clear" w:color="auto" w:fill="auto"/>
          </w:tcPr>
          <w:p w14:paraId="411371B5" w14:textId="77777777" w:rsidR="00725768" w:rsidRPr="00ED126B" w:rsidRDefault="00725768" w:rsidP="0051060F">
            <w:pPr>
              <w:tabs>
                <w:tab w:val="left" w:pos="1213"/>
              </w:tabs>
              <w:ind w:right="845"/>
              <w:jc w:val="right"/>
              <w:rPr>
                <w:color w:val="000000"/>
                <w:sz w:val="20"/>
                <w:szCs w:val="20"/>
              </w:rPr>
            </w:pPr>
            <w:r w:rsidRPr="00ED126B">
              <w:rPr>
                <w:sz w:val="20"/>
                <w:szCs w:val="20"/>
              </w:rPr>
              <w:t>4</w:t>
            </w:r>
          </w:p>
        </w:tc>
        <w:tc>
          <w:tcPr>
            <w:tcW w:w="2268" w:type="dxa"/>
            <w:tcBorders>
              <w:top w:val="nil"/>
              <w:left w:val="single" w:sz="4" w:space="0" w:color="auto"/>
              <w:bottom w:val="single" w:sz="4" w:space="0" w:color="auto"/>
              <w:right w:val="single" w:sz="4" w:space="0" w:color="auto"/>
            </w:tcBorders>
            <w:shd w:val="clear" w:color="auto" w:fill="auto"/>
          </w:tcPr>
          <w:p w14:paraId="21FE0A31" w14:textId="77777777" w:rsidR="00725768" w:rsidRPr="00ED126B" w:rsidRDefault="00725768" w:rsidP="0051060F">
            <w:pPr>
              <w:ind w:right="947"/>
              <w:jc w:val="right"/>
              <w:rPr>
                <w:color w:val="000000"/>
                <w:sz w:val="20"/>
                <w:szCs w:val="20"/>
              </w:rPr>
            </w:pPr>
            <w:r w:rsidRPr="00ED126B">
              <w:rPr>
                <w:sz w:val="20"/>
                <w:szCs w:val="20"/>
              </w:rPr>
              <w:t>3</w:t>
            </w:r>
          </w:p>
        </w:tc>
        <w:tc>
          <w:tcPr>
            <w:tcW w:w="2268" w:type="dxa"/>
            <w:tcBorders>
              <w:top w:val="single" w:sz="4" w:space="0" w:color="auto"/>
              <w:left w:val="nil"/>
              <w:bottom w:val="single" w:sz="4" w:space="0" w:color="auto"/>
              <w:right w:val="single" w:sz="4" w:space="0" w:color="auto"/>
            </w:tcBorders>
            <w:shd w:val="clear" w:color="auto" w:fill="auto"/>
          </w:tcPr>
          <w:p w14:paraId="29D9C0AF" w14:textId="77777777" w:rsidR="00725768" w:rsidRPr="00ED126B" w:rsidRDefault="00725768" w:rsidP="0051060F">
            <w:pPr>
              <w:ind w:right="879"/>
              <w:jc w:val="right"/>
              <w:rPr>
                <w:color w:val="000000"/>
                <w:sz w:val="20"/>
                <w:szCs w:val="20"/>
              </w:rPr>
            </w:pPr>
            <w:r w:rsidRPr="00ED126B">
              <w:rPr>
                <w:sz w:val="20"/>
                <w:szCs w:val="20"/>
              </w:rPr>
              <w:t>1</w:t>
            </w:r>
          </w:p>
        </w:tc>
      </w:tr>
      <w:tr w:rsidR="00725768" w:rsidRPr="00ED126B" w14:paraId="3EC00C2F" w14:textId="77777777" w:rsidTr="0051060F">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22E1264E" w14:textId="77777777" w:rsidR="00725768" w:rsidRPr="00ED126B" w:rsidRDefault="00725768" w:rsidP="0051060F">
            <w:pPr>
              <w:rPr>
                <w:b/>
                <w:color w:val="000000"/>
                <w:sz w:val="20"/>
                <w:szCs w:val="20"/>
              </w:rPr>
            </w:pPr>
            <w:r w:rsidRPr="00ED126B">
              <w:rPr>
                <w:b/>
                <w:color w:val="000000"/>
                <w:sz w:val="20"/>
                <w:szCs w:val="20"/>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873A81" w14:textId="77777777" w:rsidR="00725768" w:rsidRPr="00ED126B" w:rsidRDefault="00725768" w:rsidP="0051060F">
            <w:pPr>
              <w:tabs>
                <w:tab w:val="left" w:pos="1213"/>
              </w:tabs>
              <w:ind w:right="845"/>
              <w:jc w:val="right"/>
              <w:rPr>
                <w:b/>
                <w:color w:val="000000"/>
                <w:sz w:val="20"/>
                <w:szCs w:val="20"/>
              </w:rPr>
            </w:pPr>
            <w:r w:rsidRPr="00ED126B">
              <w:rPr>
                <w:b/>
                <w:sz w:val="20"/>
                <w:szCs w:val="20"/>
              </w:rPr>
              <w:t>170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DC3B3C" w14:textId="77777777" w:rsidR="00725768" w:rsidRPr="00ED126B" w:rsidRDefault="00725768" w:rsidP="0051060F">
            <w:pPr>
              <w:ind w:right="947"/>
              <w:jc w:val="right"/>
              <w:rPr>
                <w:b/>
                <w:color w:val="000000"/>
                <w:sz w:val="20"/>
                <w:szCs w:val="20"/>
              </w:rPr>
            </w:pPr>
            <w:r w:rsidRPr="00ED126B">
              <w:rPr>
                <w:b/>
                <w:sz w:val="20"/>
                <w:szCs w:val="20"/>
              </w:rPr>
              <w:t>60</w:t>
            </w:r>
          </w:p>
        </w:tc>
        <w:tc>
          <w:tcPr>
            <w:tcW w:w="2268" w:type="dxa"/>
            <w:tcBorders>
              <w:top w:val="single" w:sz="4" w:space="0" w:color="auto"/>
              <w:left w:val="nil"/>
              <w:bottom w:val="single" w:sz="4" w:space="0" w:color="auto"/>
              <w:right w:val="single" w:sz="4" w:space="0" w:color="auto"/>
            </w:tcBorders>
            <w:shd w:val="clear" w:color="auto" w:fill="auto"/>
          </w:tcPr>
          <w:p w14:paraId="03D93482" w14:textId="77777777" w:rsidR="00725768" w:rsidRPr="00ED126B" w:rsidRDefault="00725768" w:rsidP="0051060F">
            <w:pPr>
              <w:ind w:right="879"/>
              <w:jc w:val="right"/>
              <w:rPr>
                <w:b/>
                <w:color w:val="000000"/>
                <w:sz w:val="20"/>
                <w:szCs w:val="20"/>
              </w:rPr>
            </w:pPr>
            <w:r w:rsidRPr="00ED126B">
              <w:rPr>
                <w:b/>
                <w:sz w:val="20"/>
                <w:szCs w:val="20"/>
              </w:rPr>
              <w:t>110</w:t>
            </w:r>
          </w:p>
        </w:tc>
      </w:tr>
    </w:tbl>
    <w:p w14:paraId="68A04050" w14:textId="77777777" w:rsidR="00725768" w:rsidRPr="00ED126B" w:rsidRDefault="00725768" w:rsidP="00725768">
      <w:pPr>
        <w:rPr>
          <w:strike/>
          <w:sz w:val="18"/>
          <w:szCs w:val="18"/>
        </w:rPr>
      </w:pPr>
      <w:r w:rsidRPr="00ED126B">
        <w:rPr>
          <w:sz w:val="18"/>
          <w:szCs w:val="18"/>
        </w:rPr>
        <w:t xml:space="preserve">*This includes 18 projects that are expected to be completed by June 2021; in line with decision 86/50, these projects do not require specific extension approval by the Executive Committee. </w:t>
      </w:r>
    </w:p>
    <w:p w14:paraId="66D023B6" w14:textId="77777777" w:rsidR="00725768" w:rsidRPr="00ED126B" w:rsidRDefault="00725768" w:rsidP="00725768"/>
    <w:p w14:paraId="59F6F779" w14:textId="77777777" w:rsidR="00725768" w:rsidRPr="00ED126B" w:rsidRDefault="00725768" w:rsidP="00725768">
      <w:pPr>
        <w:pStyle w:val="Heading1"/>
      </w:pPr>
      <w:r w:rsidRPr="00ED126B">
        <w:t>The agencies informed that in general, the implementation of investment projects and enabling activities was affected due to constraints imposed by the COVID</w:t>
      </w:r>
      <w:r w:rsidRPr="00ED126B">
        <w:noBreakHyphen/>
        <w:t xml:space="preserve">19 pandemic; the agencies in consultation with the national ozone units have attempted to conclude activities to the extent possible through virtual meetings and off-line activities (e.g., report preparation, data analysis with on-line field data). However, additional time is required to complete a number of activities (e.g., finalization of strategy, policy and legal documents relating to the Kigali Amendment, support for the ratification of the Kigali Amendment, implementation of training programmes, implementation of awareness and outreach workshops, installation of equipment and verification for investment projects).  </w:t>
      </w:r>
    </w:p>
    <w:p w14:paraId="7280CE8C" w14:textId="77777777" w:rsidR="00725768" w:rsidRPr="00ED126B" w:rsidRDefault="00725768" w:rsidP="00725768">
      <w:pPr>
        <w:pStyle w:val="Heading1"/>
      </w:pPr>
      <w:r w:rsidRPr="00ED126B">
        <w:t xml:space="preserve">The extension requests for enabling activities for HFC phase-down for Algeria (UNIDO), Belize (UNDP), Burundi (UNEP), Guinea (UNEP), Haiti (UNDP), and the Republic of Moldova (UNDP) are separately addressed in </w:t>
      </w:r>
      <w:r w:rsidR="00FD216C" w:rsidRPr="00621D13">
        <w:rPr>
          <w:kern w:val="36"/>
          <w:lang w:val="en-CA"/>
        </w:rPr>
        <w:t xml:space="preserve">paragraphs </w:t>
      </w:r>
      <w:r w:rsidR="00621D13" w:rsidRPr="00621D13">
        <w:rPr>
          <w:kern w:val="36"/>
          <w:lang w:val="en-CA"/>
        </w:rPr>
        <w:t>220</w:t>
      </w:r>
      <w:r w:rsidR="00FD216C" w:rsidRPr="00621D13">
        <w:rPr>
          <w:kern w:val="36"/>
          <w:lang w:val="en-CA"/>
        </w:rPr>
        <w:t xml:space="preserve"> to </w:t>
      </w:r>
      <w:r w:rsidR="00621D13" w:rsidRPr="00621D13">
        <w:rPr>
          <w:kern w:val="36"/>
          <w:lang w:val="en-CA"/>
        </w:rPr>
        <w:t>222</w:t>
      </w:r>
      <w:r w:rsidR="00FD216C">
        <w:rPr>
          <w:kern w:val="36"/>
          <w:lang w:val="en-CA"/>
        </w:rPr>
        <w:t xml:space="preserve"> </w:t>
      </w:r>
      <w:r w:rsidRPr="00ED126B">
        <w:t>of the present document, in line with decision 81/32(a).</w:t>
      </w:r>
      <w:r w:rsidRPr="00ED126B">
        <w:rPr>
          <w:rStyle w:val="FootnoteReference"/>
        </w:rPr>
        <w:footnoteReference w:id="49"/>
      </w:r>
      <w:r w:rsidRPr="00ED126B">
        <w:t xml:space="preserve"> </w:t>
      </w:r>
    </w:p>
    <w:p w14:paraId="5280B8C9" w14:textId="77777777" w:rsidR="00725768" w:rsidRPr="00ED126B" w:rsidRDefault="00725768" w:rsidP="00725768">
      <w:pPr>
        <w:pStyle w:val="Heading1"/>
        <w:keepNext/>
        <w:numPr>
          <w:ilvl w:val="0"/>
          <w:numId w:val="0"/>
        </w:numPr>
        <w:rPr>
          <w:b/>
        </w:rPr>
      </w:pPr>
      <w:r w:rsidRPr="00ED126B">
        <w:rPr>
          <w:b/>
        </w:rPr>
        <w:t>Secretariat’s comments</w:t>
      </w:r>
    </w:p>
    <w:p w14:paraId="2F3DCE76" w14:textId="77777777" w:rsidR="00725768" w:rsidRPr="00ED126B" w:rsidRDefault="00725768" w:rsidP="00725768">
      <w:pPr>
        <w:pStyle w:val="Heading1"/>
        <w:keepNext/>
      </w:pPr>
      <w:r w:rsidRPr="00ED126B">
        <w:t xml:space="preserve">The Secretariat notes that despite the constraints imposed by the COVID-19 pandemic, progress has been made with most of the HFC-related activities at advanced stages of implementation. Based on the information provided by bilateral and implementing agencies and further discussions as required, the </w:t>
      </w:r>
      <w:r w:rsidRPr="00ED126B">
        <w:lastRenderedPageBreak/>
        <w:t>Secretariat considers that the additional time requested would allow the countries to complete the remaining activities in a reasonable time</w:t>
      </w:r>
      <w:r w:rsidR="00621D13">
        <w:t>frame, as summarized in Annex VII</w:t>
      </w:r>
      <w:r w:rsidRPr="00ED126B">
        <w:t xml:space="preserve"> to the present document. </w:t>
      </w:r>
    </w:p>
    <w:p w14:paraId="71265DBB" w14:textId="77777777" w:rsidR="00725768" w:rsidRPr="00ED126B" w:rsidRDefault="00725768" w:rsidP="00725768">
      <w:pPr>
        <w:pStyle w:val="Heading1"/>
        <w:numPr>
          <w:ilvl w:val="0"/>
          <w:numId w:val="0"/>
        </w:numPr>
        <w:rPr>
          <w:b/>
        </w:rPr>
      </w:pPr>
      <w:r w:rsidRPr="00ED126B">
        <w:rPr>
          <w:b/>
        </w:rPr>
        <w:t>Recommendation</w:t>
      </w:r>
    </w:p>
    <w:p w14:paraId="67E6B91B" w14:textId="77777777" w:rsidR="00725768" w:rsidRPr="00ED126B" w:rsidRDefault="00725768" w:rsidP="00725768">
      <w:pPr>
        <w:pStyle w:val="Heading1"/>
      </w:pPr>
      <w:r w:rsidRPr="00ED126B">
        <w:t>The Executive Committee may wish:</w:t>
      </w:r>
    </w:p>
    <w:p w14:paraId="1958297C" w14:textId="77777777" w:rsidR="00725768" w:rsidRPr="00ED126B" w:rsidRDefault="00725768" w:rsidP="00725768">
      <w:pPr>
        <w:pStyle w:val="Heading2"/>
      </w:pPr>
      <w:r w:rsidRPr="00ED126B">
        <w:t>To note:</w:t>
      </w:r>
    </w:p>
    <w:p w14:paraId="663C4A5E" w14:textId="77777777" w:rsidR="00725768" w:rsidRPr="00ED126B" w:rsidRDefault="00725768" w:rsidP="00725768">
      <w:pPr>
        <w:pStyle w:val="Heading3"/>
      </w:pPr>
      <w:r w:rsidRPr="00ED126B">
        <w:t>The report on HFC-related activities that require an extension of their completion date, submitted by the Governments of Canada, France, Germany and Italy, and UNDP, UNEP, U</w:t>
      </w:r>
      <w:r w:rsidRPr="00621D13">
        <w:t xml:space="preserve">NIDO and the World Bank, and contained in paragraphs </w:t>
      </w:r>
      <w:r w:rsidR="00621D13" w:rsidRPr="00621D13">
        <w:t>214 to 219</w:t>
      </w:r>
      <w:r w:rsidRPr="00621D13">
        <w:t xml:space="preserve"> and Annex</w:t>
      </w:r>
      <w:r w:rsidRPr="00611EF2">
        <w:t xml:space="preserve"> </w:t>
      </w:r>
      <w:r w:rsidR="001175A4" w:rsidRPr="00611EF2">
        <w:t>VI</w:t>
      </w:r>
      <w:r w:rsidR="00621D13">
        <w:t>I</w:t>
      </w:r>
      <w:r w:rsidRPr="00ED126B">
        <w:t xml:space="preserve"> of document UNEP/OzL.Pro/ExCom/87/9;</w:t>
      </w:r>
    </w:p>
    <w:p w14:paraId="31FDED90" w14:textId="77777777" w:rsidR="00725768" w:rsidRPr="00ED126B" w:rsidRDefault="00725768" w:rsidP="00725768">
      <w:pPr>
        <w:pStyle w:val="Heading3"/>
      </w:pPr>
      <w:r w:rsidRPr="00ED126B">
        <w:t>With appreciation, the completion of 60 HFC-related projects and activities in light of constraints imposed by the COVID</w:t>
      </w:r>
      <w:r w:rsidRPr="00ED126B">
        <w:noBreakHyphen/>
        <w:t>19 pandemic in project implementation; and</w:t>
      </w:r>
    </w:p>
    <w:p w14:paraId="758F78FD" w14:textId="77777777" w:rsidR="00725768" w:rsidRPr="00ED126B" w:rsidRDefault="00725768" w:rsidP="00725768">
      <w:pPr>
        <w:pStyle w:val="Heading2"/>
      </w:pPr>
      <w:r w:rsidRPr="00ED126B">
        <w:t xml:space="preserve">To approve the extension of the HFC-related activities contained </w:t>
      </w:r>
      <w:r w:rsidRPr="00611EF2">
        <w:t xml:space="preserve">in Annex </w:t>
      </w:r>
      <w:r w:rsidR="001175A4" w:rsidRPr="00611EF2">
        <w:t>VI</w:t>
      </w:r>
      <w:r w:rsidR="00621D13">
        <w:t>I</w:t>
      </w:r>
      <w:r w:rsidRPr="00611EF2">
        <w:t xml:space="preserve"> to</w:t>
      </w:r>
      <w:r w:rsidRPr="00ED126B">
        <w:t xml:space="preserve"> the present document, to the date indicated in the last column</w:t>
      </w:r>
      <w:r w:rsidRPr="00ED126B" w:rsidDel="00CA4CC0">
        <w:t xml:space="preserve"> </w:t>
      </w:r>
      <w:r w:rsidRPr="00ED126B">
        <w:t>of the Annex, on an exceptional basis due to constraints on account of the COVID-19 pandemic; and to encourage bilateral and implementing agencies to continue assisting Article 5 countries in completing these activities as soon as possible.</w:t>
      </w:r>
    </w:p>
    <w:p w14:paraId="1C216D49" w14:textId="77777777" w:rsidR="00F63AF8" w:rsidRPr="00F63AF8" w:rsidRDefault="00F63AF8" w:rsidP="00F63AF8">
      <w:pPr>
        <w:keepNext/>
        <w:spacing w:after="160"/>
        <w:rPr>
          <w:b/>
        </w:rPr>
      </w:pPr>
      <w:r w:rsidRPr="00F63AF8">
        <w:rPr>
          <w:b/>
        </w:rPr>
        <w:t>Requests for extension of enabling activities</w:t>
      </w:r>
      <w:r>
        <w:rPr>
          <w:b/>
        </w:rPr>
        <w:t xml:space="preserve"> in line with decision 81/32(a)</w:t>
      </w:r>
    </w:p>
    <w:p w14:paraId="496A483C" w14:textId="77777777" w:rsidR="00F63AF8" w:rsidRPr="00621D13" w:rsidRDefault="00F63AF8" w:rsidP="00F63AF8">
      <w:pPr>
        <w:keepNext/>
        <w:numPr>
          <w:ilvl w:val="0"/>
          <w:numId w:val="1"/>
        </w:numPr>
        <w:tabs>
          <w:tab w:val="num" w:pos="710"/>
        </w:tabs>
        <w:spacing w:after="160"/>
        <w:outlineLvl w:val="0"/>
      </w:pPr>
      <w:r w:rsidRPr="00810D33">
        <w:t>In line with decision 81/32(a),</w:t>
      </w:r>
      <w:r w:rsidRPr="00810D33">
        <w:rPr>
          <w:vertAlign w:val="superscript"/>
        </w:rPr>
        <w:footnoteReference w:id="50"/>
      </w:r>
      <w:r w:rsidRPr="00810D33">
        <w:t xml:space="preserve"> on behalf of </w:t>
      </w:r>
      <w:r>
        <w:t>the Governments of six</w:t>
      </w:r>
      <w:r w:rsidRPr="00810D33">
        <w:t xml:space="preserve"> Article 5 countries, </w:t>
      </w:r>
      <w:r>
        <w:t xml:space="preserve">lead </w:t>
      </w:r>
      <w:r w:rsidRPr="00810D33">
        <w:t>implementing agenc</w:t>
      </w:r>
      <w:r w:rsidRPr="00621D13">
        <w:t>ies have submitted official requests for extension of enabling activities for the phase</w:t>
      </w:r>
      <w:r w:rsidRPr="00621D13">
        <w:noBreakHyphen/>
        <w:t xml:space="preserve">down of HFCs, as shown in Table </w:t>
      </w:r>
      <w:r w:rsidR="00621D13" w:rsidRPr="00621D13">
        <w:t>16</w:t>
      </w:r>
      <w:r w:rsidRPr="00621D13">
        <w:t xml:space="preserve">. </w:t>
      </w:r>
    </w:p>
    <w:p w14:paraId="0D6200EA" w14:textId="77777777" w:rsidR="00F63AF8" w:rsidRPr="001B06F4" w:rsidRDefault="00F63AF8" w:rsidP="00F63AF8">
      <w:pPr>
        <w:outlineLvl w:val="0"/>
        <w:rPr>
          <w:b/>
        </w:rPr>
      </w:pPr>
      <w:r w:rsidRPr="00621D13">
        <w:rPr>
          <w:b/>
        </w:rPr>
        <w:t xml:space="preserve">Table </w:t>
      </w:r>
      <w:r w:rsidR="00621D13" w:rsidRPr="00621D13">
        <w:rPr>
          <w:b/>
        </w:rPr>
        <w:t>16.</w:t>
      </w:r>
      <w:r w:rsidRPr="00621D13">
        <w:rPr>
          <w:b/>
        </w:rPr>
        <w:t xml:space="preserve"> Requests</w:t>
      </w:r>
      <w:r w:rsidRPr="001B06F4">
        <w:rPr>
          <w:b/>
        </w:rPr>
        <w:t xml:space="preserve"> for extension of enabling activities for HFC phase-down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56"/>
        <w:gridCol w:w="2098"/>
        <w:gridCol w:w="2098"/>
        <w:gridCol w:w="2098"/>
      </w:tblGrid>
      <w:tr w:rsidR="00F63AF8" w:rsidRPr="001B06F4" w14:paraId="2B68A430" w14:textId="77777777" w:rsidTr="00F63AF8">
        <w:trPr>
          <w:tblHeader/>
        </w:trPr>
        <w:tc>
          <w:tcPr>
            <w:tcW w:w="1634" w:type="pct"/>
            <w:shd w:val="clear" w:color="auto" w:fill="auto"/>
            <w:tcMar>
              <w:top w:w="0" w:type="dxa"/>
              <w:left w:w="108" w:type="dxa"/>
              <w:bottom w:w="0" w:type="dxa"/>
              <w:right w:w="108" w:type="dxa"/>
            </w:tcMar>
          </w:tcPr>
          <w:p w14:paraId="03C9BFB1" w14:textId="77777777" w:rsidR="00F63AF8" w:rsidRPr="001B06F4" w:rsidRDefault="00F63AF8" w:rsidP="00F63AF8">
            <w:pPr>
              <w:jc w:val="left"/>
              <w:rPr>
                <w:b/>
                <w:bCs/>
                <w:sz w:val="20"/>
                <w:szCs w:val="20"/>
                <w:lang w:eastAsia="zh-CN"/>
              </w:rPr>
            </w:pPr>
            <w:r w:rsidRPr="001B06F4">
              <w:rPr>
                <w:b/>
                <w:bCs/>
                <w:sz w:val="20"/>
                <w:szCs w:val="20"/>
                <w:lang w:eastAsia="zh-CN"/>
              </w:rPr>
              <w:t>Country</w:t>
            </w:r>
          </w:p>
        </w:tc>
        <w:tc>
          <w:tcPr>
            <w:tcW w:w="1122" w:type="pct"/>
            <w:shd w:val="clear" w:color="auto" w:fill="auto"/>
            <w:tcMar>
              <w:top w:w="0" w:type="dxa"/>
              <w:left w:w="108" w:type="dxa"/>
              <w:bottom w:w="0" w:type="dxa"/>
              <w:right w:w="108" w:type="dxa"/>
            </w:tcMar>
          </w:tcPr>
          <w:p w14:paraId="6DCBA2FE" w14:textId="77777777" w:rsidR="00F63AF8" w:rsidRPr="001B06F4" w:rsidRDefault="00F63AF8" w:rsidP="00F63AF8">
            <w:pPr>
              <w:jc w:val="center"/>
              <w:rPr>
                <w:b/>
                <w:bCs/>
                <w:sz w:val="20"/>
                <w:szCs w:val="20"/>
              </w:rPr>
            </w:pPr>
            <w:r w:rsidRPr="001B06F4">
              <w:rPr>
                <w:b/>
                <w:bCs/>
                <w:sz w:val="20"/>
                <w:szCs w:val="20"/>
              </w:rPr>
              <w:t>Lead agency</w:t>
            </w:r>
          </w:p>
        </w:tc>
        <w:tc>
          <w:tcPr>
            <w:tcW w:w="1122" w:type="pct"/>
            <w:shd w:val="clear" w:color="auto" w:fill="auto"/>
            <w:tcMar>
              <w:top w:w="0" w:type="dxa"/>
              <w:left w:w="108" w:type="dxa"/>
              <w:bottom w:w="0" w:type="dxa"/>
              <w:right w:w="108" w:type="dxa"/>
            </w:tcMar>
          </w:tcPr>
          <w:p w14:paraId="3838E53B" w14:textId="77777777" w:rsidR="00F63AF8" w:rsidRPr="001B06F4" w:rsidRDefault="00F63AF8" w:rsidP="00F63AF8">
            <w:pPr>
              <w:jc w:val="center"/>
              <w:rPr>
                <w:b/>
                <w:bCs/>
                <w:sz w:val="20"/>
                <w:szCs w:val="20"/>
              </w:rPr>
            </w:pPr>
            <w:r w:rsidRPr="001B06F4">
              <w:rPr>
                <w:b/>
                <w:bCs/>
                <w:sz w:val="20"/>
                <w:szCs w:val="20"/>
              </w:rPr>
              <w:t>Completion date</w:t>
            </w:r>
          </w:p>
        </w:tc>
        <w:tc>
          <w:tcPr>
            <w:tcW w:w="1122" w:type="pct"/>
          </w:tcPr>
          <w:p w14:paraId="79BEE51E" w14:textId="77777777" w:rsidR="00F63AF8" w:rsidRPr="001B06F4" w:rsidRDefault="00F63AF8" w:rsidP="00F63AF8">
            <w:pPr>
              <w:jc w:val="center"/>
              <w:rPr>
                <w:b/>
                <w:bCs/>
                <w:sz w:val="20"/>
                <w:szCs w:val="20"/>
              </w:rPr>
            </w:pPr>
            <w:r w:rsidRPr="001B06F4">
              <w:rPr>
                <w:b/>
                <w:bCs/>
                <w:sz w:val="20"/>
                <w:szCs w:val="20"/>
              </w:rPr>
              <w:t>Extension date</w:t>
            </w:r>
          </w:p>
        </w:tc>
      </w:tr>
      <w:tr w:rsidR="00F63AF8" w:rsidRPr="001B06F4" w14:paraId="42C286F3" w14:textId="77777777" w:rsidTr="00F63AF8">
        <w:tc>
          <w:tcPr>
            <w:tcW w:w="1634" w:type="pct"/>
            <w:shd w:val="clear" w:color="auto" w:fill="auto"/>
            <w:tcMar>
              <w:top w:w="0" w:type="dxa"/>
              <w:left w:w="108" w:type="dxa"/>
              <w:bottom w:w="0" w:type="dxa"/>
              <w:right w:w="108" w:type="dxa"/>
            </w:tcMar>
          </w:tcPr>
          <w:p w14:paraId="686F9BAE" w14:textId="77777777" w:rsidR="00F63AF8" w:rsidRPr="001B06F4" w:rsidRDefault="00F63AF8" w:rsidP="00F63AF8">
            <w:pPr>
              <w:rPr>
                <w:sz w:val="20"/>
                <w:szCs w:val="20"/>
                <w:lang w:val="en-US"/>
              </w:rPr>
            </w:pPr>
            <w:r w:rsidRPr="001B06F4">
              <w:rPr>
                <w:sz w:val="20"/>
                <w:szCs w:val="20"/>
                <w:lang w:val="en-US"/>
              </w:rPr>
              <w:t>Algeria</w:t>
            </w:r>
          </w:p>
        </w:tc>
        <w:tc>
          <w:tcPr>
            <w:tcW w:w="1122" w:type="pct"/>
            <w:shd w:val="clear" w:color="auto" w:fill="auto"/>
            <w:tcMar>
              <w:top w:w="0" w:type="dxa"/>
              <w:left w:w="720" w:type="dxa"/>
              <w:bottom w:w="0" w:type="dxa"/>
              <w:right w:w="115" w:type="dxa"/>
            </w:tcMar>
            <w:vAlign w:val="center"/>
          </w:tcPr>
          <w:p w14:paraId="1CB43EAD" w14:textId="77777777" w:rsidR="00F63AF8" w:rsidRPr="001B06F4" w:rsidRDefault="00F63AF8" w:rsidP="00F63AF8">
            <w:pPr>
              <w:jc w:val="left"/>
              <w:rPr>
                <w:sz w:val="20"/>
                <w:szCs w:val="20"/>
              </w:rPr>
            </w:pPr>
            <w:r w:rsidRPr="001B06F4">
              <w:rPr>
                <w:sz w:val="20"/>
                <w:szCs w:val="20"/>
              </w:rPr>
              <w:t>UNIDO</w:t>
            </w:r>
          </w:p>
        </w:tc>
        <w:tc>
          <w:tcPr>
            <w:tcW w:w="1122" w:type="pct"/>
            <w:shd w:val="clear" w:color="auto" w:fill="auto"/>
            <w:tcMar>
              <w:top w:w="0" w:type="dxa"/>
              <w:left w:w="108" w:type="dxa"/>
              <w:bottom w:w="0" w:type="dxa"/>
              <w:right w:w="108" w:type="dxa"/>
            </w:tcMar>
            <w:vAlign w:val="center"/>
          </w:tcPr>
          <w:p w14:paraId="49D52BDE" w14:textId="77777777" w:rsidR="00F63AF8" w:rsidRPr="001B06F4" w:rsidRDefault="00F63AF8" w:rsidP="00F63AF8">
            <w:pPr>
              <w:jc w:val="left"/>
              <w:rPr>
                <w:sz w:val="20"/>
                <w:szCs w:val="20"/>
                <w:lang w:val="en-CA" w:eastAsia="zh-CN"/>
              </w:rPr>
            </w:pPr>
            <w:r w:rsidRPr="001B06F4">
              <w:rPr>
                <w:sz w:val="20"/>
                <w:szCs w:val="20"/>
                <w:lang w:val="en-CA" w:eastAsia="zh-CN"/>
              </w:rPr>
              <w:t>30 June 2021</w:t>
            </w:r>
          </w:p>
        </w:tc>
        <w:tc>
          <w:tcPr>
            <w:tcW w:w="1122" w:type="pct"/>
            <w:vAlign w:val="center"/>
          </w:tcPr>
          <w:p w14:paraId="1200C642" w14:textId="77777777" w:rsidR="00F63AF8" w:rsidRPr="001B06F4" w:rsidRDefault="00F63AF8" w:rsidP="00F63AF8">
            <w:pPr>
              <w:jc w:val="left"/>
              <w:rPr>
                <w:sz w:val="20"/>
                <w:szCs w:val="20"/>
                <w:lang w:val="en-CA" w:eastAsia="zh-CN"/>
              </w:rPr>
            </w:pPr>
            <w:r w:rsidRPr="001B06F4">
              <w:rPr>
                <w:sz w:val="20"/>
                <w:szCs w:val="20"/>
                <w:lang w:val="en-CA" w:eastAsia="zh-CN"/>
              </w:rPr>
              <w:t>30 June 2022</w:t>
            </w:r>
          </w:p>
        </w:tc>
      </w:tr>
      <w:tr w:rsidR="00F63AF8" w:rsidRPr="001B06F4" w14:paraId="5647EB86" w14:textId="77777777" w:rsidTr="00F63AF8">
        <w:tc>
          <w:tcPr>
            <w:tcW w:w="1634" w:type="pct"/>
            <w:shd w:val="clear" w:color="auto" w:fill="auto"/>
            <w:tcMar>
              <w:top w:w="0" w:type="dxa"/>
              <w:left w:w="108" w:type="dxa"/>
              <w:bottom w:w="0" w:type="dxa"/>
              <w:right w:w="108" w:type="dxa"/>
            </w:tcMar>
          </w:tcPr>
          <w:p w14:paraId="3BC0023A" w14:textId="77777777" w:rsidR="00F63AF8" w:rsidRPr="001B06F4" w:rsidRDefault="00F63AF8" w:rsidP="00F63AF8">
            <w:pPr>
              <w:rPr>
                <w:sz w:val="20"/>
                <w:szCs w:val="20"/>
                <w:lang w:eastAsia="zh-CN"/>
              </w:rPr>
            </w:pPr>
            <w:r w:rsidRPr="001B06F4">
              <w:rPr>
                <w:sz w:val="20"/>
                <w:szCs w:val="20"/>
                <w:lang w:val="en-US"/>
              </w:rPr>
              <w:t>Belize</w:t>
            </w:r>
            <w:r>
              <w:rPr>
                <w:sz w:val="20"/>
                <w:szCs w:val="20"/>
                <w:lang w:val="en-US"/>
              </w:rPr>
              <w:t>*</w:t>
            </w:r>
          </w:p>
        </w:tc>
        <w:tc>
          <w:tcPr>
            <w:tcW w:w="1122" w:type="pct"/>
            <w:shd w:val="clear" w:color="auto" w:fill="auto"/>
            <w:tcMar>
              <w:top w:w="0" w:type="dxa"/>
              <w:left w:w="720" w:type="dxa"/>
              <w:bottom w:w="0" w:type="dxa"/>
              <w:right w:w="115" w:type="dxa"/>
            </w:tcMar>
            <w:vAlign w:val="center"/>
          </w:tcPr>
          <w:p w14:paraId="50223EC4" w14:textId="77777777" w:rsidR="00F63AF8" w:rsidRPr="001B06F4" w:rsidRDefault="00F63AF8" w:rsidP="00F63AF8">
            <w:pPr>
              <w:jc w:val="left"/>
              <w:rPr>
                <w:sz w:val="20"/>
                <w:szCs w:val="20"/>
                <w:lang w:eastAsia="zh-CN"/>
              </w:rPr>
            </w:pPr>
            <w:r w:rsidRPr="001B06F4">
              <w:rPr>
                <w:sz w:val="20"/>
                <w:szCs w:val="20"/>
              </w:rPr>
              <w:t>UNDP</w:t>
            </w:r>
          </w:p>
        </w:tc>
        <w:tc>
          <w:tcPr>
            <w:tcW w:w="1122" w:type="pct"/>
            <w:shd w:val="clear" w:color="auto" w:fill="auto"/>
            <w:tcMar>
              <w:top w:w="0" w:type="dxa"/>
              <w:left w:w="108" w:type="dxa"/>
              <w:bottom w:w="0" w:type="dxa"/>
              <w:right w:w="108" w:type="dxa"/>
            </w:tcMar>
            <w:vAlign w:val="center"/>
          </w:tcPr>
          <w:p w14:paraId="4CCEBAEC" w14:textId="77777777" w:rsidR="00F63AF8" w:rsidRPr="001B06F4" w:rsidRDefault="00F63AF8" w:rsidP="00F63AF8">
            <w:pPr>
              <w:jc w:val="left"/>
              <w:rPr>
                <w:sz w:val="20"/>
                <w:szCs w:val="20"/>
                <w:lang w:eastAsia="zh-CN"/>
              </w:rPr>
            </w:pPr>
            <w:r w:rsidRPr="001B06F4">
              <w:rPr>
                <w:sz w:val="20"/>
                <w:szCs w:val="20"/>
                <w:lang w:eastAsia="zh-CN"/>
              </w:rPr>
              <w:t>31 December 2021</w:t>
            </w:r>
          </w:p>
        </w:tc>
        <w:tc>
          <w:tcPr>
            <w:tcW w:w="1122" w:type="pct"/>
            <w:vAlign w:val="center"/>
          </w:tcPr>
          <w:p w14:paraId="31E5C1C8" w14:textId="77777777" w:rsidR="00F63AF8" w:rsidRPr="001B06F4" w:rsidRDefault="00F63AF8" w:rsidP="00F63AF8">
            <w:pPr>
              <w:jc w:val="left"/>
              <w:rPr>
                <w:sz w:val="20"/>
                <w:szCs w:val="20"/>
                <w:lang w:val="en-CA" w:eastAsia="zh-CN"/>
              </w:rPr>
            </w:pPr>
            <w:r w:rsidRPr="001B06F4">
              <w:rPr>
                <w:sz w:val="20"/>
                <w:szCs w:val="20"/>
                <w:lang w:val="en-CA" w:eastAsia="zh-CN"/>
              </w:rPr>
              <w:t>30 June 2022</w:t>
            </w:r>
          </w:p>
        </w:tc>
      </w:tr>
      <w:tr w:rsidR="00F63AF8" w:rsidRPr="001B06F4" w14:paraId="1BFC178A" w14:textId="77777777" w:rsidTr="00F63AF8">
        <w:tc>
          <w:tcPr>
            <w:tcW w:w="1634" w:type="pct"/>
            <w:shd w:val="clear" w:color="auto" w:fill="auto"/>
            <w:tcMar>
              <w:top w:w="0" w:type="dxa"/>
              <w:left w:w="108" w:type="dxa"/>
              <w:bottom w:w="0" w:type="dxa"/>
              <w:right w:w="108" w:type="dxa"/>
            </w:tcMar>
          </w:tcPr>
          <w:p w14:paraId="202353AA" w14:textId="77777777" w:rsidR="00F63AF8" w:rsidRPr="001B06F4" w:rsidRDefault="00F63AF8" w:rsidP="00F63AF8">
            <w:pPr>
              <w:rPr>
                <w:sz w:val="20"/>
                <w:szCs w:val="20"/>
                <w:lang w:eastAsia="zh-CN"/>
              </w:rPr>
            </w:pPr>
            <w:r w:rsidRPr="001B06F4">
              <w:rPr>
                <w:sz w:val="20"/>
                <w:szCs w:val="20"/>
                <w:lang w:val="en-US"/>
              </w:rPr>
              <w:t>Burundi</w:t>
            </w:r>
          </w:p>
        </w:tc>
        <w:tc>
          <w:tcPr>
            <w:tcW w:w="1122" w:type="pct"/>
            <w:shd w:val="clear" w:color="auto" w:fill="auto"/>
            <w:tcMar>
              <w:top w:w="0" w:type="dxa"/>
              <w:left w:w="720" w:type="dxa"/>
              <w:bottom w:w="0" w:type="dxa"/>
              <w:right w:w="115" w:type="dxa"/>
            </w:tcMar>
            <w:vAlign w:val="center"/>
          </w:tcPr>
          <w:p w14:paraId="064D6E63" w14:textId="77777777" w:rsidR="00F63AF8" w:rsidRPr="001B06F4" w:rsidRDefault="00F63AF8" w:rsidP="00F63AF8">
            <w:pPr>
              <w:jc w:val="left"/>
              <w:rPr>
                <w:sz w:val="20"/>
                <w:szCs w:val="20"/>
              </w:rPr>
            </w:pPr>
            <w:r w:rsidRPr="001B06F4">
              <w:rPr>
                <w:sz w:val="20"/>
                <w:szCs w:val="20"/>
              </w:rPr>
              <w:t>UNEP</w:t>
            </w:r>
          </w:p>
        </w:tc>
        <w:tc>
          <w:tcPr>
            <w:tcW w:w="1122" w:type="pct"/>
            <w:shd w:val="clear" w:color="auto" w:fill="auto"/>
            <w:tcMar>
              <w:top w:w="0" w:type="dxa"/>
              <w:left w:w="108" w:type="dxa"/>
              <w:bottom w:w="0" w:type="dxa"/>
              <w:right w:w="108" w:type="dxa"/>
            </w:tcMar>
            <w:vAlign w:val="center"/>
          </w:tcPr>
          <w:p w14:paraId="63908655" w14:textId="77777777" w:rsidR="00F63AF8" w:rsidRPr="001B06F4" w:rsidRDefault="00F63AF8" w:rsidP="00F63AF8">
            <w:pPr>
              <w:jc w:val="left"/>
              <w:rPr>
                <w:sz w:val="20"/>
                <w:szCs w:val="20"/>
              </w:rPr>
            </w:pPr>
            <w:r w:rsidRPr="001B06F4">
              <w:rPr>
                <w:sz w:val="20"/>
                <w:szCs w:val="20"/>
              </w:rPr>
              <w:t>31 December 2021</w:t>
            </w:r>
          </w:p>
        </w:tc>
        <w:tc>
          <w:tcPr>
            <w:tcW w:w="1122" w:type="pct"/>
            <w:vAlign w:val="center"/>
          </w:tcPr>
          <w:p w14:paraId="3A7E57D3" w14:textId="77777777" w:rsidR="00F63AF8" w:rsidRPr="001B06F4" w:rsidRDefault="00F63AF8" w:rsidP="00F63AF8">
            <w:pPr>
              <w:jc w:val="left"/>
              <w:rPr>
                <w:sz w:val="20"/>
                <w:szCs w:val="20"/>
                <w:lang w:val="en-CA" w:eastAsia="zh-CN"/>
              </w:rPr>
            </w:pPr>
            <w:r w:rsidRPr="001B06F4">
              <w:rPr>
                <w:sz w:val="20"/>
                <w:szCs w:val="20"/>
                <w:lang w:val="en-CA" w:eastAsia="zh-CN"/>
              </w:rPr>
              <w:t>30 June 2022</w:t>
            </w:r>
          </w:p>
        </w:tc>
      </w:tr>
      <w:tr w:rsidR="00F63AF8" w:rsidRPr="001B06F4" w14:paraId="6740A5AC" w14:textId="77777777" w:rsidTr="00F63AF8">
        <w:tc>
          <w:tcPr>
            <w:tcW w:w="1634" w:type="pct"/>
            <w:shd w:val="clear" w:color="auto" w:fill="auto"/>
            <w:tcMar>
              <w:top w:w="0" w:type="dxa"/>
              <w:left w:w="108" w:type="dxa"/>
              <w:bottom w:w="0" w:type="dxa"/>
              <w:right w:w="108" w:type="dxa"/>
            </w:tcMar>
          </w:tcPr>
          <w:p w14:paraId="311FD377" w14:textId="77777777" w:rsidR="00F63AF8" w:rsidRPr="001B06F4" w:rsidRDefault="00F63AF8" w:rsidP="00F63AF8">
            <w:pPr>
              <w:rPr>
                <w:sz w:val="20"/>
                <w:szCs w:val="20"/>
                <w:lang w:eastAsia="zh-CN"/>
              </w:rPr>
            </w:pPr>
            <w:r w:rsidRPr="001B06F4">
              <w:rPr>
                <w:sz w:val="20"/>
                <w:szCs w:val="20"/>
                <w:lang w:eastAsia="zh-CN"/>
              </w:rPr>
              <w:t>Guinea</w:t>
            </w:r>
          </w:p>
        </w:tc>
        <w:tc>
          <w:tcPr>
            <w:tcW w:w="1122" w:type="pct"/>
            <w:shd w:val="clear" w:color="auto" w:fill="auto"/>
            <w:tcMar>
              <w:top w:w="0" w:type="dxa"/>
              <w:left w:w="720" w:type="dxa"/>
              <w:bottom w:w="0" w:type="dxa"/>
              <w:right w:w="115" w:type="dxa"/>
            </w:tcMar>
            <w:vAlign w:val="center"/>
          </w:tcPr>
          <w:p w14:paraId="2D0036E7" w14:textId="77777777" w:rsidR="00F63AF8" w:rsidRPr="001B06F4" w:rsidRDefault="00F63AF8" w:rsidP="00F63AF8">
            <w:pPr>
              <w:jc w:val="left"/>
              <w:rPr>
                <w:sz w:val="20"/>
                <w:szCs w:val="20"/>
              </w:rPr>
            </w:pPr>
            <w:r w:rsidRPr="001B06F4">
              <w:rPr>
                <w:sz w:val="20"/>
                <w:szCs w:val="20"/>
              </w:rPr>
              <w:t>UNEP</w:t>
            </w:r>
          </w:p>
        </w:tc>
        <w:tc>
          <w:tcPr>
            <w:tcW w:w="1122" w:type="pct"/>
            <w:shd w:val="clear" w:color="auto" w:fill="auto"/>
            <w:tcMar>
              <w:top w:w="0" w:type="dxa"/>
              <w:left w:w="108" w:type="dxa"/>
              <w:bottom w:w="0" w:type="dxa"/>
              <w:right w:w="108" w:type="dxa"/>
            </w:tcMar>
            <w:vAlign w:val="center"/>
          </w:tcPr>
          <w:p w14:paraId="7C46F802" w14:textId="77777777" w:rsidR="00F63AF8" w:rsidRPr="001B06F4" w:rsidRDefault="00F63AF8" w:rsidP="00F63AF8">
            <w:pPr>
              <w:jc w:val="left"/>
              <w:rPr>
                <w:sz w:val="20"/>
                <w:szCs w:val="20"/>
              </w:rPr>
            </w:pPr>
            <w:r w:rsidRPr="001B06F4">
              <w:rPr>
                <w:sz w:val="20"/>
                <w:szCs w:val="20"/>
              </w:rPr>
              <w:t>31 December 2021</w:t>
            </w:r>
          </w:p>
        </w:tc>
        <w:tc>
          <w:tcPr>
            <w:tcW w:w="1122" w:type="pct"/>
            <w:vAlign w:val="center"/>
          </w:tcPr>
          <w:p w14:paraId="49A5587E" w14:textId="77777777" w:rsidR="00F63AF8" w:rsidRPr="001B06F4" w:rsidRDefault="00F63AF8" w:rsidP="00F63AF8">
            <w:pPr>
              <w:jc w:val="left"/>
              <w:rPr>
                <w:sz w:val="20"/>
                <w:szCs w:val="20"/>
                <w:lang w:val="en-CA" w:eastAsia="zh-CN"/>
              </w:rPr>
            </w:pPr>
            <w:r w:rsidRPr="001B06F4">
              <w:rPr>
                <w:sz w:val="20"/>
                <w:szCs w:val="20"/>
                <w:lang w:val="en-CA" w:eastAsia="zh-CN"/>
              </w:rPr>
              <w:t>31 December 2022</w:t>
            </w:r>
          </w:p>
        </w:tc>
      </w:tr>
      <w:tr w:rsidR="00F63AF8" w:rsidRPr="001B06F4" w14:paraId="4F92ECC1" w14:textId="77777777" w:rsidTr="00F63AF8">
        <w:tc>
          <w:tcPr>
            <w:tcW w:w="1634" w:type="pct"/>
            <w:shd w:val="clear" w:color="auto" w:fill="auto"/>
            <w:tcMar>
              <w:top w:w="0" w:type="dxa"/>
              <w:left w:w="108" w:type="dxa"/>
              <w:bottom w:w="0" w:type="dxa"/>
              <w:right w:w="108" w:type="dxa"/>
            </w:tcMar>
          </w:tcPr>
          <w:p w14:paraId="3620B7C3" w14:textId="77777777" w:rsidR="00F63AF8" w:rsidRPr="001B06F4" w:rsidRDefault="00F63AF8" w:rsidP="00F63AF8">
            <w:pPr>
              <w:rPr>
                <w:sz w:val="20"/>
                <w:szCs w:val="20"/>
                <w:lang w:eastAsia="zh-CN"/>
              </w:rPr>
            </w:pPr>
            <w:r w:rsidRPr="001B06F4">
              <w:rPr>
                <w:sz w:val="20"/>
                <w:szCs w:val="20"/>
                <w:lang w:eastAsia="zh-CN"/>
              </w:rPr>
              <w:t>Haiti</w:t>
            </w:r>
          </w:p>
        </w:tc>
        <w:tc>
          <w:tcPr>
            <w:tcW w:w="1122" w:type="pct"/>
            <w:shd w:val="clear" w:color="auto" w:fill="auto"/>
            <w:tcMar>
              <w:top w:w="0" w:type="dxa"/>
              <w:left w:w="720" w:type="dxa"/>
              <w:bottom w:w="0" w:type="dxa"/>
              <w:right w:w="115" w:type="dxa"/>
            </w:tcMar>
            <w:vAlign w:val="center"/>
          </w:tcPr>
          <w:p w14:paraId="20368C7B" w14:textId="77777777" w:rsidR="00F63AF8" w:rsidRPr="001B06F4" w:rsidRDefault="00F63AF8" w:rsidP="00F63AF8">
            <w:pPr>
              <w:jc w:val="left"/>
              <w:rPr>
                <w:sz w:val="20"/>
                <w:szCs w:val="20"/>
              </w:rPr>
            </w:pPr>
            <w:r w:rsidRPr="001B06F4">
              <w:rPr>
                <w:sz w:val="20"/>
                <w:szCs w:val="20"/>
              </w:rPr>
              <w:t>UNDP</w:t>
            </w:r>
          </w:p>
        </w:tc>
        <w:tc>
          <w:tcPr>
            <w:tcW w:w="1122" w:type="pct"/>
            <w:shd w:val="clear" w:color="auto" w:fill="auto"/>
            <w:tcMar>
              <w:top w:w="0" w:type="dxa"/>
              <w:left w:w="108" w:type="dxa"/>
              <w:bottom w:w="0" w:type="dxa"/>
              <w:right w:w="108" w:type="dxa"/>
            </w:tcMar>
            <w:vAlign w:val="center"/>
          </w:tcPr>
          <w:p w14:paraId="67B81FF3" w14:textId="77777777" w:rsidR="00F63AF8" w:rsidRPr="001B06F4" w:rsidRDefault="00F63AF8" w:rsidP="00F63AF8">
            <w:pPr>
              <w:jc w:val="left"/>
              <w:rPr>
                <w:sz w:val="20"/>
                <w:szCs w:val="20"/>
              </w:rPr>
            </w:pPr>
            <w:r w:rsidRPr="001B06F4">
              <w:rPr>
                <w:sz w:val="20"/>
                <w:szCs w:val="20"/>
                <w:lang w:val="en-CA" w:eastAsia="zh-CN"/>
              </w:rPr>
              <w:t>30 June 2021</w:t>
            </w:r>
          </w:p>
        </w:tc>
        <w:tc>
          <w:tcPr>
            <w:tcW w:w="1122" w:type="pct"/>
            <w:vAlign w:val="center"/>
          </w:tcPr>
          <w:p w14:paraId="1DAEA23E" w14:textId="77777777" w:rsidR="00F63AF8" w:rsidRPr="001B06F4" w:rsidRDefault="00F63AF8" w:rsidP="00F63AF8">
            <w:pPr>
              <w:jc w:val="left"/>
              <w:rPr>
                <w:sz w:val="20"/>
                <w:szCs w:val="20"/>
                <w:lang w:val="en-CA" w:eastAsia="zh-CN"/>
              </w:rPr>
            </w:pPr>
            <w:r w:rsidRPr="001B06F4">
              <w:rPr>
                <w:sz w:val="20"/>
                <w:szCs w:val="20"/>
                <w:lang w:val="en-CA" w:eastAsia="zh-CN"/>
              </w:rPr>
              <w:t>30 June 2022</w:t>
            </w:r>
          </w:p>
        </w:tc>
      </w:tr>
      <w:tr w:rsidR="00F63AF8" w:rsidRPr="001B06F4" w14:paraId="05945218" w14:textId="77777777" w:rsidTr="00F63AF8">
        <w:tc>
          <w:tcPr>
            <w:tcW w:w="1634" w:type="pct"/>
            <w:shd w:val="clear" w:color="auto" w:fill="auto"/>
            <w:tcMar>
              <w:top w:w="0" w:type="dxa"/>
              <w:left w:w="108" w:type="dxa"/>
              <w:bottom w:w="0" w:type="dxa"/>
              <w:right w:w="108" w:type="dxa"/>
            </w:tcMar>
          </w:tcPr>
          <w:p w14:paraId="529185D9" w14:textId="77777777" w:rsidR="00F63AF8" w:rsidRPr="001B06F4" w:rsidRDefault="00F63AF8" w:rsidP="00F63AF8">
            <w:pPr>
              <w:rPr>
                <w:sz w:val="20"/>
                <w:szCs w:val="20"/>
                <w:lang w:eastAsia="zh-CN"/>
              </w:rPr>
            </w:pPr>
            <w:r>
              <w:rPr>
                <w:sz w:val="20"/>
                <w:szCs w:val="20"/>
                <w:lang w:eastAsia="zh-CN"/>
              </w:rPr>
              <w:t xml:space="preserve">Republic of </w:t>
            </w:r>
            <w:r w:rsidRPr="001B06F4">
              <w:rPr>
                <w:sz w:val="20"/>
                <w:szCs w:val="20"/>
                <w:lang w:eastAsia="zh-CN"/>
              </w:rPr>
              <w:t>Moldova</w:t>
            </w:r>
          </w:p>
        </w:tc>
        <w:tc>
          <w:tcPr>
            <w:tcW w:w="1122" w:type="pct"/>
            <w:shd w:val="clear" w:color="auto" w:fill="auto"/>
            <w:tcMar>
              <w:top w:w="0" w:type="dxa"/>
              <w:left w:w="720" w:type="dxa"/>
              <w:bottom w:w="0" w:type="dxa"/>
              <w:right w:w="115" w:type="dxa"/>
            </w:tcMar>
            <w:vAlign w:val="center"/>
          </w:tcPr>
          <w:p w14:paraId="33C8B897" w14:textId="77777777" w:rsidR="00F63AF8" w:rsidRPr="001B06F4" w:rsidRDefault="00F63AF8" w:rsidP="00F63AF8">
            <w:pPr>
              <w:jc w:val="left"/>
              <w:rPr>
                <w:sz w:val="20"/>
                <w:szCs w:val="20"/>
              </w:rPr>
            </w:pPr>
            <w:r w:rsidRPr="001B06F4">
              <w:rPr>
                <w:sz w:val="20"/>
                <w:szCs w:val="20"/>
              </w:rPr>
              <w:t>UNDP</w:t>
            </w:r>
          </w:p>
        </w:tc>
        <w:tc>
          <w:tcPr>
            <w:tcW w:w="1122" w:type="pct"/>
            <w:shd w:val="clear" w:color="auto" w:fill="auto"/>
            <w:tcMar>
              <w:top w:w="0" w:type="dxa"/>
              <w:left w:w="108" w:type="dxa"/>
              <w:bottom w:w="0" w:type="dxa"/>
              <w:right w:w="108" w:type="dxa"/>
            </w:tcMar>
            <w:vAlign w:val="center"/>
          </w:tcPr>
          <w:p w14:paraId="365E3BC4" w14:textId="77777777" w:rsidR="00F63AF8" w:rsidRPr="001B06F4" w:rsidRDefault="00F63AF8" w:rsidP="00F63AF8">
            <w:pPr>
              <w:jc w:val="left"/>
              <w:rPr>
                <w:sz w:val="20"/>
                <w:szCs w:val="20"/>
              </w:rPr>
            </w:pPr>
            <w:r w:rsidRPr="001B06F4">
              <w:rPr>
                <w:sz w:val="20"/>
                <w:szCs w:val="20"/>
              </w:rPr>
              <w:t>31 December 2021</w:t>
            </w:r>
          </w:p>
        </w:tc>
        <w:tc>
          <w:tcPr>
            <w:tcW w:w="1122" w:type="pct"/>
            <w:vAlign w:val="center"/>
          </w:tcPr>
          <w:p w14:paraId="5827AFE9" w14:textId="77777777" w:rsidR="00F63AF8" w:rsidRPr="001B06F4" w:rsidRDefault="00F63AF8" w:rsidP="00F63AF8">
            <w:pPr>
              <w:jc w:val="left"/>
              <w:rPr>
                <w:sz w:val="20"/>
                <w:szCs w:val="20"/>
                <w:lang w:val="en-CA" w:eastAsia="zh-CN"/>
              </w:rPr>
            </w:pPr>
            <w:r w:rsidRPr="001B06F4">
              <w:rPr>
                <w:sz w:val="20"/>
                <w:szCs w:val="20"/>
                <w:lang w:val="en-CA" w:eastAsia="zh-CN"/>
              </w:rPr>
              <w:t>30 June 2022</w:t>
            </w:r>
          </w:p>
        </w:tc>
      </w:tr>
    </w:tbl>
    <w:p w14:paraId="261E0B08" w14:textId="77777777" w:rsidR="00F63AF8" w:rsidRPr="001B06F4" w:rsidRDefault="00F63AF8" w:rsidP="00F63AF8">
      <w:pPr>
        <w:jc w:val="left"/>
        <w:rPr>
          <w:sz w:val="20"/>
          <w:szCs w:val="20"/>
          <w:lang w:val="en-US"/>
        </w:rPr>
      </w:pPr>
      <w:r w:rsidRPr="001B06F4">
        <w:rPr>
          <w:sz w:val="20"/>
          <w:szCs w:val="20"/>
          <w:lang w:val="en-US"/>
        </w:rPr>
        <w:t>*Government of Canada as cooperating implementing agency</w:t>
      </w:r>
    </w:p>
    <w:p w14:paraId="699A011A" w14:textId="77777777" w:rsidR="00F63AF8" w:rsidRDefault="00F63AF8" w:rsidP="00F63AF8">
      <w:pPr>
        <w:rPr>
          <w:b/>
          <w:lang w:val="en-US"/>
        </w:rPr>
      </w:pPr>
    </w:p>
    <w:p w14:paraId="5429426C" w14:textId="77777777" w:rsidR="00F63AF8" w:rsidRPr="00810D33" w:rsidRDefault="00F63AF8" w:rsidP="00F63AF8">
      <w:pPr>
        <w:spacing w:after="240"/>
        <w:rPr>
          <w:b/>
          <w:lang w:val="en-CA"/>
        </w:rPr>
      </w:pPr>
      <w:r w:rsidRPr="00810D33">
        <w:rPr>
          <w:b/>
          <w:lang w:val="en-CA"/>
        </w:rPr>
        <w:t>Secretariat’s comments</w:t>
      </w:r>
    </w:p>
    <w:p w14:paraId="4DE60C5D" w14:textId="77777777" w:rsidR="00F63AF8" w:rsidRPr="00895FB7" w:rsidRDefault="00F63AF8" w:rsidP="00F63AF8">
      <w:pPr>
        <w:pStyle w:val="Heading1"/>
        <w:rPr>
          <w:lang w:val="en-CA"/>
        </w:rPr>
      </w:pPr>
      <w:r w:rsidRPr="00810D33">
        <w:rPr>
          <w:lang w:val="en-CA"/>
        </w:rPr>
        <w:t>The reason</w:t>
      </w:r>
      <w:r>
        <w:rPr>
          <w:lang w:val="en-CA"/>
        </w:rPr>
        <w:t>s</w:t>
      </w:r>
      <w:r w:rsidRPr="00810D33">
        <w:rPr>
          <w:lang w:val="en-CA"/>
        </w:rPr>
        <w:t xml:space="preserve"> for the requests for the extension include </w:t>
      </w:r>
      <w:r w:rsidRPr="00810D33">
        <w:rPr>
          <w:i/>
          <w:lang w:val="en-CA"/>
        </w:rPr>
        <w:t>inter alia</w:t>
      </w:r>
      <w:r w:rsidRPr="00810D33">
        <w:rPr>
          <w:lang w:val="en-CA"/>
        </w:rPr>
        <w:t xml:space="preserve">, additional time required to start implementation, coordination between the national ozone units, stakeholders and </w:t>
      </w:r>
      <w:r>
        <w:rPr>
          <w:lang w:val="en-CA"/>
        </w:rPr>
        <w:t>the implementing agencies</w:t>
      </w:r>
      <w:r w:rsidRPr="00810D33">
        <w:rPr>
          <w:lang w:val="en-CA"/>
        </w:rPr>
        <w:t xml:space="preserve">, and the need to complete all planned activities. The Secretariat noted that all the issues that had delayed the start of implementation have been addressed and </w:t>
      </w:r>
      <w:r>
        <w:rPr>
          <w:lang w:val="en-CA"/>
        </w:rPr>
        <w:t xml:space="preserve">activities are </w:t>
      </w:r>
      <w:r w:rsidRPr="00810D33">
        <w:rPr>
          <w:lang w:val="en-CA"/>
        </w:rPr>
        <w:t>progress</w:t>
      </w:r>
      <w:r>
        <w:rPr>
          <w:lang w:val="en-CA"/>
        </w:rPr>
        <w:t>ing</w:t>
      </w:r>
      <w:r w:rsidRPr="00810D33">
        <w:rPr>
          <w:lang w:val="en-CA"/>
        </w:rPr>
        <w:t>. The Governments of the countries concerned are aware that the</w:t>
      </w:r>
      <w:r>
        <w:rPr>
          <w:lang w:val="en-CA"/>
        </w:rPr>
        <w:t>ir</w:t>
      </w:r>
      <w:r w:rsidRPr="00810D33">
        <w:rPr>
          <w:lang w:val="en-CA"/>
        </w:rPr>
        <w:t xml:space="preserve"> enabling activities should be completed no later than </w:t>
      </w:r>
      <w:r>
        <w:rPr>
          <w:lang w:val="en-CA"/>
        </w:rPr>
        <w:t>the extended date</w:t>
      </w:r>
      <w:r w:rsidRPr="00810D33">
        <w:rPr>
          <w:lang w:val="en-CA"/>
        </w:rPr>
        <w:t>, and</w:t>
      </w:r>
      <w:r>
        <w:rPr>
          <w:lang w:val="en-CA"/>
        </w:rPr>
        <w:t xml:space="preserve"> that balances should be returned w</w:t>
      </w:r>
      <w:r w:rsidRPr="00895FB7">
        <w:rPr>
          <w:lang w:val="en-CA"/>
        </w:rPr>
        <w:t>ithin 12 months after completion in line with decision 79/46.</w:t>
      </w:r>
    </w:p>
    <w:p w14:paraId="0D75318B" w14:textId="77777777" w:rsidR="00F63AF8" w:rsidRPr="00810D33" w:rsidRDefault="00F63AF8" w:rsidP="00621D13">
      <w:pPr>
        <w:keepNext/>
        <w:keepLines/>
        <w:spacing w:after="240"/>
        <w:outlineLvl w:val="0"/>
        <w:rPr>
          <w:b/>
          <w:lang w:val="en-CA"/>
        </w:rPr>
      </w:pPr>
      <w:r w:rsidRPr="00810D33">
        <w:rPr>
          <w:b/>
          <w:lang w:val="en-CA"/>
        </w:rPr>
        <w:lastRenderedPageBreak/>
        <w:t>Recommendation</w:t>
      </w:r>
    </w:p>
    <w:p w14:paraId="63FA483B" w14:textId="77777777" w:rsidR="00F63AF8" w:rsidRPr="00810D33" w:rsidRDefault="00F63AF8" w:rsidP="00F63AF8">
      <w:pPr>
        <w:numPr>
          <w:ilvl w:val="0"/>
          <w:numId w:val="1"/>
        </w:numPr>
        <w:tabs>
          <w:tab w:val="num" w:pos="710"/>
        </w:tabs>
        <w:spacing w:after="240"/>
        <w:outlineLvl w:val="0"/>
        <w:rPr>
          <w:lang w:val="en-CA"/>
        </w:rPr>
      </w:pPr>
      <w:r w:rsidRPr="00810D33">
        <w:rPr>
          <w:lang w:val="en-CA"/>
        </w:rPr>
        <w:t>The Executive Committee may wish:</w:t>
      </w:r>
    </w:p>
    <w:p w14:paraId="13B1FC1E" w14:textId="77777777" w:rsidR="00F63AF8" w:rsidRPr="00810D33" w:rsidRDefault="00F63AF8" w:rsidP="00F63AF8">
      <w:pPr>
        <w:widowControl w:val="0"/>
        <w:numPr>
          <w:ilvl w:val="1"/>
          <w:numId w:val="1"/>
        </w:numPr>
        <w:spacing w:after="240"/>
        <w:outlineLvl w:val="1"/>
        <w:rPr>
          <w:lang w:val="en-CA"/>
        </w:rPr>
      </w:pPr>
      <w:r w:rsidRPr="00810D33">
        <w:rPr>
          <w:lang w:val="en-CA"/>
        </w:rPr>
        <w:t>To note the requests for extension of enabling activities for HFC phase</w:t>
      </w:r>
      <w:r w:rsidRPr="00810D33">
        <w:rPr>
          <w:lang w:val="en-CA"/>
        </w:rPr>
        <w:noBreakHyphen/>
        <w:t>down submitted by the respective i</w:t>
      </w:r>
      <w:r>
        <w:rPr>
          <w:lang w:val="en-CA"/>
        </w:rPr>
        <w:t>mplementing agencies for the six</w:t>
      </w:r>
      <w:r w:rsidRPr="00810D33">
        <w:rPr>
          <w:lang w:val="en-CA"/>
        </w:rPr>
        <w:t xml:space="preserve"> Article 5 countries listed in Table </w:t>
      </w:r>
      <w:r w:rsidR="00621D13" w:rsidRPr="00621D13">
        <w:rPr>
          <w:lang w:val="en-CA"/>
        </w:rPr>
        <w:t>16</w:t>
      </w:r>
      <w:r w:rsidRPr="00621D13">
        <w:rPr>
          <w:lang w:val="en-CA"/>
        </w:rPr>
        <w:t xml:space="preserve"> of</w:t>
      </w:r>
      <w:r w:rsidRPr="00810D33">
        <w:rPr>
          <w:lang w:val="en-CA"/>
        </w:rPr>
        <w:t xml:space="preserve"> document UNEP/OzL.Pro/</w:t>
      </w:r>
      <w:r w:rsidRPr="003C34B5">
        <w:rPr>
          <w:lang w:val="en-CA"/>
        </w:rPr>
        <w:t>ExCom/87/9; and</w:t>
      </w:r>
      <w:r w:rsidRPr="00810D33">
        <w:rPr>
          <w:lang w:val="en-CA"/>
        </w:rPr>
        <w:t xml:space="preserve"> </w:t>
      </w:r>
    </w:p>
    <w:p w14:paraId="2E21C7F7" w14:textId="77777777" w:rsidR="00F63AF8" w:rsidRPr="00810D33" w:rsidRDefault="00F63AF8" w:rsidP="00F63AF8">
      <w:pPr>
        <w:keepNext/>
        <w:numPr>
          <w:ilvl w:val="1"/>
          <w:numId w:val="1"/>
        </w:numPr>
        <w:spacing w:after="240"/>
        <w:outlineLvl w:val="1"/>
        <w:rPr>
          <w:lang w:val="en-US"/>
        </w:rPr>
      </w:pPr>
      <w:r w:rsidRPr="00810D33">
        <w:rPr>
          <w:lang w:val="en-CA"/>
        </w:rPr>
        <w:t>To extend the completion date for the enabling activities for HFC phase</w:t>
      </w:r>
      <w:r w:rsidRPr="00810D33">
        <w:rPr>
          <w:lang w:val="en-CA"/>
        </w:rPr>
        <w:noBreakHyphen/>
        <w:t xml:space="preserve">down to </w:t>
      </w:r>
      <w:r>
        <w:rPr>
          <w:lang w:val="en-CA"/>
        </w:rPr>
        <w:t>30 June 2022 for Algeria, Belize, Burundi, Haiti and the Republic of Moldova and 31 December 2022 for Guinea</w:t>
      </w:r>
      <w:r w:rsidRPr="00810D33">
        <w:rPr>
          <w:lang w:val="en-CA"/>
        </w:rPr>
        <w:t xml:space="preserve">, on the understanding that no further extension would be requested and that </w:t>
      </w:r>
      <w:r>
        <w:rPr>
          <w:lang w:val="en-CA"/>
        </w:rPr>
        <w:t xml:space="preserve">respective </w:t>
      </w:r>
      <w:r w:rsidRPr="00810D33">
        <w:rPr>
          <w:lang w:val="en-CA"/>
        </w:rPr>
        <w:t>implementing agencies would submit, within six months of the project completion date, a final report of the enabling activities completed in line with decision 81/32(b).</w:t>
      </w:r>
    </w:p>
    <w:p w14:paraId="610129FE" w14:textId="77777777" w:rsidR="002E7086" w:rsidRPr="002E7086" w:rsidRDefault="002E7086" w:rsidP="00706F23">
      <w:pPr>
        <w:pStyle w:val="Heading1"/>
        <w:keepNext/>
        <w:numPr>
          <w:ilvl w:val="0"/>
          <w:numId w:val="0"/>
        </w:numPr>
        <w:ind w:left="1440" w:hanging="1440"/>
        <w:rPr>
          <w:b/>
          <w:lang w:val="en-CA"/>
        </w:rPr>
      </w:pPr>
      <w:r w:rsidRPr="00ED126B">
        <w:rPr>
          <w:b/>
          <w:lang w:val="en-CA"/>
        </w:rPr>
        <w:t>SECTION II</w:t>
      </w:r>
      <w:r w:rsidR="008C0142" w:rsidRPr="00ED126B">
        <w:rPr>
          <w:b/>
          <w:lang w:val="en-CA"/>
        </w:rPr>
        <w:t>I</w:t>
      </w:r>
      <w:r w:rsidRPr="00ED126B">
        <w:rPr>
          <w:b/>
          <w:lang w:val="en-CA"/>
        </w:rPr>
        <w:t>:</w:t>
      </w:r>
      <w:r w:rsidRPr="00ED126B">
        <w:rPr>
          <w:b/>
          <w:lang w:val="en-CA"/>
        </w:rPr>
        <w:tab/>
        <w:t>REPORTS ON PROJECTS WITH SPECIFIC REPORTING REQUIREMENTS FOR INDIVIDUAL CONSIDERATION</w:t>
      </w:r>
    </w:p>
    <w:p w14:paraId="04B4D842" w14:textId="77777777" w:rsidR="009826EC" w:rsidRDefault="009826EC" w:rsidP="009826EC">
      <w:pPr>
        <w:spacing w:after="240"/>
        <w:ind w:left="1440" w:hanging="1440"/>
        <w:rPr>
          <w:lang w:val="en-CA"/>
        </w:rPr>
      </w:pPr>
      <w:r w:rsidRPr="0064628C">
        <w:rPr>
          <w:b/>
          <w:u w:val="single"/>
          <w:lang w:val="en-CA"/>
        </w:rPr>
        <w:t>Reports related to HPMPs</w:t>
      </w:r>
    </w:p>
    <w:p w14:paraId="28D90D6E" w14:textId="77777777" w:rsidR="00FD48F3" w:rsidRPr="00206C15" w:rsidRDefault="00FD48F3" w:rsidP="00FD48F3">
      <w:pPr>
        <w:keepNext/>
        <w:keepLines/>
        <w:spacing w:after="240"/>
        <w:rPr>
          <w:u w:val="single"/>
          <w:lang w:val="en-CA"/>
        </w:rPr>
      </w:pPr>
      <w:r w:rsidRPr="00206C15">
        <w:rPr>
          <w:u w:val="single"/>
          <w:lang w:val="en-CA"/>
        </w:rPr>
        <w:t>Democratic People’s Republic of Korea: HCFC phase</w:t>
      </w:r>
      <w:r w:rsidRPr="00206C15">
        <w:rPr>
          <w:u w:val="single"/>
          <w:lang w:val="en-CA"/>
        </w:rPr>
        <w:noBreakHyphen/>
        <w:t xml:space="preserve">out management plan (stage I – </w:t>
      </w:r>
      <w:r w:rsidRPr="00206C15">
        <w:rPr>
          <w:u w:val="single"/>
        </w:rPr>
        <w:t>progress report on implementation of activities)</w:t>
      </w:r>
      <w:r w:rsidRPr="00206C15">
        <w:rPr>
          <w:lang w:val="en-CA"/>
        </w:rPr>
        <w:t xml:space="preserve"> (UNIDO)</w:t>
      </w:r>
    </w:p>
    <w:p w14:paraId="29E50A4E" w14:textId="77777777" w:rsidR="00FD48F3" w:rsidRPr="00206C15" w:rsidRDefault="00FD48F3" w:rsidP="00FD48F3">
      <w:pPr>
        <w:keepNext/>
        <w:keepLines/>
        <w:spacing w:after="240"/>
        <w:rPr>
          <w:b/>
        </w:rPr>
      </w:pPr>
      <w:r w:rsidRPr="00206C15">
        <w:rPr>
          <w:b/>
          <w:lang w:val="en-CA"/>
        </w:rPr>
        <w:t>Background</w:t>
      </w:r>
    </w:p>
    <w:p w14:paraId="52C927E7" w14:textId="77777777" w:rsidR="00FD48F3" w:rsidRPr="00206C15" w:rsidRDefault="00FD48F3" w:rsidP="00FD48F3">
      <w:pPr>
        <w:numPr>
          <w:ilvl w:val="0"/>
          <w:numId w:val="1"/>
        </w:numPr>
        <w:spacing w:after="240"/>
        <w:outlineLvl w:val="0"/>
      </w:pPr>
      <w:r w:rsidRPr="00206C15">
        <w:t>At its 73</w:t>
      </w:r>
      <w:r w:rsidRPr="00206C15">
        <w:rPr>
          <w:vertAlign w:val="superscript"/>
        </w:rPr>
        <w:t xml:space="preserve">rd </w:t>
      </w:r>
      <w:r w:rsidRPr="00206C15">
        <w:t>meeting, the Executive Committee approved, in principle, stage I of the HPMP for the Democratic People’s Republic of Korea</w:t>
      </w:r>
      <w:r w:rsidRPr="00206C15">
        <w:rPr>
          <w:rFonts w:hint="eastAsia"/>
        </w:rPr>
        <w:t xml:space="preserve">, with UNIDO as </w:t>
      </w:r>
      <w:r w:rsidRPr="00206C15">
        <w:t>l</w:t>
      </w:r>
      <w:r w:rsidRPr="00206C15">
        <w:rPr>
          <w:rFonts w:hint="eastAsia"/>
        </w:rPr>
        <w:t xml:space="preserve">ead </w:t>
      </w:r>
      <w:r w:rsidRPr="00206C15">
        <w:t xml:space="preserve">implementing </w:t>
      </w:r>
      <w:r w:rsidRPr="00206C15">
        <w:rPr>
          <w:rFonts w:hint="eastAsia"/>
        </w:rPr>
        <w:t>agency</w:t>
      </w:r>
      <w:r w:rsidRPr="00206C15">
        <w:t xml:space="preserve"> and UNEP as cooperating implementing agency,</w:t>
      </w:r>
      <w:r w:rsidRPr="00206C15">
        <w:rPr>
          <w:rFonts w:hint="eastAsia"/>
        </w:rPr>
        <w:t xml:space="preserve"> </w:t>
      </w:r>
      <w:r w:rsidRPr="00206C15">
        <w:t>to achieve a reduction of HCFC consumption to a sustained level of 66.30 ODP tonnes by 1 January 2018 (i.e., 15 per cent below the HCFC baseline for compliance of 78.00 ODP tonnes). The approval took place upon confirmation by the implementing agencies that stage I of the HPMP could be implemented in compliance with the resolutions of the UNSC</w:t>
      </w:r>
      <w:r w:rsidRPr="00206C15">
        <w:rPr>
          <w:vertAlign w:val="superscript"/>
        </w:rPr>
        <w:footnoteReference w:id="51"/>
      </w:r>
      <w:r w:rsidRPr="00206C15">
        <w:t xml:space="preserve"> on the Democratic People’s Republic of Korea. </w:t>
      </w:r>
    </w:p>
    <w:p w14:paraId="0A0CB365" w14:textId="77777777" w:rsidR="00FD48F3" w:rsidRPr="00206C15" w:rsidRDefault="00FD48F3" w:rsidP="00FD48F3">
      <w:pPr>
        <w:numPr>
          <w:ilvl w:val="0"/>
          <w:numId w:val="1"/>
        </w:numPr>
        <w:spacing w:after="240"/>
        <w:outlineLvl w:val="0"/>
      </w:pPr>
      <w:r w:rsidRPr="00206C15">
        <w:t>Since the approval of stage I, the Executive Committee has approved three out of four funding tranches at a total level of US $808,550 (i.e., 95.3 per cent of the total funds of US $848,550 approved in principle), as well as the transfer to UNIDO of all phase-out activities to be implemented by UNEP. In line with the Agreement between the Government and the Executive Committee, the last tranche of stage</w:t>
      </w:r>
      <w:r>
        <w:t> </w:t>
      </w:r>
      <w:r w:rsidRPr="00206C15">
        <w:t>I of the HPMP, in the amount of US $40,000, was scheduled to be submitted at the 81</w:t>
      </w:r>
      <w:r w:rsidRPr="00206C15">
        <w:rPr>
          <w:vertAlign w:val="superscript"/>
        </w:rPr>
        <w:t>st</w:t>
      </w:r>
      <w:r>
        <w:t> </w:t>
      </w:r>
      <w:r w:rsidRPr="00206C15">
        <w:t>meeting. As of the 84</w:t>
      </w:r>
      <w:r w:rsidRPr="00206C15">
        <w:rPr>
          <w:vertAlign w:val="superscript"/>
        </w:rPr>
        <w:t>th </w:t>
      </w:r>
      <w:r w:rsidRPr="00206C15">
        <w:t xml:space="preserve">meeting, UNIDO had been unable to submit the tranche request, due to the UNSC resolutions. </w:t>
      </w:r>
    </w:p>
    <w:p w14:paraId="244AE171" w14:textId="77777777" w:rsidR="00FD48F3" w:rsidRPr="00206C15" w:rsidRDefault="00FD48F3" w:rsidP="00FD48F3">
      <w:pPr>
        <w:keepNext/>
        <w:keepLines/>
        <w:spacing w:after="240"/>
        <w:rPr>
          <w:b/>
        </w:rPr>
      </w:pPr>
      <w:r w:rsidRPr="00206C15">
        <w:rPr>
          <w:b/>
        </w:rPr>
        <w:t>Progress report</w:t>
      </w:r>
      <w:r>
        <w:rPr>
          <w:b/>
        </w:rPr>
        <w:t xml:space="preserve"> submitted to the 85</w:t>
      </w:r>
      <w:r w:rsidRPr="002C5714">
        <w:rPr>
          <w:b/>
          <w:vertAlign w:val="superscript"/>
        </w:rPr>
        <w:t>th</w:t>
      </w:r>
      <w:r>
        <w:rPr>
          <w:b/>
        </w:rPr>
        <w:t xml:space="preserve"> meeting</w:t>
      </w:r>
    </w:p>
    <w:p w14:paraId="67B764EB" w14:textId="77777777" w:rsidR="00FD48F3" w:rsidRPr="00206C15" w:rsidRDefault="00FD48F3" w:rsidP="00FD48F3">
      <w:pPr>
        <w:numPr>
          <w:ilvl w:val="0"/>
          <w:numId w:val="1"/>
        </w:numPr>
        <w:spacing w:after="240"/>
        <w:outlineLvl w:val="0"/>
      </w:pPr>
      <w:r w:rsidRPr="00206C15">
        <w:t xml:space="preserve">UNIDO </w:t>
      </w:r>
      <w:r>
        <w:t xml:space="preserve">has </w:t>
      </w:r>
      <w:r w:rsidRPr="00206C15">
        <w:t>submitted to the 8</w:t>
      </w:r>
      <w:r>
        <w:t>5</w:t>
      </w:r>
      <w:r w:rsidRPr="00206C15">
        <w:rPr>
          <w:vertAlign w:val="superscript"/>
        </w:rPr>
        <w:t>th</w:t>
      </w:r>
      <w:r w:rsidRPr="00206C15">
        <w:t xml:space="preserve"> meeting a progress report on the implementation of stage</w:t>
      </w:r>
      <w:r>
        <w:t> </w:t>
      </w:r>
      <w:r w:rsidRPr="00206C15">
        <w:t xml:space="preserve">I of the HPMP, listing the activities implemented so far, the level of disbursement achieved, the encountered challenges to </w:t>
      </w:r>
      <w:r>
        <w:t xml:space="preserve">a </w:t>
      </w:r>
      <w:r w:rsidRPr="00206C15">
        <w:t>continue</w:t>
      </w:r>
      <w:r>
        <w:t>d</w:t>
      </w:r>
      <w:r w:rsidRPr="00206C15">
        <w:t xml:space="preserve"> implementation of activities in compliance with the UNSC resolutions, and a request for guidance from the Executive Committee. </w:t>
      </w:r>
    </w:p>
    <w:p w14:paraId="01A78668" w14:textId="77777777" w:rsidR="00FD48F3" w:rsidRPr="002C5714" w:rsidRDefault="00FD48F3" w:rsidP="00FD48F3">
      <w:pPr>
        <w:numPr>
          <w:ilvl w:val="0"/>
          <w:numId w:val="1"/>
        </w:numPr>
        <w:spacing w:after="240"/>
        <w:outlineLvl w:val="0"/>
      </w:pPr>
      <w:r w:rsidRPr="00206C15">
        <w:t xml:space="preserve">The </w:t>
      </w:r>
      <w:r w:rsidRPr="002C5714">
        <w:t>report indicates that despite difficulties resulting from the UNSC resolutions, the main activities performed during the first and second tranches included:</w:t>
      </w:r>
    </w:p>
    <w:p w14:paraId="12DC0100" w14:textId="77777777" w:rsidR="00FD48F3" w:rsidRPr="002C5714" w:rsidRDefault="00FD48F3" w:rsidP="00FD48F3">
      <w:pPr>
        <w:widowControl w:val="0"/>
        <w:numPr>
          <w:ilvl w:val="1"/>
          <w:numId w:val="1"/>
        </w:numPr>
        <w:spacing w:after="240"/>
        <w:outlineLvl w:val="1"/>
      </w:pPr>
      <w:r w:rsidRPr="002C5714">
        <w:lastRenderedPageBreak/>
        <w:t>Procurement of three refrigerant identifiers for the country’s customs office;</w:t>
      </w:r>
    </w:p>
    <w:p w14:paraId="1D1F1FD7" w14:textId="77777777" w:rsidR="00FD48F3" w:rsidRPr="002C5714" w:rsidRDefault="00FD48F3" w:rsidP="00FD48F3">
      <w:pPr>
        <w:widowControl w:val="0"/>
        <w:numPr>
          <w:ilvl w:val="1"/>
          <w:numId w:val="1"/>
        </w:numPr>
        <w:spacing w:after="240"/>
        <w:outlineLvl w:val="1"/>
        <w:rPr>
          <w:rFonts w:eastAsiaTheme="minorEastAsia"/>
          <w:lang w:val="en-CA" w:eastAsia="en-GB"/>
        </w:rPr>
      </w:pPr>
      <w:r w:rsidRPr="002C5714">
        <w:t xml:space="preserve">Purchase of one spray foaming machine for the </w:t>
      </w:r>
      <w:proofErr w:type="spellStart"/>
      <w:r w:rsidRPr="002C5714">
        <w:t>Puhung</w:t>
      </w:r>
      <w:proofErr w:type="spellEnd"/>
      <w:r w:rsidRPr="002C5714">
        <w:t xml:space="preserve"> Building Material factory upon clearance from the UNSC Committee in 2015</w:t>
      </w:r>
      <w:r>
        <w:t>,</w:t>
      </w:r>
      <w:r w:rsidRPr="002C5714">
        <w:t xml:space="preserve"> and preparation of a contract for and shipment of auxiliary equipment to enable the installation/commissioning of spray foaming equipment;</w:t>
      </w:r>
    </w:p>
    <w:p w14:paraId="4E153AFB" w14:textId="77777777" w:rsidR="00FD48F3" w:rsidRPr="002C5714" w:rsidRDefault="00FD48F3" w:rsidP="00FD48F3">
      <w:pPr>
        <w:keepNext/>
        <w:numPr>
          <w:ilvl w:val="1"/>
          <w:numId w:val="1"/>
        </w:numPr>
        <w:spacing w:after="240"/>
        <w:outlineLvl w:val="1"/>
        <w:rPr>
          <w:rFonts w:eastAsiaTheme="minorEastAsia"/>
          <w:lang w:val="en-CA" w:eastAsia="en-GB"/>
        </w:rPr>
      </w:pPr>
      <w:r w:rsidRPr="002C5714">
        <w:t>Procurement of PU foam equipment (methyl formate)</w:t>
      </w:r>
      <w:r>
        <w:t>,</w:t>
      </w:r>
      <w:r w:rsidRPr="002C5714">
        <w:t xml:space="preserve"> cleared by the UNSC Committee in line with the procedures established in the UNSC Resolution 2270 (2016); a purchase contract to the equipment suppliers was issued; the equipment was shipped through China, as it could not be shipped directly to the Democratic People’s Republic of Korea, but was rejected by the Customs authorities in China and returned to the supplier; </w:t>
      </w:r>
    </w:p>
    <w:p w14:paraId="1F849666" w14:textId="77777777" w:rsidR="00FD48F3" w:rsidRPr="002C5714" w:rsidRDefault="00FD48F3" w:rsidP="00FD48F3">
      <w:pPr>
        <w:widowControl w:val="0"/>
        <w:numPr>
          <w:ilvl w:val="1"/>
          <w:numId w:val="1"/>
        </w:numPr>
        <w:spacing w:after="240"/>
        <w:outlineLvl w:val="1"/>
        <w:rPr>
          <w:rFonts w:eastAsiaTheme="minorEastAsia"/>
          <w:lang w:val="en-CA" w:eastAsia="en-GB"/>
        </w:rPr>
      </w:pPr>
      <w:r w:rsidRPr="002C5714">
        <w:rPr>
          <w:rFonts w:eastAsiaTheme="minorEastAsia"/>
          <w:lang w:val="en-CA" w:eastAsia="en-GB"/>
        </w:rPr>
        <w:t xml:space="preserve">Procurement of training equipment for </w:t>
      </w:r>
      <w:r w:rsidR="00CA6C69">
        <w:rPr>
          <w:rFonts w:eastAsiaTheme="minorEastAsia"/>
          <w:lang w:val="en-CA" w:eastAsia="en-GB"/>
        </w:rPr>
        <w:t xml:space="preserve">RAC </w:t>
      </w:r>
      <w:r w:rsidRPr="002C5714">
        <w:rPr>
          <w:rFonts w:eastAsiaTheme="minorEastAsia"/>
          <w:lang w:val="en-CA" w:eastAsia="en-GB"/>
        </w:rPr>
        <w:t xml:space="preserve">servicing technicians upon clearance by the UNSC Committee, shipped and distributed to refrigeration service technicians in June 2016; </w:t>
      </w:r>
    </w:p>
    <w:p w14:paraId="3C8A95BB" w14:textId="77777777" w:rsidR="00FD48F3" w:rsidRPr="002C5714" w:rsidRDefault="00FD48F3" w:rsidP="00FD48F3">
      <w:pPr>
        <w:widowControl w:val="0"/>
        <w:numPr>
          <w:ilvl w:val="1"/>
          <w:numId w:val="1"/>
        </w:numPr>
        <w:spacing w:after="240"/>
        <w:outlineLvl w:val="1"/>
        <w:rPr>
          <w:rFonts w:eastAsiaTheme="minorEastAsia"/>
          <w:lang w:val="en-CA" w:eastAsia="en-GB"/>
        </w:rPr>
      </w:pPr>
      <w:r w:rsidRPr="002C5714">
        <w:rPr>
          <w:rFonts w:eastAsiaTheme="minorEastAsia"/>
          <w:lang w:val="en-CA" w:eastAsia="en-GB"/>
        </w:rPr>
        <w:t>Organization of a train-the-trainers workshop for 35 RAC servicing technicians conducted in August and September 2016;</w:t>
      </w:r>
    </w:p>
    <w:p w14:paraId="2B9EF622" w14:textId="77777777" w:rsidR="00FD48F3" w:rsidRPr="002C5714" w:rsidRDefault="00FD48F3" w:rsidP="00FD48F3">
      <w:pPr>
        <w:keepNext/>
        <w:keepLines/>
        <w:numPr>
          <w:ilvl w:val="1"/>
          <w:numId w:val="1"/>
        </w:numPr>
        <w:spacing w:after="240"/>
        <w:outlineLvl w:val="1"/>
        <w:rPr>
          <w:rFonts w:eastAsiaTheme="minorEastAsia"/>
          <w:lang w:val="en-CA" w:eastAsia="en-GB"/>
        </w:rPr>
      </w:pPr>
      <w:r w:rsidRPr="002C5714">
        <w:t>Completion of an additional training session for five trainers in best practices in RAC servicing, conducted in India in December 2016; and</w:t>
      </w:r>
    </w:p>
    <w:p w14:paraId="0C554FF8" w14:textId="77777777" w:rsidR="00FD48F3" w:rsidRPr="002C5714" w:rsidRDefault="00FD48F3" w:rsidP="00FD48F3">
      <w:pPr>
        <w:widowControl w:val="0"/>
        <w:numPr>
          <w:ilvl w:val="1"/>
          <w:numId w:val="1"/>
        </w:numPr>
        <w:spacing w:after="240"/>
        <w:outlineLvl w:val="1"/>
        <w:rPr>
          <w:rFonts w:eastAsiaTheme="minorEastAsia"/>
          <w:lang w:val="en-CA" w:eastAsia="en-GB"/>
        </w:rPr>
      </w:pPr>
      <w:r w:rsidRPr="002C5714">
        <w:t>Conducting the first train-the-trainers workshop for 40 customs officers in May 2017.</w:t>
      </w:r>
    </w:p>
    <w:p w14:paraId="3FE999DC" w14:textId="77777777" w:rsidR="00FD48F3" w:rsidRPr="002C5714" w:rsidRDefault="00FD48F3" w:rsidP="00FD48F3">
      <w:pPr>
        <w:spacing w:after="240"/>
        <w:rPr>
          <w:i/>
        </w:rPr>
      </w:pPr>
      <w:r w:rsidRPr="002C5714">
        <w:rPr>
          <w:i/>
        </w:rPr>
        <w:t>Level of fund disbursement</w:t>
      </w:r>
    </w:p>
    <w:p w14:paraId="7FC072AC" w14:textId="77777777" w:rsidR="00FD48F3" w:rsidRPr="00621D13" w:rsidRDefault="00FD48F3" w:rsidP="00FD48F3">
      <w:pPr>
        <w:numPr>
          <w:ilvl w:val="0"/>
          <w:numId w:val="1"/>
        </w:numPr>
        <w:spacing w:after="240"/>
        <w:outlineLvl w:val="0"/>
        <w:rPr>
          <w:color w:val="000000" w:themeColor="text1"/>
        </w:rPr>
      </w:pPr>
      <w:r w:rsidRPr="002C5714">
        <w:t>As at 30 March 2020, of the total amount of US $808,550 of funds approved, US $303,313 (36 per cent) had been di</w:t>
      </w:r>
      <w:r w:rsidRPr="00621D13">
        <w:t>sbursed,</w:t>
      </w:r>
      <w:r w:rsidRPr="00621D13">
        <w:rPr>
          <w:color w:val="000000" w:themeColor="text1"/>
        </w:rPr>
        <w:t xml:space="preserve"> as shown in Table </w:t>
      </w:r>
      <w:r w:rsidR="00621D13" w:rsidRPr="00621D13">
        <w:rPr>
          <w:color w:val="000000" w:themeColor="text1"/>
        </w:rPr>
        <w:t>17</w:t>
      </w:r>
      <w:r w:rsidRPr="00621D13">
        <w:rPr>
          <w:color w:val="000000" w:themeColor="text1"/>
        </w:rPr>
        <w:t>.</w:t>
      </w:r>
    </w:p>
    <w:p w14:paraId="14FC23F4" w14:textId="77777777" w:rsidR="00FD48F3" w:rsidRPr="00206C15" w:rsidRDefault="00FD48F3" w:rsidP="00FD48F3">
      <w:pPr>
        <w:rPr>
          <w:b/>
          <w:color w:val="000000" w:themeColor="text1"/>
          <w:sz w:val="21"/>
          <w:szCs w:val="21"/>
        </w:rPr>
      </w:pPr>
      <w:r w:rsidRPr="00621D13">
        <w:rPr>
          <w:b/>
          <w:color w:val="000000" w:themeColor="text1"/>
          <w:sz w:val="21"/>
          <w:szCs w:val="21"/>
        </w:rPr>
        <w:t>Table </w:t>
      </w:r>
      <w:r w:rsidR="00621D13" w:rsidRPr="00621D13">
        <w:rPr>
          <w:b/>
          <w:color w:val="000000" w:themeColor="text1"/>
          <w:sz w:val="21"/>
          <w:szCs w:val="21"/>
        </w:rPr>
        <w:t>17.</w:t>
      </w:r>
      <w:r w:rsidRPr="00621D13">
        <w:rPr>
          <w:b/>
          <w:color w:val="000000" w:themeColor="text1"/>
          <w:sz w:val="21"/>
          <w:szCs w:val="21"/>
        </w:rPr>
        <w:t xml:space="preserve"> Financial</w:t>
      </w:r>
      <w:r w:rsidRPr="00206C15">
        <w:rPr>
          <w:b/>
          <w:color w:val="000000" w:themeColor="text1"/>
          <w:sz w:val="21"/>
          <w:szCs w:val="21"/>
        </w:rPr>
        <w:t xml:space="preserve"> report of stage I of the HPMP for the Democratic People’s Republic of Korea (US $) </w:t>
      </w:r>
    </w:p>
    <w:tbl>
      <w:tblPr>
        <w:tblW w:w="5000" w:type="pct"/>
        <w:tblLook w:val="04A0" w:firstRow="1" w:lastRow="0" w:firstColumn="1" w:lastColumn="0" w:noHBand="0" w:noVBand="1"/>
      </w:tblPr>
      <w:tblGrid>
        <w:gridCol w:w="2337"/>
        <w:gridCol w:w="2337"/>
        <w:gridCol w:w="2338"/>
        <w:gridCol w:w="2338"/>
      </w:tblGrid>
      <w:tr w:rsidR="00FD48F3" w:rsidRPr="00206C15" w14:paraId="38EEB138" w14:textId="77777777" w:rsidTr="000E3838">
        <w:trPr>
          <w:trHeight w:val="314"/>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F7AC" w14:textId="77777777" w:rsidR="00FD48F3" w:rsidRPr="00206C15" w:rsidRDefault="00FD48F3" w:rsidP="000E3838">
            <w:pPr>
              <w:jc w:val="center"/>
              <w:rPr>
                <w:b/>
                <w:bCs/>
                <w:color w:val="000000"/>
                <w:sz w:val="20"/>
                <w:szCs w:val="20"/>
                <w:lang w:val="en-CA" w:eastAsia="en-CA"/>
              </w:rPr>
            </w:pPr>
            <w:r w:rsidRPr="00206C15">
              <w:rPr>
                <w:b/>
                <w:bCs/>
                <w:color w:val="000000"/>
                <w:sz w:val="20"/>
                <w:szCs w:val="20"/>
                <w:lang w:val="en-CA" w:eastAsia="en-CA"/>
              </w:rPr>
              <w:t>Tranche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8594586" w14:textId="77777777" w:rsidR="00FD48F3" w:rsidRPr="00206C15" w:rsidRDefault="00FD48F3" w:rsidP="000E3838">
            <w:pPr>
              <w:jc w:val="center"/>
              <w:rPr>
                <w:b/>
                <w:bCs/>
                <w:color w:val="000000"/>
                <w:sz w:val="20"/>
                <w:szCs w:val="20"/>
                <w:lang w:val="en-CA" w:eastAsia="en-CA"/>
              </w:rPr>
            </w:pPr>
            <w:r w:rsidRPr="00206C15">
              <w:rPr>
                <w:b/>
                <w:bCs/>
                <w:color w:val="000000"/>
                <w:sz w:val="20"/>
                <w:szCs w:val="20"/>
                <w:lang w:val="en-CA" w:eastAsia="en-CA"/>
              </w:rPr>
              <w:t>Approved</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63CCD675" w14:textId="77777777" w:rsidR="00FD48F3" w:rsidRPr="00206C15" w:rsidRDefault="00FD48F3" w:rsidP="000E3838">
            <w:pPr>
              <w:jc w:val="center"/>
              <w:rPr>
                <w:b/>
                <w:bCs/>
                <w:color w:val="000000"/>
                <w:sz w:val="20"/>
                <w:szCs w:val="20"/>
                <w:lang w:val="en-CA" w:eastAsia="en-CA"/>
              </w:rPr>
            </w:pPr>
            <w:r w:rsidRPr="00206C15">
              <w:rPr>
                <w:b/>
                <w:bCs/>
                <w:color w:val="000000"/>
                <w:sz w:val="20"/>
                <w:szCs w:val="20"/>
                <w:lang w:val="en-CA" w:eastAsia="en-CA"/>
              </w:rPr>
              <w:t>Disbursed</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44C29DC" w14:textId="77777777" w:rsidR="00FD48F3" w:rsidRPr="00206C15" w:rsidRDefault="00FD48F3" w:rsidP="000E3838">
            <w:pPr>
              <w:jc w:val="center"/>
              <w:rPr>
                <w:b/>
                <w:bCs/>
                <w:color w:val="000000"/>
                <w:sz w:val="20"/>
                <w:szCs w:val="20"/>
                <w:lang w:val="en-CA" w:eastAsia="en-CA"/>
              </w:rPr>
            </w:pPr>
            <w:r w:rsidRPr="00206C15">
              <w:rPr>
                <w:b/>
                <w:bCs/>
                <w:color w:val="000000"/>
                <w:sz w:val="20"/>
                <w:szCs w:val="20"/>
                <w:lang w:val="en-CA" w:eastAsia="en-CA"/>
              </w:rPr>
              <w:t>Disbursement rate (%)</w:t>
            </w:r>
          </w:p>
        </w:tc>
      </w:tr>
      <w:tr w:rsidR="00FD48F3" w:rsidRPr="002C5714" w14:paraId="2E8D0475" w14:textId="77777777" w:rsidTr="000E3838">
        <w:trPr>
          <w:trHeight w:val="89"/>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8117215" w14:textId="77777777" w:rsidR="00FD48F3" w:rsidRPr="002C5714" w:rsidRDefault="00FD48F3" w:rsidP="000E3838">
            <w:pPr>
              <w:jc w:val="left"/>
              <w:rPr>
                <w:color w:val="000000"/>
                <w:sz w:val="20"/>
                <w:szCs w:val="20"/>
                <w:lang w:val="en-CA" w:eastAsia="en-CA"/>
              </w:rPr>
            </w:pPr>
            <w:r w:rsidRPr="002C5714">
              <w:rPr>
                <w:color w:val="000000"/>
                <w:sz w:val="20"/>
                <w:szCs w:val="20"/>
                <w:lang w:val="en-CA" w:eastAsia="en-CA"/>
              </w:rPr>
              <w:t xml:space="preserve">First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0526713"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134,003</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448F667"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87,386</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3E21B797"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65.2</w:t>
            </w:r>
          </w:p>
        </w:tc>
      </w:tr>
      <w:tr w:rsidR="00FD48F3" w:rsidRPr="002C5714" w14:paraId="3E847325" w14:textId="77777777" w:rsidTr="000E3838">
        <w:trPr>
          <w:trHeight w:val="10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2F0C5DB" w14:textId="77777777" w:rsidR="00FD48F3" w:rsidRPr="002C5714" w:rsidRDefault="00FD48F3" w:rsidP="000E3838">
            <w:pPr>
              <w:jc w:val="left"/>
              <w:rPr>
                <w:color w:val="000000"/>
                <w:sz w:val="20"/>
                <w:szCs w:val="20"/>
                <w:lang w:val="en-CA" w:eastAsia="en-CA"/>
              </w:rPr>
            </w:pPr>
            <w:r w:rsidRPr="002C5714">
              <w:rPr>
                <w:color w:val="000000"/>
                <w:sz w:val="20"/>
                <w:szCs w:val="20"/>
                <w:lang w:val="en-CA" w:eastAsia="en-CA"/>
              </w:rPr>
              <w:t xml:space="preserve">Second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9E35C18"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506,680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250D02C"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211,110</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314EFE74"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41.7</w:t>
            </w:r>
          </w:p>
        </w:tc>
      </w:tr>
      <w:tr w:rsidR="00FD48F3" w:rsidRPr="002C5714" w14:paraId="104548F2" w14:textId="77777777" w:rsidTr="000E3838">
        <w:trPr>
          <w:trHeight w:val="4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A422575" w14:textId="77777777" w:rsidR="00FD48F3" w:rsidRPr="002C5714" w:rsidRDefault="00FD48F3" w:rsidP="000E3838">
            <w:pPr>
              <w:jc w:val="left"/>
              <w:rPr>
                <w:color w:val="000000"/>
                <w:sz w:val="20"/>
                <w:szCs w:val="20"/>
                <w:lang w:val="en-CA" w:eastAsia="en-CA"/>
              </w:rPr>
            </w:pPr>
            <w:r w:rsidRPr="002C5714">
              <w:rPr>
                <w:color w:val="000000"/>
                <w:sz w:val="20"/>
                <w:szCs w:val="20"/>
                <w:lang w:val="en-CA" w:eastAsia="en-CA"/>
              </w:rPr>
              <w:t xml:space="preserve">Third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6A40398"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167,867</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D2AD56D"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1,817</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1F4AB66D" w14:textId="77777777" w:rsidR="00FD48F3" w:rsidRPr="002C5714" w:rsidRDefault="00FD48F3" w:rsidP="000E3838">
            <w:pPr>
              <w:jc w:val="right"/>
              <w:rPr>
                <w:color w:val="000000"/>
                <w:sz w:val="20"/>
                <w:szCs w:val="20"/>
                <w:lang w:val="en-CA" w:eastAsia="en-CA"/>
              </w:rPr>
            </w:pPr>
            <w:r w:rsidRPr="002C5714">
              <w:rPr>
                <w:color w:val="000000"/>
                <w:sz w:val="20"/>
                <w:szCs w:val="20"/>
                <w:lang w:val="en-CA" w:eastAsia="en-CA"/>
              </w:rPr>
              <w:t>1.1</w:t>
            </w:r>
          </w:p>
        </w:tc>
      </w:tr>
      <w:tr w:rsidR="00FD48F3" w:rsidRPr="002C5714" w14:paraId="6C8B374E" w14:textId="77777777" w:rsidTr="000E3838">
        <w:trPr>
          <w:trHeight w:val="6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D0C1B1E" w14:textId="77777777" w:rsidR="00FD48F3" w:rsidRPr="002C5714" w:rsidRDefault="00FD48F3" w:rsidP="000E3838">
            <w:pPr>
              <w:jc w:val="left"/>
              <w:rPr>
                <w:b/>
                <w:color w:val="000000"/>
                <w:sz w:val="20"/>
                <w:szCs w:val="20"/>
                <w:lang w:val="en-CA" w:eastAsia="en-CA"/>
              </w:rPr>
            </w:pPr>
            <w:r w:rsidRPr="002C5714">
              <w:rPr>
                <w:b/>
                <w:color w:val="000000"/>
                <w:sz w:val="20"/>
                <w:szCs w:val="20"/>
                <w:lang w:val="en-CA" w:eastAsia="en-CA"/>
              </w:rPr>
              <w:t>Total</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479385F" w14:textId="77777777" w:rsidR="00FD48F3" w:rsidRPr="002C5714" w:rsidRDefault="00FD48F3" w:rsidP="000E3838">
            <w:pPr>
              <w:jc w:val="right"/>
              <w:rPr>
                <w:b/>
                <w:color w:val="000000"/>
                <w:sz w:val="20"/>
                <w:szCs w:val="20"/>
                <w:lang w:val="en-CA" w:eastAsia="en-CA"/>
              </w:rPr>
            </w:pPr>
            <w:r w:rsidRPr="002C5714">
              <w:rPr>
                <w:b/>
                <w:color w:val="000000"/>
                <w:sz w:val="20"/>
                <w:szCs w:val="20"/>
                <w:lang w:val="en-CA" w:eastAsia="en-CA"/>
              </w:rPr>
              <w:t>808,550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97472A0" w14:textId="77777777" w:rsidR="00FD48F3" w:rsidRPr="002C5714" w:rsidRDefault="00FD48F3" w:rsidP="000E3838">
            <w:pPr>
              <w:jc w:val="right"/>
              <w:rPr>
                <w:b/>
                <w:color w:val="000000"/>
                <w:sz w:val="20"/>
                <w:szCs w:val="20"/>
                <w:lang w:val="en-CA" w:eastAsia="en-CA"/>
              </w:rPr>
            </w:pPr>
            <w:r w:rsidRPr="002C5714">
              <w:rPr>
                <w:b/>
                <w:color w:val="000000"/>
                <w:sz w:val="20"/>
                <w:szCs w:val="20"/>
                <w:lang w:val="en-CA" w:eastAsia="en-CA"/>
              </w:rPr>
              <w:t>300,313</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235E1CFF" w14:textId="77777777" w:rsidR="00FD48F3" w:rsidRPr="002C5714" w:rsidRDefault="00FD48F3" w:rsidP="000E3838">
            <w:pPr>
              <w:jc w:val="right"/>
              <w:rPr>
                <w:b/>
                <w:color w:val="000000"/>
                <w:sz w:val="20"/>
                <w:szCs w:val="20"/>
                <w:lang w:val="en-CA" w:eastAsia="en-CA"/>
              </w:rPr>
            </w:pPr>
            <w:r w:rsidRPr="002C5714">
              <w:rPr>
                <w:b/>
                <w:color w:val="000000"/>
                <w:sz w:val="20"/>
                <w:szCs w:val="20"/>
                <w:lang w:val="en-CA" w:eastAsia="en-CA"/>
              </w:rPr>
              <w:t>36.0</w:t>
            </w:r>
          </w:p>
        </w:tc>
      </w:tr>
    </w:tbl>
    <w:p w14:paraId="33D58EEB" w14:textId="77777777" w:rsidR="00FD48F3" w:rsidRPr="002C5714" w:rsidRDefault="00FD48F3" w:rsidP="00FD48F3">
      <w:pPr>
        <w:outlineLvl w:val="0"/>
      </w:pPr>
    </w:p>
    <w:p w14:paraId="22D89049" w14:textId="77777777" w:rsidR="00FD48F3" w:rsidRPr="002C5714" w:rsidRDefault="00FD48F3" w:rsidP="00FD48F3">
      <w:pPr>
        <w:spacing w:after="240"/>
        <w:outlineLvl w:val="0"/>
        <w:rPr>
          <w:i/>
        </w:rPr>
      </w:pPr>
      <w:r w:rsidRPr="002C5714">
        <w:rPr>
          <w:i/>
        </w:rPr>
        <w:t>Update on the implementation plan for stage I of the HPMP</w:t>
      </w:r>
    </w:p>
    <w:p w14:paraId="6923FBDC" w14:textId="77777777" w:rsidR="00FD48F3" w:rsidRPr="002C5714" w:rsidRDefault="00FD48F3" w:rsidP="00FD48F3">
      <w:pPr>
        <w:numPr>
          <w:ilvl w:val="0"/>
          <w:numId w:val="1"/>
        </w:numPr>
        <w:tabs>
          <w:tab w:val="clear" w:pos="0"/>
          <w:tab w:val="num" w:pos="710"/>
        </w:tabs>
        <w:spacing w:after="240"/>
        <w:outlineLvl w:val="0"/>
        <w:rPr>
          <w:lang w:val="en-CA"/>
        </w:rPr>
      </w:pPr>
      <w:r w:rsidRPr="002C5714">
        <w:t>The activities that have not yet implemented include:</w:t>
      </w:r>
    </w:p>
    <w:p w14:paraId="248221BB" w14:textId="77777777" w:rsidR="00FD48F3" w:rsidRPr="002C5714" w:rsidRDefault="00FD48F3" w:rsidP="00FD48F3">
      <w:pPr>
        <w:widowControl w:val="0"/>
        <w:numPr>
          <w:ilvl w:val="1"/>
          <w:numId w:val="1"/>
        </w:numPr>
        <w:spacing w:after="240"/>
        <w:outlineLvl w:val="1"/>
        <w:rPr>
          <w:rFonts w:eastAsiaTheme="minorEastAsia"/>
          <w:lang w:val="en-CA" w:eastAsia="en-GB"/>
        </w:rPr>
      </w:pPr>
      <w:r w:rsidRPr="002C5714">
        <w:t xml:space="preserve">Follow-up on the training workshops for RAC servicing technicians and customs officers; </w:t>
      </w:r>
    </w:p>
    <w:p w14:paraId="2F54D19C" w14:textId="77777777" w:rsidR="00FD48F3" w:rsidRPr="002C5714" w:rsidRDefault="00FD48F3" w:rsidP="00FD48F3">
      <w:pPr>
        <w:keepNext/>
        <w:numPr>
          <w:ilvl w:val="1"/>
          <w:numId w:val="1"/>
        </w:numPr>
        <w:spacing w:after="240"/>
        <w:outlineLvl w:val="1"/>
      </w:pPr>
      <w:r w:rsidRPr="002C5714">
        <w:t>Mapping of existing reclaim and recovery centres and procurement of additional equipment; and</w:t>
      </w:r>
    </w:p>
    <w:p w14:paraId="63FA1CDF" w14:textId="77777777" w:rsidR="00FD48F3" w:rsidRPr="002C5714" w:rsidRDefault="00FD48F3" w:rsidP="00FD48F3">
      <w:pPr>
        <w:keepNext/>
        <w:numPr>
          <w:ilvl w:val="1"/>
          <w:numId w:val="1"/>
        </w:numPr>
        <w:spacing w:after="240"/>
        <w:outlineLvl w:val="1"/>
      </w:pPr>
      <w:r w:rsidRPr="002C5714">
        <w:rPr>
          <w:lang w:val="en-CA"/>
        </w:rPr>
        <w:t xml:space="preserve">Establishing the project management unit once the funding transfer channel has been approved and made operational. </w:t>
      </w:r>
    </w:p>
    <w:p w14:paraId="0D3270A1" w14:textId="77777777" w:rsidR="00FD48F3" w:rsidRPr="002C5714" w:rsidRDefault="00FD48F3" w:rsidP="00FD48F3">
      <w:pPr>
        <w:numPr>
          <w:ilvl w:val="0"/>
          <w:numId w:val="1"/>
        </w:numPr>
        <w:spacing w:after="240"/>
        <w:outlineLvl w:val="0"/>
      </w:pPr>
      <w:r w:rsidRPr="002C5714">
        <w:rPr>
          <w:rFonts w:eastAsiaTheme="minorEastAsia"/>
          <w:lang w:val="en-CA" w:eastAsia="en-GB"/>
        </w:rPr>
        <w:t xml:space="preserve">In addition, the PU foam equipment that was returned to the supplier by the Customs authorities in China, could not be re-imported as an additional </w:t>
      </w:r>
      <w:r w:rsidRPr="002C5714">
        <w:t>resolution 2397 issued in 2017 specifically prohibits “all industrial machinery (HS codes 84 and 85), transportation vehicles (HS codes 86 through 89), and iron, steel, and other metals (HS codes 72 through 83)</w:t>
      </w:r>
      <w:r>
        <w:t>.”</w:t>
      </w:r>
      <w:r w:rsidRPr="002C5714">
        <w:t xml:space="preserve"> Subsequent to this resolution, UNIDO was advised to submit to the UNSC a new exemption request, together with an updated list of the equipment to be imported </w:t>
      </w:r>
      <w:r w:rsidRPr="002C5714">
        <w:lastRenderedPageBreak/>
        <w:t xml:space="preserve">into the country. UNIDO submitted an official exemption request on 8 May 2019 and the UNSC Committee denied the exemption on 18 June 2019. In view of the above, UNIDO has not been able to proceed with the delivery of equipment. </w:t>
      </w:r>
    </w:p>
    <w:p w14:paraId="63178D41" w14:textId="77777777" w:rsidR="00FD48F3" w:rsidRPr="002C5714" w:rsidRDefault="00FD48F3" w:rsidP="00FD48F3">
      <w:pPr>
        <w:numPr>
          <w:ilvl w:val="0"/>
          <w:numId w:val="1"/>
        </w:numPr>
        <w:spacing w:after="240"/>
        <w:outlineLvl w:val="0"/>
      </w:pPr>
      <w:r w:rsidRPr="002C5714">
        <w:t xml:space="preserve">Non-investment activities have also been impacted due to the inability to transfer funds within the country, made even more difficult by the introduction of stricter sanctions following the adoption of resolution 2397 (2017). </w:t>
      </w:r>
    </w:p>
    <w:p w14:paraId="1992DC5E" w14:textId="77777777" w:rsidR="00FD48F3" w:rsidRDefault="00FD48F3" w:rsidP="00FD48F3">
      <w:pPr>
        <w:numPr>
          <w:ilvl w:val="0"/>
          <w:numId w:val="1"/>
        </w:numPr>
        <w:spacing w:after="240"/>
        <w:outlineLvl w:val="0"/>
        <w:rPr>
          <w:rFonts w:eastAsiaTheme="minorEastAsia"/>
          <w:lang w:val="en-CA" w:eastAsia="en-GB"/>
        </w:rPr>
      </w:pPr>
      <w:r w:rsidRPr="002C5714">
        <w:rPr>
          <w:rFonts w:eastAsiaTheme="minorEastAsia"/>
          <w:lang w:val="en-CA" w:eastAsia="en-GB"/>
        </w:rPr>
        <w:t xml:space="preserve">In view of the above, UNIDO indicated in its report that it is not in a position to continue the implementation of the HPMP for </w:t>
      </w:r>
      <w:r w:rsidRPr="002C5714">
        <w:t>the</w:t>
      </w:r>
      <w:r w:rsidRPr="00206C15">
        <w:t xml:space="preserve"> Democratic People’s Republic of Korea</w:t>
      </w:r>
      <w:r w:rsidRPr="00206C15">
        <w:rPr>
          <w:rFonts w:eastAsiaTheme="minorEastAsia"/>
          <w:lang w:val="en-CA" w:eastAsia="en-GB"/>
        </w:rPr>
        <w:t xml:space="preserve"> and is requesting guidance from the Executive Committee.</w:t>
      </w:r>
    </w:p>
    <w:p w14:paraId="321CCF40" w14:textId="77777777" w:rsidR="00FD48F3" w:rsidRPr="00D83831" w:rsidRDefault="00FD48F3" w:rsidP="00FD216C">
      <w:pPr>
        <w:keepNext/>
        <w:keepLines/>
        <w:spacing w:after="240"/>
        <w:outlineLvl w:val="0"/>
        <w:rPr>
          <w:rFonts w:eastAsiaTheme="minorEastAsia"/>
          <w:b/>
          <w:lang w:val="en-CA"/>
        </w:rPr>
      </w:pPr>
      <w:r w:rsidRPr="00D83831">
        <w:rPr>
          <w:rFonts w:eastAsiaTheme="minorEastAsia"/>
          <w:b/>
          <w:lang w:val="en-CA"/>
        </w:rPr>
        <w:t>Secretariat’s comments</w:t>
      </w:r>
    </w:p>
    <w:p w14:paraId="1647A092" w14:textId="77777777" w:rsidR="00FD48F3" w:rsidRPr="00D83831" w:rsidRDefault="00FD48F3" w:rsidP="00FD48F3">
      <w:pPr>
        <w:pStyle w:val="Heading1"/>
        <w:rPr>
          <w:rFonts w:eastAsiaTheme="minorEastAsia"/>
          <w:lang w:val="en-CA" w:eastAsia="en-GB"/>
        </w:rPr>
      </w:pPr>
      <w:r w:rsidRPr="00D83831">
        <w:rPr>
          <w:rFonts w:eastAsiaTheme="minorEastAsia"/>
          <w:lang w:val="en-CA" w:eastAsia="en-GB"/>
        </w:rPr>
        <w:t>Consideration of the report submitted by UNIDO at the 85</w:t>
      </w:r>
      <w:r w:rsidRPr="00D83831">
        <w:rPr>
          <w:rFonts w:eastAsiaTheme="minorEastAsia"/>
          <w:vertAlign w:val="superscript"/>
          <w:lang w:val="en-CA" w:eastAsia="en-GB"/>
        </w:rPr>
        <w:t>th</w:t>
      </w:r>
      <w:r w:rsidRPr="00D83831">
        <w:rPr>
          <w:rFonts w:eastAsiaTheme="minorEastAsia"/>
          <w:lang w:val="en-CA" w:eastAsia="en-GB"/>
        </w:rPr>
        <w:t xml:space="preserve"> meeting and then at the 86</w:t>
      </w:r>
      <w:r w:rsidRPr="00D83831">
        <w:rPr>
          <w:rFonts w:eastAsiaTheme="minorEastAsia"/>
          <w:vertAlign w:val="superscript"/>
          <w:lang w:val="en-CA" w:eastAsia="en-GB"/>
        </w:rPr>
        <w:t>th</w:t>
      </w:r>
      <w:r w:rsidRPr="00D83831">
        <w:rPr>
          <w:rFonts w:eastAsiaTheme="minorEastAsia"/>
          <w:lang w:val="en-CA" w:eastAsia="en-GB"/>
        </w:rPr>
        <w:t xml:space="preserve"> meeting ha</w:t>
      </w:r>
      <w:r>
        <w:rPr>
          <w:rFonts w:eastAsiaTheme="minorEastAsia"/>
          <w:lang w:val="en-CA" w:eastAsia="en-GB"/>
        </w:rPr>
        <w:t>d</w:t>
      </w:r>
      <w:r w:rsidRPr="00D83831">
        <w:rPr>
          <w:rFonts w:eastAsiaTheme="minorEastAsia"/>
          <w:lang w:val="en-CA" w:eastAsia="en-GB"/>
        </w:rPr>
        <w:t xml:space="preserve"> been deferred in accordance with the agreed procedure of the Executive Committee </w:t>
      </w:r>
      <w:r>
        <w:rPr>
          <w:rFonts w:eastAsiaTheme="minorEastAsia"/>
          <w:lang w:val="en-CA" w:eastAsia="en-GB"/>
        </w:rPr>
        <w:t>for</w:t>
      </w:r>
      <w:r w:rsidRPr="00D83831">
        <w:rPr>
          <w:rFonts w:eastAsiaTheme="minorEastAsia"/>
          <w:lang w:val="en-CA" w:eastAsia="en-GB"/>
        </w:rPr>
        <w:t xml:space="preserve"> conduct</w:t>
      </w:r>
      <w:r>
        <w:rPr>
          <w:rFonts w:eastAsiaTheme="minorEastAsia"/>
          <w:lang w:val="en-CA" w:eastAsia="en-GB"/>
        </w:rPr>
        <w:t>ing</w:t>
      </w:r>
      <w:r w:rsidRPr="00D83831">
        <w:rPr>
          <w:rFonts w:eastAsiaTheme="minorEastAsia"/>
          <w:lang w:val="en-CA" w:eastAsia="en-GB"/>
        </w:rPr>
        <w:t xml:space="preserve"> the 85</w:t>
      </w:r>
      <w:r w:rsidRPr="00D83831">
        <w:rPr>
          <w:rFonts w:eastAsiaTheme="minorEastAsia"/>
          <w:vertAlign w:val="superscript"/>
          <w:lang w:val="en-CA" w:eastAsia="en-GB"/>
        </w:rPr>
        <w:t>th</w:t>
      </w:r>
      <w:r>
        <w:rPr>
          <w:rFonts w:eastAsiaTheme="minorEastAsia"/>
          <w:lang w:val="en-CA" w:eastAsia="en-GB"/>
        </w:rPr>
        <w:t> </w:t>
      </w:r>
      <w:r w:rsidRPr="00D83831">
        <w:rPr>
          <w:rFonts w:eastAsiaTheme="minorEastAsia"/>
          <w:lang w:val="en-CA" w:eastAsia="en-GB"/>
        </w:rPr>
        <w:t>and 86</w:t>
      </w:r>
      <w:r w:rsidRPr="00D83831">
        <w:rPr>
          <w:rFonts w:eastAsiaTheme="minorEastAsia"/>
          <w:vertAlign w:val="superscript"/>
          <w:lang w:val="en-CA" w:eastAsia="en-GB"/>
        </w:rPr>
        <w:t>th</w:t>
      </w:r>
      <w:r w:rsidRPr="00D83831">
        <w:rPr>
          <w:rFonts w:eastAsiaTheme="minorEastAsia"/>
          <w:lang w:val="en-CA" w:eastAsia="en-GB"/>
        </w:rPr>
        <w:t xml:space="preserve"> meetings </w:t>
      </w:r>
      <w:r>
        <w:rPr>
          <w:rFonts w:eastAsiaTheme="minorEastAsia"/>
          <w:lang w:val="en-CA" w:eastAsia="en-GB"/>
        </w:rPr>
        <w:t>at the time of</w:t>
      </w:r>
      <w:r w:rsidRPr="00D83831">
        <w:rPr>
          <w:rFonts w:eastAsiaTheme="minorEastAsia"/>
          <w:lang w:val="en-CA" w:eastAsia="en-GB"/>
        </w:rPr>
        <w:t xml:space="preserve"> the COVID-19 </w:t>
      </w:r>
      <w:r>
        <w:rPr>
          <w:rFonts w:eastAsiaTheme="minorEastAsia"/>
          <w:lang w:val="en-CA" w:eastAsia="en-GB"/>
        </w:rPr>
        <w:t>pandemic.</w:t>
      </w:r>
      <w:r w:rsidRPr="00D83831">
        <w:rPr>
          <w:rFonts w:eastAsiaTheme="minorEastAsia"/>
          <w:lang w:val="en-CA" w:eastAsia="en-GB"/>
        </w:rPr>
        <w:t xml:space="preserve"> The report has been re-submitted </w:t>
      </w:r>
      <w:r>
        <w:rPr>
          <w:rFonts w:eastAsiaTheme="minorEastAsia"/>
          <w:lang w:val="en-CA" w:eastAsia="en-GB"/>
        </w:rPr>
        <w:t xml:space="preserve">to </w:t>
      </w:r>
      <w:r w:rsidRPr="00D83831">
        <w:rPr>
          <w:rFonts w:eastAsiaTheme="minorEastAsia"/>
          <w:lang w:val="en-CA" w:eastAsia="en-GB"/>
        </w:rPr>
        <w:t>the 87</w:t>
      </w:r>
      <w:r w:rsidRPr="00D83831">
        <w:rPr>
          <w:rFonts w:eastAsiaTheme="minorEastAsia"/>
          <w:vertAlign w:val="superscript"/>
          <w:lang w:val="en-CA" w:eastAsia="en-GB"/>
        </w:rPr>
        <w:t>th</w:t>
      </w:r>
      <w:r>
        <w:rPr>
          <w:rFonts w:eastAsiaTheme="minorEastAsia"/>
          <w:lang w:val="en-CA" w:eastAsia="en-GB"/>
        </w:rPr>
        <w:t> </w:t>
      </w:r>
      <w:r w:rsidRPr="00D83831">
        <w:rPr>
          <w:rFonts w:eastAsiaTheme="minorEastAsia"/>
          <w:lang w:val="en-CA" w:eastAsia="en-GB"/>
        </w:rPr>
        <w:t xml:space="preserve">meeting. </w:t>
      </w:r>
    </w:p>
    <w:p w14:paraId="54E7BE1B" w14:textId="77777777" w:rsidR="00FD48F3" w:rsidRPr="00A333AC" w:rsidRDefault="00FD48F3" w:rsidP="00FD48F3">
      <w:pPr>
        <w:pStyle w:val="Heading1"/>
        <w:rPr>
          <w:rFonts w:eastAsiaTheme="minorEastAsia"/>
          <w:lang w:val="en-CA" w:eastAsia="en-GB"/>
        </w:rPr>
      </w:pPr>
      <w:r w:rsidRPr="00A333AC">
        <w:rPr>
          <w:rFonts w:eastAsiaTheme="minorEastAsia"/>
          <w:lang w:val="en-CA" w:eastAsia="en-GB"/>
        </w:rPr>
        <w:t>Since the submission of the report to the 86</w:t>
      </w:r>
      <w:r w:rsidRPr="00A333AC">
        <w:rPr>
          <w:rFonts w:eastAsiaTheme="minorEastAsia"/>
          <w:vertAlign w:val="superscript"/>
          <w:lang w:val="en-CA" w:eastAsia="en-GB"/>
        </w:rPr>
        <w:t>th</w:t>
      </w:r>
      <w:r w:rsidRPr="00A333AC">
        <w:rPr>
          <w:rFonts w:eastAsiaTheme="minorEastAsia"/>
          <w:lang w:val="en-CA" w:eastAsia="en-GB"/>
        </w:rPr>
        <w:t xml:space="preserve"> meeting, at their Thirty-second Meeting,</w:t>
      </w:r>
      <w:r w:rsidRPr="00D83831">
        <w:rPr>
          <w:rStyle w:val="FootnoteReference"/>
          <w:rFonts w:eastAsiaTheme="minorEastAsia"/>
          <w:lang w:val="en-CA" w:eastAsia="en-GB"/>
        </w:rPr>
        <w:footnoteReference w:id="52"/>
      </w:r>
      <w:r w:rsidRPr="00A333AC">
        <w:rPr>
          <w:rFonts w:eastAsiaTheme="minorEastAsia"/>
          <w:lang w:val="en-CA" w:eastAsia="en-GB"/>
        </w:rPr>
        <w:t xml:space="preserve"> the Parties noted that the Democratic People’s Republic of Korea was in non-compliance with the consumption and production control measures under the Protocol for HCFCs, as its annual consumption of 72.27 ODP tonnes of HCFCs exceeded the country’s maximum allowable consumption of 70.2 ODP tonnes for that year, and its annual production of 26.95 ODP tonnes of HCFCs in 2019 exceeded the country’s maximum allowable production of 24.8 ODP tonnes. Further, the Parties </w:t>
      </w:r>
      <w:r w:rsidRPr="00A333AC">
        <w:rPr>
          <w:rFonts w:eastAsiaTheme="minorEastAsia"/>
          <w:i/>
          <w:lang w:val="en-CA" w:eastAsia="en-GB"/>
        </w:rPr>
        <w:t>inter alia</w:t>
      </w:r>
      <w:r w:rsidRPr="00A333AC">
        <w:rPr>
          <w:rFonts w:eastAsiaTheme="minorEastAsia"/>
          <w:lang w:val="en-CA" w:eastAsia="en-GB"/>
        </w:rPr>
        <w:t xml:space="preserve"> noted with appreciation the submission by the country of an explanation for its non-compliance and a plan of action to ensure its return to compliance with the Protocol’s HCFC consumption and production control measures in 2023; </w:t>
      </w:r>
      <w:r w:rsidRPr="00782AF1">
        <w:rPr>
          <w:rFonts w:eastAsiaTheme="minorEastAsia"/>
          <w:lang w:val="en-CA" w:eastAsia="en-GB"/>
        </w:rPr>
        <w:t>further noted that, under that plan of action, without prejudice to the operation of the financial mechanism of the Protocol, the Democratic People’s Republic of Korea specifically committed itself to specific reductions in production and consumption of HCFCs; urged the country to work with the relevant implementing</w:t>
      </w:r>
      <w:r w:rsidRPr="00A333AC">
        <w:rPr>
          <w:rFonts w:eastAsiaTheme="minorEastAsia"/>
          <w:lang w:val="en-CA" w:eastAsia="en-GB"/>
        </w:rPr>
        <w:t xml:space="preserve"> agencies to explore options for the implementation of its plan of action to phase out the consumption and production of HCFCs subject to the application of the relevant UNSC resolutions; and invited the country to establish additional national policies facilitating HCFC phase</w:t>
      </w:r>
      <w:r w:rsidRPr="00A333AC">
        <w:rPr>
          <w:rFonts w:eastAsiaTheme="minorEastAsia"/>
          <w:lang w:val="en-CA" w:eastAsia="en-GB"/>
        </w:rPr>
        <w:noBreakHyphen/>
        <w:t>out that may include, but will not be limited to, bans on imports, on production or on new installations, and certification of refrigeration technicians and companies (decision</w:t>
      </w:r>
      <w:r>
        <w:rPr>
          <w:rFonts w:eastAsiaTheme="minorEastAsia"/>
          <w:lang w:val="en-CA" w:eastAsia="en-GB"/>
        </w:rPr>
        <w:t> </w:t>
      </w:r>
      <w:r w:rsidRPr="00A333AC">
        <w:rPr>
          <w:rFonts w:eastAsiaTheme="minorEastAsia"/>
          <w:lang w:val="en-CA" w:eastAsia="en-GB"/>
        </w:rPr>
        <w:t>XXXII/6).</w:t>
      </w:r>
    </w:p>
    <w:p w14:paraId="5974ED12" w14:textId="77777777" w:rsidR="00FD48F3" w:rsidRPr="00D83831" w:rsidRDefault="00FD48F3" w:rsidP="00FD48F3">
      <w:pPr>
        <w:numPr>
          <w:ilvl w:val="0"/>
          <w:numId w:val="1"/>
        </w:numPr>
        <w:spacing w:after="240"/>
        <w:outlineLvl w:val="0"/>
        <w:rPr>
          <w:rFonts w:eastAsiaTheme="minorEastAsia"/>
          <w:lang w:val="en-CA" w:eastAsia="en-GB"/>
        </w:rPr>
      </w:pPr>
      <w:r w:rsidRPr="00D83831">
        <w:t>The Secretariat notes that UNIDO has continued exercising due diligence and monitoring throughout the implementation of the project. Upon the adoption of an additional UNSC resolution in 2017, it has submitted to the UNSC Committee</w:t>
      </w:r>
      <w:r>
        <w:t>,</w:t>
      </w:r>
      <w:r w:rsidRPr="00D83831">
        <w:t xml:space="preserve"> pursuant to resolution 1718</w:t>
      </w:r>
      <w:r>
        <w:t>,</w:t>
      </w:r>
      <w:r w:rsidRPr="00D83831">
        <w:t xml:space="preserve"> an exemption request, together with an updated list of the equipment to be imported into the country, and has remained in close cooperation with relevant UN member states regarding the procurement and export of equipment designed to phase out the use of controlled substances in the country.</w:t>
      </w:r>
    </w:p>
    <w:p w14:paraId="75B7AE84" w14:textId="77777777" w:rsidR="00FD48F3" w:rsidRPr="00D83831" w:rsidRDefault="00FD48F3" w:rsidP="00FD48F3">
      <w:pPr>
        <w:pStyle w:val="Heading1"/>
        <w:rPr>
          <w:rFonts w:eastAsiaTheme="minorEastAsia"/>
          <w:lang w:val="en-CA" w:eastAsia="en-GB"/>
        </w:rPr>
      </w:pPr>
      <w:r w:rsidRPr="00D83831">
        <w:t xml:space="preserve">Upon </w:t>
      </w:r>
      <w:r>
        <w:t>enquiry</w:t>
      </w:r>
      <w:r w:rsidRPr="00D83831">
        <w:t xml:space="preserve"> by the Secretariat on any new development in the implementation of the HPMP for the Democratic People’s Republic of Korea, UNIDO </w:t>
      </w:r>
      <w:r>
        <w:t>reporte</w:t>
      </w:r>
      <w:r w:rsidRPr="00D83831">
        <w:t>d that there was no information additional to that provided at the 85</w:t>
      </w:r>
      <w:r w:rsidRPr="00D83831">
        <w:rPr>
          <w:vertAlign w:val="superscript"/>
        </w:rPr>
        <w:t>th</w:t>
      </w:r>
      <w:r w:rsidRPr="00D83831">
        <w:t xml:space="preserve"> meeting, and </w:t>
      </w:r>
      <w:r>
        <w:t xml:space="preserve">that the </w:t>
      </w:r>
      <w:r w:rsidRPr="00D83831">
        <w:t xml:space="preserve">implementation of the HPMP would only be feasible for UNIDO if UNSC sanctions </w:t>
      </w:r>
      <w:r>
        <w:t>we</w:t>
      </w:r>
      <w:r w:rsidRPr="00D83831">
        <w:t xml:space="preserve">re lifted or an exemption </w:t>
      </w:r>
      <w:r>
        <w:t>was</w:t>
      </w:r>
      <w:r w:rsidRPr="00D83831">
        <w:t xml:space="preserve"> granted. However, UNIDO was not in the position to obtain such exemption. Consequently, UNIDO reiterated that it is not in a position to continue the implementation of the HPMP for the Democratic People’s Republic of Korea and is requesting guidance from the Executive Committee.</w:t>
      </w:r>
    </w:p>
    <w:p w14:paraId="22AEFC22" w14:textId="77777777" w:rsidR="00FD48F3" w:rsidRPr="00206C15" w:rsidRDefault="00FD48F3" w:rsidP="00FD48F3">
      <w:pPr>
        <w:spacing w:after="240"/>
        <w:outlineLvl w:val="0"/>
        <w:rPr>
          <w:rFonts w:eastAsiaTheme="minorEastAsia"/>
          <w:lang w:val="en-CA"/>
        </w:rPr>
      </w:pPr>
      <w:r w:rsidRPr="00206C15">
        <w:rPr>
          <w:b/>
          <w:color w:val="000000" w:themeColor="text1"/>
          <w:lang w:val="en-CA"/>
        </w:rPr>
        <w:lastRenderedPageBreak/>
        <w:t>Recommendation</w:t>
      </w:r>
    </w:p>
    <w:p w14:paraId="2E0B79B2" w14:textId="77777777" w:rsidR="00FD48F3" w:rsidRPr="00A333AC" w:rsidRDefault="00FD48F3" w:rsidP="00FD48F3">
      <w:pPr>
        <w:numPr>
          <w:ilvl w:val="0"/>
          <w:numId w:val="1"/>
        </w:numPr>
        <w:spacing w:after="240"/>
        <w:outlineLvl w:val="0"/>
        <w:rPr>
          <w:color w:val="000000" w:themeColor="text1"/>
          <w:lang w:val="en-CA"/>
        </w:rPr>
      </w:pPr>
      <w:r w:rsidRPr="00206C15">
        <w:rPr>
          <w:color w:val="000000" w:themeColor="text1"/>
          <w:lang w:val="en-CA"/>
        </w:rPr>
        <w:t xml:space="preserve">The Executive Committee may wish </w:t>
      </w:r>
      <w:r w:rsidRPr="00206C15">
        <w:t xml:space="preserve">to consider the information </w:t>
      </w:r>
      <w:r w:rsidRPr="00206C15">
        <w:rPr>
          <w:color w:val="000000" w:themeColor="text1"/>
          <w:lang w:val="en-CA"/>
        </w:rPr>
        <w:t xml:space="preserve">on the implementation of activities under </w:t>
      </w:r>
      <w:r w:rsidRPr="00782AF1">
        <w:rPr>
          <w:color w:val="000000" w:themeColor="text1"/>
          <w:lang w:val="en-CA"/>
        </w:rPr>
        <w:t xml:space="preserve">stage I of the HCFC phase-out management plan (HPMP) for </w:t>
      </w:r>
      <w:r w:rsidRPr="00782AF1">
        <w:t>the Democratic People’s Republic of Korea</w:t>
      </w:r>
      <w:r w:rsidRPr="00782AF1">
        <w:rPr>
          <w:color w:val="000000" w:themeColor="text1"/>
          <w:lang w:val="en-CA"/>
        </w:rPr>
        <w:t>, submitted by UNIDO, giving due consideration to decision XXXII/6 of the Meeting of the Parties.</w:t>
      </w:r>
    </w:p>
    <w:p w14:paraId="0948773C" w14:textId="77777777" w:rsidR="00AD2279" w:rsidRDefault="00AD2279" w:rsidP="00AD2279">
      <w:pPr>
        <w:pStyle w:val="StyleHeader4Para4Left0Firstline0"/>
        <w:numPr>
          <w:ilvl w:val="0"/>
          <w:numId w:val="0"/>
        </w:numPr>
        <w:jc w:val="left"/>
        <w:rPr>
          <w:b/>
          <w:sz w:val="22"/>
          <w:highlight w:val="yellow"/>
        </w:rPr>
      </w:pPr>
    </w:p>
    <w:p w14:paraId="3C12FCE8" w14:textId="77777777" w:rsidR="00AD2279" w:rsidRPr="00AD2279" w:rsidRDefault="00AD2279" w:rsidP="00AD2279">
      <w:pPr>
        <w:pStyle w:val="StyleHeader4Para4Left0Firstline0"/>
        <w:numPr>
          <w:ilvl w:val="0"/>
          <w:numId w:val="0"/>
        </w:numPr>
        <w:jc w:val="left"/>
        <w:rPr>
          <w:b/>
          <w:sz w:val="22"/>
          <w:highlight w:val="yellow"/>
        </w:rPr>
      </w:pPr>
    </w:p>
    <w:p w14:paraId="3F7D2E64" w14:textId="77777777" w:rsidR="00E85409" w:rsidRDefault="00E85409" w:rsidP="004E7F9C">
      <w:pPr>
        <w:rPr>
          <w:lang w:val="en-CA"/>
        </w:rPr>
      </w:pPr>
    </w:p>
    <w:p w14:paraId="40699190" w14:textId="77777777" w:rsidR="00E92CFE" w:rsidRDefault="00E92CFE" w:rsidP="004E7F9C">
      <w:pPr>
        <w:rPr>
          <w:lang w:val="en-CA"/>
        </w:rPr>
        <w:sectPr w:rsidR="00E92CFE"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2D0215FC" w14:textId="77777777" w:rsidR="00606A1E" w:rsidRPr="00002C46" w:rsidRDefault="00606A1E" w:rsidP="00191DEE">
      <w:pPr>
        <w:jc w:val="center"/>
        <w:rPr>
          <w:b/>
          <w:lang w:val="en-CA"/>
        </w:rPr>
      </w:pPr>
      <w:r w:rsidRPr="00611EF2">
        <w:rPr>
          <w:b/>
          <w:lang w:val="en-CA"/>
        </w:rPr>
        <w:lastRenderedPageBreak/>
        <w:t>Annex I</w:t>
      </w:r>
    </w:p>
    <w:p w14:paraId="441221C3" w14:textId="77777777" w:rsidR="00B53651" w:rsidRPr="00FD1CAA" w:rsidRDefault="00B53651" w:rsidP="00B53651">
      <w:pPr>
        <w:rPr>
          <w:b/>
          <w:lang w:val="en-CA"/>
        </w:rPr>
      </w:pPr>
    </w:p>
    <w:p w14:paraId="06A61F0B" w14:textId="77777777" w:rsidR="00B53651" w:rsidRDefault="00B53651" w:rsidP="00B53651">
      <w:pPr>
        <w:pStyle w:val="StyleHeader4Para4Left0Firstline0"/>
        <w:numPr>
          <w:ilvl w:val="0"/>
          <w:numId w:val="0"/>
        </w:numPr>
        <w:jc w:val="center"/>
        <w:rPr>
          <w:b/>
          <w:caps/>
          <w:sz w:val="22"/>
          <w:lang w:val="en-CA"/>
        </w:rPr>
      </w:pPr>
      <w:r w:rsidRPr="00FD1CAA">
        <w:rPr>
          <w:b/>
          <w:caps/>
          <w:sz w:val="22"/>
          <w:lang w:val="en-CA"/>
        </w:rPr>
        <w:t>PROJECTS THAT ARE CLASSIFIED AS “SOME PROGRESS” and are recommended for continued monitoring</w:t>
      </w:r>
    </w:p>
    <w:tbl>
      <w:tblPr>
        <w:tblW w:w="969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074"/>
        <w:gridCol w:w="4677"/>
        <w:gridCol w:w="961"/>
      </w:tblGrid>
      <w:tr w:rsidR="00B53651" w:rsidRPr="00176B12" w14:paraId="48C3D4E9" w14:textId="77777777" w:rsidTr="00756D59">
        <w:trPr>
          <w:trHeight w:val="530"/>
          <w:tblHeader/>
        </w:trPr>
        <w:tc>
          <w:tcPr>
            <w:tcW w:w="1979" w:type="dxa"/>
            <w:shd w:val="clear" w:color="auto" w:fill="auto"/>
            <w:tcMar>
              <w:left w:w="58" w:type="dxa"/>
              <w:right w:w="58" w:type="dxa"/>
            </w:tcMar>
            <w:vAlign w:val="center"/>
            <w:hideMark/>
          </w:tcPr>
          <w:p w14:paraId="2E019D5F" w14:textId="77777777" w:rsidR="00B53651" w:rsidRPr="00176B12" w:rsidRDefault="00B53651" w:rsidP="00756D59">
            <w:pPr>
              <w:jc w:val="left"/>
              <w:rPr>
                <w:b/>
                <w:bCs/>
                <w:color w:val="000000"/>
                <w:sz w:val="20"/>
                <w:szCs w:val="20"/>
                <w:lang w:val="en-US"/>
              </w:rPr>
            </w:pPr>
            <w:r w:rsidRPr="00176B12">
              <w:rPr>
                <w:b/>
                <w:bCs/>
                <w:color w:val="000000"/>
                <w:sz w:val="20"/>
                <w:szCs w:val="20"/>
                <w:lang w:val="en-CA" w:eastAsia="en-CA"/>
              </w:rPr>
              <w:t>Country</w:t>
            </w:r>
          </w:p>
        </w:tc>
        <w:tc>
          <w:tcPr>
            <w:tcW w:w="2074" w:type="dxa"/>
            <w:shd w:val="clear" w:color="auto" w:fill="auto"/>
            <w:tcMar>
              <w:left w:w="58" w:type="dxa"/>
              <w:right w:w="58" w:type="dxa"/>
            </w:tcMar>
            <w:vAlign w:val="center"/>
            <w:hideMark/>
          </w:tcPr>
          <w:p w14:paraId="0EFF1E15" w14:textId="77777777" w:rsidR="00B53651" w:rsidRPr="00176B12" w:rsidRDefault="00B53651" w:rsidP="00756D59">
            <w:pPr>
              <w:jc w:val="left"/>
              <w:rPr>
                <w:b/>
                <w:bCs/>
                <w:color w:val="000000"/>
                <w:sz w:val="20"/>
                <w:szCs w:val="20"/>
                <w:lang w:val="en-US"/>
              </w:rPr>
            </w:pPr>
            <w:r w:rsidRPr="00176B12">
              <w:rPr>
                <w:b/>
                <w:bCs/>
                <w:color w:val="000000"/>
                <w:sz w:val="20"/>
                <w:szCs w:val="20"/>
                <w:lang w:val="en-CA" w:eastAsia="en-CA"/>
              </w:rPr>
              <w:t>Code</w:t>
            </w:r>
          </w:p>
        </w:tc>
        <w:tc>
          <w:tcPr>
            <w:tcW w:w="4677" w:type="dxa"/>
            <w:shd w:val="clear" w:color="auto" w:fill="auto"/>
            <w:tcMar>
              <w:left w:w="58" w:type="dxa"/>
              <w:right w:w="58" w:type="dxa"/>
            </w:tcMar>
            <w:vAlign w:val="center"/>
            <w:hideMark/>
          </w:tcPr>
          <w:p w14:paraId="6C31B390" w14:textId="77777777" w:rsidR="00B53651" w:rsidRPr="00176B12" w:rsidRDefault="00B53651" w:rsidP="006538A6">
            <w:pPr>
              <w:jc w:val="center"/>
              <w:rPr>
                <w:b/>
                <w:bCs/>
                <w:color w:val="000000"/>
                <w:sz w:val="20"/>
                <w:szCs w:val="20"/>
                <w:lang w:val="en-US"/>
              </w:rPr>
            </w:pPr>
            <w:r w:rsidRPr="00176B12">
              <w:rPr>
                <w:b/>
                <w:bCs/>
                <w:color w:val="000000"/>
                <w:sz w:val="20"/>
                <w:szCs w:val="20"/>
                <w:lang w:val="en-CA" w:eastAsia="en-CA"/>
              </w:rPr>
              <w:t>Project title</w:t>
            </w:r>
          </w:p>
        </w:tc>
        <w:tc>
          <w:tcPr>
            <w:tcW w:w="961" w:type="dxa"/>
            <w:shd w:val="clear" w:color="auto" w:fill="auto"/>
            <w:tcMar>
              <w:left w:w="58" w:type="dxa"/>
              <w:right w:w="58" w:type="dxa"/>
            </w:tcMar>
            <w:vAlign w:val="center"/>
            <w:hideMark/>
          </w:tcPr>
          <w:p w14:paraId="49C29465" w14:textId="77777777" w:rsidR="00B53651" w:rsidRPr="00176B12" w:rsidRDefault="00B53651" w:rsidP="00756D59">
            <w:pPr>
              <w:jc w:val="center"/>
              <w:rPr>
                <w:b/>
                <w:bCs/>
                <w:color w:val="000000"/>
                <w:sz w:val="20"/>
                <w:szCs w:val="20"/>
                <w:lang w:val="en-US"/>
              </w:rPr>
            </w:pPr>
            <w:r w:rsidRPr="00176B12">
              <w:rPr>
                <w:b/>
                <w:bCs/>
                <w:color w:val="000000"/>
                <w:sz w:val="20"/>
                <w:szCs w:val="20"/>
                <w:lang w:val="en-CA" w:eastAsia="en-CA"/>
              </w:rPr>
              <w:t>Agency</w:t>
            </w:r>
          </w:p>
        </w:tc>
      </w:tr>
      <w:tr w:rsidR="00B53651" w:rsidRPr="00176B12" w14:paraId="4D102976" w14:textId="77777777" w:rsidTr="00756D59">
        <w:trPr>
          <w:trHeight w:val="323"/>
        </w:trPr>
        <w:tc>
          <w:tcPr>
            <w:tcW w:w="1979" w:type="dxa"/>
            <w:shd w:val="clear" w:color="auto" w:fill="auto"/>
            <w:tcMar>
              <w:left w:w="58" w:type="dxa"/>
              <w:right w:w="58" w:type="dxa"/>
            </w:tcMar>
            <w:vAlign w:val="center"/>
            <w:hideMark/>
          </w:tcPr>
          <w:p w14:paraId="1BCBCFE7"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Algeria</w:t>
            </w:r>
          </w:p>
        </w:tc>
        <w:tc>
          <w:tcPr>
            <w:tcW w:w="2074" w:type="dxa"/>
            <w:shd w:val="clear" w:color="auto" w:fill="auto"/>
            <w:tcMar>
              <w:left w:w="58" w:type="dxa"/>
              <w:right w:w="58" w:type="dxa"/>
            </w:tcMar>
            <w:vAlign w:val="center"/>
            <w:hideMark/>
          </w:tcPr>
          <w:p w14:paraId="74F3A1EA"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ALG/PHA/66/INV/76</w:t>
            </w:r>
          </w:p>
        </w:tc>
        <w:tc>
          <w:tcPr>
            <w:tcW w:w="4677" w:type="dxa"/>
            <w:shd w:val="clear" w:color="auto" w:fill="auto"/>
            <w:tcMar>
              <w:left w:w="58" w:type="dxa"/>
              <w:right w:w="58" w:type="dxa"/>
            </w:tcMar>
            <w:hideMark/>
          </w:tcPr>
          <w:p w14:paraId="41977569"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first tranche) (conversion from HCFC-22 in the manufacture of room air conditioners at Condor)</w:t>
            </w:r>
          </w:p>
        </w:tc>
        <w:tc>
          <w:tcPr>
            <w:tcW w:w="961" w:type="dxa"/>
            <w:shd w:val="clear" w:color="auto" w:fill="auto"/>
            <w:tcMar>
              <w:left w:w="58" w:type="dxa"/>
              <w:right w:w="58" w:type="dxa"/>
            </w:tcMar>
            <w:vAlign w:val="center"/>
            <w:hideMark/>
          </w:tcPr>
          <w:p w14:paraId="6A800A18"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3608CCB3" w14:textId="77777777" w:rsidTr="00756D59">
        <w:trPr>
          <w:trHeight w:val="890"/>
        </w:trPr>
        <w:tc>
          <w:tcPr>
            <w:tcW w:w="1979" w:type="dxa"/>
            <w:shd w:val="clear" w:color="auto" w:fill="auto"/>
            <w:tcMar>
              <w:left w:w="58" w:type="dxa"/>
              <w:right w:w="58" w:type="dxa"/>
            </w:tcMar>
            <w:vAlign w:val="center"/>
            <w:hideMark/>
          </w:tcPr>
          <w:p w14:paraId="00137F8B"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Algeria</w:t>
            </w:r>
          </w:p>
        </w:tc>
        <w:tc>
          <w:tcPr>
            <w:tcW w:w="2074" w:type="dxa"/>
            <w:shd w:val="clear" w:color="auto" w:fill="auto"/>
            <w:tcMar>
              <w:left w:w="58" w:type="dxa"/>
              <w:right w:w="58" w:type="dxa"/>
            </w:tcMar>
            <w:vAlign w:val="center"/>
            <w:hideMark/>
          </w:tcPr>
          <w:p w14:paraId="0710ABA6"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ALG/PHA/66/INV/77</w:t>
            </w:r>
          </w:p>
        </w:tc>
        <w:tc>
          <w:tcPr>
            <w:tcW w:w="4677" w:type="dxa"/>
            <w:shd w:val="clear" w:color="auto" w:fill="auto"/>
            <w:tcMar>
              <w:left w:w="58" w:type="dxa"/>
              <w:right w:w="58" w:type="dxa"/>
            </w:tcMar>
            <w:hideMark/>
          </w:tcPr>
          <w:p w14:paraId="2595C2F8"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first tranche) (activities in the refrigeration servicing sector including phase-out of HCFC-141b used for flushing, and project monitoring)</w:t>
            </w:r>
          </w:p>
        </w:tc>
        <w:tc>
          <w:tcPr>
            <w:tcW w:w="961" w:type="dxa"/>
            <w:shd w:val="clear" w:color="auto" w:fill="auto"/>
            <w:tcMar>
              <w:left w:w="58" w:type="dxa"/>
              <w:right w:w="58" w:type="dxa"/>
            </w:tcMar>
            <w:vAlign w:val="center"/>
            <w:hideMark/>
          </w:tcPr>
          <w:p w14:paraId="7D65660C"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3D4E413C" w14:textId="77777777" w:rsidTr="00756D59">
        <w:trPr>
          <w:trHeight w:val="134"/>
        </w:trPr>
        <w:tc>
          <w:tcPr>
            <w:tcW w:w="1979" w:type="dxa"/>
            <w:shd w:val="clear" w:color="auto" w:fill="auto"/>
            <w:tcMar>
              <w:left w:w="58" w:type="dxa"/>
              <w:right w:w="58" w:type="dxa"/>
            </w:tcMar>
            <w:vAlign w:val="center"/>
            <w:hideMark/>
          </w:tcPr>
          <w:p w14:paraId="0AA1D010"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Bahamas (the)</w:t>
            </w:r>
          </w:p>
        </w:tc>
        <w:tc>
          <w:tcPr>
            <w:tcW w:w="2074" w:type="dxa"/>
            <w:shd w:val="clear" w:color="auto" w:fill="auto"/>
            <w:tcMar>
              <w:left w:w="58" w:type="dxa"/>
              <w:right w:w="58" w:type="dxa"/>
            </w:tcMar>
            <w:vAlign w:val="center"/>
            <w:hideMark/>
          </w:tcPr>
          <w:p w14:paraId="7CB7B1E7"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BHA/PHA/80/TAS/26</w:t>
            </w:r>
          </w:p>
        </w:tc>
        <w:tc>
          <w:tcPr>
            <w:tcW w:w="4677" w:type="dxa"/>
            <w:shd w:val="clear" w:color="auto" w:fill="auto"/>
            <w:tcMar>
              <w:left w:w="58" w:type="dxa"/>
              <w:right w:w="58" w:type="dxa"/>
            </w:tcMar>
            <w:hideMark/>
          </w:tcPr>
          <w:p w14:paraId="2E30DEAF"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23DBAB7B"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UNEP</w:t>
            </w:r>
          </w:p>
        </w:tc>
      </w:tr>
      <w:tr w:rsidR="00B53651" w:rsidRPr="00176B12" w14:paraId="6E797AA6" w14:textId="77777777" w:rsidTr="00756D59">
        <w:trPr>
          <w:trHeight w:val="197"/>
        </w:trPr>
        <w:tc>
          <w:tcPr>
            <w:tcW w:w="1979" w:type="dxa"/>
            <w:shd w:val="clear" w:color="auto" w:fill="auto"/>
            <w:tcMar>
              <w:left w:w="58" w:type="dxa"/>
              <w:right w:w="58" w:type="dxa"/>
            </w:tcMar>
            <w:vAlign w:val="center"/>
            <w:hideMark/>
          </w:tcPr>
          <w:p w14:paraId="7E29736F"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Cameroon </w:t>
            </w:r>
          </w:p>
        </w:tc>
        <w:tc>
          <w:tcPr>
            <w:tcW w:w="2074" w:type="dxa"/>
            <w:shd w:val="clear" w:color="auto" w:fill="auto"/>
            <w:tcMar>
              <w:left w:w="58" w:type="dxa"/>
              <w:right w:w="58" w:type="dxa"/>
            </w:tcMar>
            <w:vAlign w:val="center"/>
            <w:hideMark/>
          </w:tcPr>
          <w:p w14:paraId="173E64F5"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CMR/PHA/82/INV/45</w:t>
            </w:r>
          </w:p>
        </w:tc>
        <w:tc>
          <w:tcPr>
            <w:tcW w:w="4677" w:type="dxa"/>
            <w:shd w:val="clear" w:color="auto" w:fill="auto"/>
            <w:tcMar>
              <w:left w:w="58" w:type="dxa"/>
              <w:right w:w="58" w:type="dxa"/>
            </w:tcMar>
            <w:hideMark/>
          </w:tcPr>
          <w:p w14:paraId="4FB3D9C1"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first tranche)</w:t>
            </w:r>
          </w:p>
        </w:tc>
        <w:tc>
          <w:tcPr>
            <w:tcW w:w="961" w:type="dxa"/>
            <w:shd w:val="clear" w:color="auto" w:fill="auto"/>
            <w:tcMar>
              <w:left w:w="58" w:type="dxa"/>
              <w:right w:w="58" w:type="dxa"/>
            </w:tcMar>
            <w:vAlign w:val="center"/>
            <w:hideMark/>
          </w:tcPr>
          <w:p w14:paraId="41B59748"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0640A282" w14:textId="77777777" w:rsidTr="00756D59">
        <w:trPr>
          <w:trHeight w:val="458"/>
        </w:trPr>
        <w:tc>
          <w:tcPr>
            <w:tcW w:w="1979" w:type="dxa"/>
            <w:shd w:val="clear" w:color="auto" w:fill="auto"/>
            <w:tcMar>
              <w:left w:w="58" w:type="dxa"/>
              <w:right w:w="58" w:type="dxa"/>
            </w:tcMar>
            <w:vAlign w:val="center"/>
            <w:hideMark/>
          </w:tcPr>
          <w:p w14:paraId="456315CF"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0548886F"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CPR/PHA/64/INV/513</w:t>
            </w:r>
          </w:p>
        </w:tc>
        <w:tc>
          <w:tcPr>
            <w:tcW w:w="4677" w:type="dxa"/>
            <w:shd w:val="clear" w:color="auto" w:fill="auto"/>
            <w:tcMar>
              <w:left w:w="58" w:type="dxa"/>
              <w:right w:w="58" w:type="dxa"/>
            </w:tcMar>
            <w:hideMark/>
          </w:tcPr>
          <w:p w14:paraId="4AA6C2D2"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(room air-conditioner manufacturing sector plan) (stage I, first tranche)</w:t>
            </w:r>
          </w:p>
        </w:tc>
        <w:tc>
          <w:tcPr>
            <w:tcW w:w="961" w:type="dxa"/>
            <w:shd w:val="clear" w:color="auto" w:fill="auto"/>
            <w:tcMar>
              <w:left w:w="58" w:type="dxa"/>
              <w:right w:w="58" w:type="dxa"/>
            </w:tcMar>
            <w:vAlign w:val="center"/>
            <w:hideMark/>
          </w:tcPr>
          <w:p w14:paraId="7A8CCA7A"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2B571801" w14:textId="77777777" w:rsidTr="00756D59">
        <w:trPr>
          <w:trHeight w:val="287"/>
        </w:trPr>
        <w:tc>
          <w:tcPr>
            <w:tcW w:w="1979" w:type="dxa"/>
            <w:shd w:val="clear" w:color="auto" w:fill="auto"/>
            <w:tcMar>
              <w:left w:w="58" w:type="dxa"/>
              <w:right w:w="58" w:type="dxa"/>
            </w:tcMar>
            <w:vAlign w:val="center"/>
            <w:hideMark/>
          </w:tcPr>
          <w:p w14:paraId="78A71630"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3D0B1BC9"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CPR/PHA/68/INV/524</w:t>
            </w:r>
          </w:p>
        </w:tc>
        <w:tc>
          <w:tcPr>
            <w:tcW w:w="4677" w:type="dxa"/>
            <w:shd w:val="clear" w:color="auto" w:fill="auto"/>
            <w:tcMar>
              <w:left w:w="58" w:type="dxa"/>
              <w:right w:w="58" w:type="dxa"/>
            </w:tcMar>
            <w:hideMark/>
          </w:tcPr>
          <w:p w14:paraId="6E35BAAB"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second tranche) (room air conditioner manufacturing sector plan)</w:t>
            </w:r>
          </w:p>
        </w:tc>
        <w:tc>
          <w:tcPr>
            <w:tcW w:w="961" w:type="dxa"/>
            <w:shd w:val="clear" w:color="auto" w:fill="auto"/>
            <w:tcMar>
              <w:left w:w="58" w:type="dxa"/>
              <w:right w:w="58" w:type="dxa"/>
            </w:tcMar>
            <w:vAlign w:val="center"/>
            <w:hideMark/>
          </w:tcPr>
          <w:p w14:paraId="1E472B5C"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1D0C19CD" w14:textId="77777777" w:rsidTr="00756D59">
        <w:trPr>
          <w:trHeight w:val="404"/>
        </w:trPr>
        <w:tc>
          <w:tcPr>
            <w:tcW w:w="1979" w:type="dxa"/>
            <w:shd w:val="clear" w:color="auto" w:fill="auto"/>
            <w:tcMar>
              <w:left w:w="58" w:type="dxa"/>
              <w:right w:w="58" w:type="dxa"/>
            </w:tcMar>
            <w:vAlign w:val="center"/>
            <w:hideMark/>
          </w:tcPr>
          <w:p w14:paraId="47409EF4"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151EC026"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CPR/PHA/71/INV/536</w:t>
            </w:r>
          </w:p>
        </w:tc>
        <w:tc>
          <w:tcPr>
            <w:tcW w:w="4677" w:type="dxa"/>
            <w:shd w:val="clear" w:color="auto" w:fill="auto"/>
            <w:tcMar>
              <w:left w:w="58" w:type="dxa"/>
              <w:right w:w="58" w:type="dxa"/>
            </w:tcMar>
            <w:hideMark/>
          </w:tcPr>
          <w:p w14:paraId="57BE2C8C"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third tranche) (room air conditioner manufacturing sector plan)</w:t>
            </w:r>
          </w:p>
        </w:tc>
        <w:tc>
          <w:tcPr>
            <w:tcW w:w="961" w:type="dxa"/>
            <w:shd w:val="clear" w:color="auto" w:fill="auto"/>
            <w:tcMar>
              <w:left w:w="58" w:type="dxa"/>
              <w:right w:w="58" w:type="dxa"/>
            </w:tcMar>
            <w:vAlign w:val="center"/>
            <w:hideMark/>
          </w:tcPr>
          <w:p w14:paraId="35BFE049"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56FAF9DA" w14:textId="77777777" w:rsidTr="00756D59">
        <w:trPr>
          <w:trHeight w:val="332"/>
        </w:trPr>
        <w:tc>
          <w:tcPr>
            <w:tcW w:w="1979" w:type="dxa"/>
            <w:shd w:val="clear" w:color="auto" w:fill="auto"/>
            <w:tcMar>
              <w:left w:w="58" w:type="dxa"/>
              <w:right w:w="58" w:type="dxa"/>
            </w:tcMar>
            <w:vAlign w:val="center"/>
            <w:hideMark/>
          </w:tcPr>
          <w:p w14:paraId="744699AC"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53825145"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CPR/PHA/73/INV/548</w:t>
            </w:r>
          </w:p>
        </w:tc>
        <w:tc>
          <w:tcPr>
            <w:tcW w:w="4677" w:type="dxa"/>
            <w:shd w:val="clear" w:color="auto" w:fill="auto"/>
            <w:tcMar>
              <w:left w:w="58" w:type="dxa"/>
              <w:right w:w="58" w:type="dxa"/>
            </w:tcMar>
            <w:hideMark/>
          </w:tcPr>
          <w:p w14:paraId="4974B296"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fourth tranche) (room air conditioner manufacturing sector plan)</w:t>
            </w:r>
          </w:p>
        </w:tc>
        <w:tc>
          <w:tcPr>
            <w:tcW w:w="961" w:type="dxa"/>
            <w:shd w:val="clear" w:color="auto" w:fill="auto"/>
            <w:tcMar>
              <w:left w:w="58" w:type="dxa"/>
              <w:right w:w="58" w:type="dxa"/>
            </w:tcMar>
            <w:vAlign w:val="center"/>
            <w:hideMark/>
          </w:tcPr>
          <w:p w14:paraId="1CF3FB43"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5468921A" w14:textId="77777777" w:rsidTr="00756D59">
        <w:trPr>
          <w:trHeight w:val="440"/>
        </w:trPr>
        <w:tc>
          <w:tcPr>
            <w:tcW w:w="1979" w:type="dxa"/>
            <w:shd w:val="clear" w:color="auto" w:fill="auto"/>
            <w:tcMar>
              <w:left w:w="58" w:type="dxa"/>
              <w:right w:w="58" w:type="dxa"/>
            </w:tcMar>
            <w:vAlign w:val="center"/>
            <w:hideMark/>
          </w:tcPr>
          <w:p w14:paraId="75500918"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1A79C2F3"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CPR/PHA/75/INV/564</w:t>
            </w:r>
          </w:p>
        </w:tc>
        <w:tc>
          <w:tcPr>
            <w:tcW w:w="4677" w:type="dxa"/>
            <w:shd w:val="clear" w:color="auto" w:fill="auto"/>
            <w:tcMar>
              <w:left w:w="58" w:type="dxa"/>
              <w:right w:w="58" w:type="dxa"/>
            </w:tcMar>
            <w:hideMark/>
          </w:tcPr>
          <w:p w14:paraId="4C38A70A"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fifth tranche) (room air conditioner manufacturing sector plan)</w:t>
            </w:r>
          </w:p>
        </w:tc>
        <w:tc>
          <w:tcPr>
            <w:tcW w:w="961" w:type="dxa"/>
            <w:shd w:val="clear" w:color="auto" w:fill="auto"/>
            <w:tcMar>
              <w:left w:w="58" w:type="dxa"/>
              <w:right w:w="58" w:type="dxa"/>
            </w:tcMar>
            <w:vAlign w:val="center"/>
            <w:hideMark/>
          </w:tcPr>
          <w:p w14:paraId="346CFE67"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2B66FB8D" w14:textId="77777777" w:rsidTr="00756D59">
        <w:trPr>
          <w:trHeight w:val="287"/>
        </w:trPr>
        <w:tc>
          <w:tcPr>
            <w:tcW w:w="1979" w:type="dxa"/>
            <w:shd w:val="clear" w:color="auto" w:fill="auto"/>
            <w:tcMar>
              <w:left w:w="58" w:type="dxa"/>
              <w:right w:w="58" w:type="dxa"/>
            </w:tcMar>
            <w:vAlign w:val="center"/>
            <w:hideMark/>
          </w:tcPr>
          <w:p w14:paraId="4AB9E3BC"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Dominica </w:t>
            </w:r>
          </w:p>
        </w:tc>
        <w:tc>
          <w:tcPr>
            <w:tcW w:w="2074" w:type="dxa"/>
            <w:shd w:val="clear" w:color="auto" w:fill="auto"/>
            <w:tcMar>
              <w:left w:w="58" w:type="dxa"/>
              <w:right w:w="58" w:type="dxa"/>
            </w:tcMar>
            <w:vAlign w:val="center"/>
            <w:hideMark/>
          </w:tcPr>
          <w:p w14:paraId="5862798A"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DMI/PHA/62/TAS/19</w:t>
            </w:r>
          </w:p>
        </w:tc>
        <w:tc>
          <w:tcPr>
            <w:tcW w:w="4677" w:type="dxa"/>
            <w:shd w:val="clear" w:color="auto" w:fill="auto"/>
            <w:tcMar>
              <w:left w:w="58" w:type="dxa"/>
              <w:right w:w="58" w:type="dxa"/>
            </w:tcMar>
            <w:hideMark/>
          </w:tcPr>
          <w:p w14:paraId="54DD7F98"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first tranche)</w:t>
            </w:r>
          </w:p>
        </w:tc>
        <w:tc>
          <w:tcPr>
            <w:tcW w:w="961" w:type="dxa"/>
            <w:shd w:val="clear" w:color="auto" w:fill="auto"/>
            <w:tcMar>
              <w:left w:w="58" w:type="dxa"/>
              <w:right w:w="58" w:type="dxa"/>
            </w:tcMar>
            <w:vAlign w:val="center"/>
            <w:hideMark/>
          </w:tcPr>
          <w:p w14:paraId="5074C99A"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UNEP</w:t>
            </w:r>
          </w:p>
        </w:tc>
      </w:tr>
      <w:tr w:rsidR="00B53651" w:rsidRPr="00176B12" w14:paraId="4A50E924" w14:textId="77777777" w:rsidTr="00756D59">
        <w:trPr>
          <w:trHeight w:val="80"/>
        </w:trPr>
        <w:tc>
          <w:tcPr>
            <w:tcW w:w="1979" w:type="dxa"/>
            <w:shd w:val="clear" w:color="auto" w:fill="auto"/>
            <w:tcMar>
              <w:left w:w="58" w:type="dxa"/>
              <w:right w:w="58" w:type="dxa"/>
            </w:tcMar>
            <w:vAlign w:val="center"/>
            <w:hideMark/>
          </w:tcPr>
          <w:p w14:paraId="28CD2B90"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Dominica </w:t>
            </w:r>
          </w:p>
        </w:tc>
        <w:tc>
          <w:tcPr>
            <w:tcW w:w="2074" w:type="dxa"/>
            <w:shd w:val="clear" w:color="auto" w:fill="auto"/>
            <w:tcMar>
              <w:left w:w="58" w:type="dxa"/>
              <w:right w:w="58" w:type="dxa"/>
            </w:tcMar>
            <w:vAlign w:val="center"/>
            <w:hideMark/>
          </w:tcPr>
          <w:p w14:paraId="620CF6E5"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DMI/SEV/80/TAS/01+</w:t>
            </w:r>
          </w:p>
        </w:tc>
        <w:tc>
          <w:tcPr>
            <w:tcW w:w="4677" w:type="dxa"/>
            <w:shd w:val="clear" w:color="auto" w:fill="auto"/>
            <w:tcMar>
              <w:left w:w="58" w:type="dxa"/>
              <w:right w:w="58" w:type="dxa"/>
            </w:tcMar>
            <w:hideMark/>
          </w:tcPr>
          <w:p w14:paraId="2668A940"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Enabling activities for HFC phase down</w:t>
            </w:r>
          </w:p>
        </w:tc>
        <w:tc>
          <w:tcPr>
            <w:tcW w:w="961" w:type="dxa"/>
            <w:shd w:val="clear" w:color="auto" w:fill="auto"/>
            <w:tcMar>
              <w:left w:w="58" w:type="dxa"/>
              <w:right w:w="58" w:type="dxa"/>
            </w:tcMar>
            <w:vAlign w:val="center"/>
            <w:hideMark/>
          </w:tcPr>
          <w:p w14:paraId="1831D1F9"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UNEP</w:t>
            </w:r>
          </w:p>
        </w:tc>
      </w:tr>
      <w:tr w:rsidR="00B53651" w:rsidRPr="00176B12" w14:paraId="23215813" w14:textId="77777777" w:rsidTr="00756D59">
        <w:trPr>
          <w:trHeight w:val="116"/>
        </w:trPr>
        <w:tc>
          <w:tcPr>
            <w:tcW w:w="1979" w:type="dxa"/>
            <w:shd w:val="clear" w:color="auto" w:fill="auto"/>
            <w:tcMar>
              <w:left w:w="58" w:type="dxa"/>
              <w:right w:w="58" w:type="dxa"/>
            </w:tcMar>
            <w:vAlign w:val="center"/>
            <w:hideMark/>
          </w:tcPr>
          <w:p w14:paraId="1D0CDFF3"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Gabon </w:t>
            </w:r>
          </w:p>
        </w:tc>
        <w:tc>
          <w:tcPr>
            <w:tcW w:w="2074" w:type="dxa"/>
            <w:shd w:val="clear" w:color="auto" w:fill="auto"/>
            <w:tcMar>
              <w:left w:w="58" w:type="dxa"/>
              <w:right w:w="58" w:type="dxa"/>
            </w:tcMar>
            <w:vAlign w:val="center"/>
            <w:hideMark/>
          </w:tcPr>
          <w:p w14:paraId="11F826E6"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GAB/PHA/79/INV/34</w:t>
            </w:r>
          </w:p>
        </w:tc>
        <w:tc>
          <w:tcPr>
            <w:tcW w:w="4677" w:type="dxa"/>
            <w:shd w:val="clear" w:color="auto" w:fill="auto"/>
            <w:tcMar>
              <w:left w:w="58" w:type="dxa"/>
              <w:right w:w="58" w:type="dxa"/>
            </w:tcMar>
            <w:hideMark/>
          </w:tcPr>
          <w:p w14:paraId="77F9132D"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2961AC72"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6EFB1421" w14:textId="77777777" w:rsidTr="00756D59">
        <w:trPr>
          <w:trHeight w:val="179"/>
        </w:trPr>
        <w:tc>
          <w:tcPr>
            <w:tcW w:w="1979" w:type="dxa"/>
            <w:shd w:val="clear" w:color="auto" w:fill="auto"/>
            <w:tcMar>
              <w:left w:w="58" w:type="dxa"/>
              <w:right w:w="58" w:type="dxa"/>
            </w:tcMar>
            <w:vAlign w:val="center"/>
            <w:hideMark/>
          </w:tcPr>
          <w:p w14:paraId="513C8F64"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Haiti</w:t>
            </w:r>
          </w:p>
        </w:tc>
        <w:tc>
          <w:tcPr>
            <w:tcW w:w="2074" w:type="dxa"/>
            <w:shd w:val="clear" w:color="auto" w:fill="auto"/>
            <w:tcMar>
              <w:left w:w="58" w:type="dxa"/>
              <w:right w:w="58" w:type="dxa"/>
            </w:tcMar>
            <w:vAlign w:val="center"/>
            <w:hideMark/>
          </w:tcPr>
          <w:p w14:paraId="1B55DBE7"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HAI/PHA/76/TAS/21</w:t>
            </w:r>
          </w:p>
        </w:tc>
        <w:tc>
          <w:tcPr>
            <w:tcW w:w="4677" w:type="dxa"/>
            <w:shd w:val="clear" w:color="auto" w:fill="auto"/>
            <w:tcMar>
              <w:left w:w="58" w:type="dxa"/>
              <w:right w:w="58" w:type="dxa"/>
            </w:tcMar>
            <w:hideMark/>
          </w:tcPr>
          <w:p w14:paraId="47E1E7F6"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second tranche)</w:t>
            </w:r>
          </w:p>
        </w:tc>
        <w:tc>
          <w:tcPr>
            <w:tcW w:w="961" w:type="dxa"/>
            <w:shd w:val="clear" w:color="auto" w:fill="auto"/>
            <w:tcMar>
              <w:left w:w="58" w:type="dxa"/>
              <w:right w:w="58" w:type="dxa"/>
            </w:tcMar>
            <w:vAlign w:val="center"/>
            <w:hideMark/>
          </w:tcPr>
          <w:p w14:paraId="408CA74D"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UNEP</w:t>
            </w:r>
          </w:p>
        </w:tc>
      </w:tr>
      <w:tr w:rsidR="00B53651" w:rsidRPr="00176B12" w14:paraId="73B24A20" w14:textId="77777777" w:rsidTr="00756D59">
        <w:trPr>
          <w:trHeight w:val="44"/>
        </w:trPr>
        <w:tc>
          <w:tcPr>
            <w:tcW w:w="1979" w:type="dxa"/>
            <w:shd w:val="clear" w:color="auto" w:fill="auto"/>
            <w:tcMar>
              <w:left w:w="58" w:type="dxa"/>
              <w:right w:w="58" w:type="dxa"/>
            </w:tcMar>
            <w:vAlign w:val="center"/>
            <w:hideMark/>
          </w:tcPr>
          <w:p w14:paraId="31402A0E"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Indonesia</w:t>
            </w:r>
          </w:p>
        </w:tc>
        <w:tc>
          <w:tcPr>
            <w:tcW w:w="2074" w:type="dxa"/>
            <w:shd w:val="clear" w:color="auto" w:fill="auto"/>
            <w:tcMar>
              <w:left w:w="58" w:type="dxa"/>
              <w:right w:w="58" w:type="dxa"/>
            </w:tcMar>
            <w:vAlign w:val="center"/>
            <w:hideMark/>
          </w:tcPr>
          <w:p w14:paraId="059A1C81"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IDS/PHA/76/INV/211</w:t>
            </w:r>
          </w:p>
        </w:tc>
        <w:tc>
          <w:tcPr>
            <w:tcW w:w="4677" w:type="dxa"/>
            <w:shd w:val="clear" w:color="auto" w:fill="auto"/>
            <w:tcMar>
              <w:left w:w="58" w:type="dxa"/>
              <w:right w:w="58" w:type="dxa"/>
            </w:tcMar>
            <w:hideMark/>
          </w:tcPr>
          <w:p w14:paraId="044423EF"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first tranche) (fire fighting sector)</w:t>
            </w:r>
          </w:p>
        </w:tc>
        <w:tc>
          <w:tcPr>
            <w:tcW w:w="961" w:type="dxa"/>
            <w:shd w:val="clear" w:color="auto" w:fill="auto"/>
            <w:tcMar>
              <w:left w:w="58" w:type="dxa"/>
              <w:right w:w="58" w:type="dxa"/>
            </w:tcMar>
            <w:vAlign w:val="center"/>
            <w:hideMark/>
          </w:tcPr>
          <w:p w14:paraId="45233B9A"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UNDP</w:t>
            </w:r>
          </w:p>
        </w:tc>
      </w:tr>
      <w:tr w:rsidR="00B53651" w:rsidRPr="00176B12" w14:paraId="2712B396" w14:textId="77777777" w:rsidTr="00756D59">
        <w:trPr>
          <w:trHeight w:val="179"/>
        </w:trPr>
        <w:tc>
          <w:tcPr>
            <w:tcW w:w="1979" w:type="dxa"/>
            <w:shd w:val="clear" w:color="auto" w:fill="auto"/>
            <w:tcMar>
              <w:left w:w="58" w:type="dxa"/>
              <w:right w:w="58" w:type="dxa"/>
            </w:tcMar>
            <w:vAlign w:val="center"/>
            <w:hideMark/>
          </w:tcPr>
          <w:p w14:paraId="19D29CE5"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Iraq</w:t>
            </w:r>
          </w:p>
        </w:tc>
        <w:tc>
          <w:tcPr>
            <w:tcW w:w="2074" w:type="dxa"/>
            <w:shd w:val="clear" w:color="auto" w:fill="auto"/>
            <w:tcMar>
              <w:left w:w="58" w:type="dxa"/>
              <w:right w:w="58" w:type="dxa"/>
            </w:tcMar>
            <w:vAlign w:val="center"/>
            <w:hideMark/>
          </w:tcPr>
          <w:p w14:paraId="3FD9CCFE"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IRQ/PHA/58/INV/09</w:t>
            </w:r>
          </w:p>
        </w:tc>
        <w:tc>
          <w:tcPr>
            <w:tcW w:w="4677" w:type="dxa"/>
            <w:shd w:val="clear" w:color="auto" w:fill="auto"/>
            <w:tcMar>
              <w:left w:w="58" w:type="dxa"/>
              <w:right w:w="58" w:type="dxa"/>
            </w:tcMar>
            <w:hideMark/>
          </w:tcPr>
          <w:p w14:paraId="2199F0E9"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National phase-out plan (first tranche)</w:t>
            </w:r>
          </w:p>
        </w:tc>
        <w:tc>
          <w:tcPr>
            <w:tcW w:w="961" w:type="dxa"/>
            <w:shd w:val="clear" w:color="auto" w:fill="auto"/>
            <w:tcMar>
              <w:left w:w="58" w:type="dxa"/>
              <w:right w:w="58" w:type="dxa"/>
            </w:tcMar>
            <w:vAlign w:val="center"/>
            <w:hideMark/>
          </w:tcPr>
          <w:p w14:paraId="29BBDCCF"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5CA1778C" w14:textId="77777777" w:rsidTr="00756D59">
        <w:trPr>
          <w:trHeight w:val="44"/>
        </w:trPr>
        <w:tc>
          <w:tcPr>
            <w:tcW w:w="1979" w:type="dxa"/>
            <w:shd w:val="clear" w:color="auto" w:fill="auto"/>
            <w:tcMar>
              <w:left w:w="58" w:type="dxa"/>
              <w:right w:w="58" w:type="dxa"/>
            </w:tcMar>
            <w:vAlign w:val="center"/>
            <w:hideMark/>
          </w:tcPr>
          <w:p w14:paraId="138058C9"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3DDAE1F3"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KUW/PHA/66/INV/21</w:t>
            </w:r>
          </w:p>
        </w:tc>
        <w:tc>
          <w:tcPr>
            <w:tcW w:w="4677" w:type="dxa"/>
            <w:shd w:val="clear" w:color="auto" w:fill="auto"/>
            <w:tcMar>
              <w:left w:w="58" w:type="dxa"/>
              <w:right w:w="58" w:type="dxa"/>
            </w:tcMar>
            <w:hideMark/>
          </w:tcPr>
          <w:p w14:paraId="111AF355"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 xml:space="preserve">HCFC phase-out management plan (stage I, first tranche) (extruded polystyrene foam sector phase-out: Gulf Insulating Materials Manufacturing and Trading; </w:t>
            </w:r>
            <w:proofErr w:type="spellStart"/>
            <w:r w:rsidRPr="00176B12">
              <w:rPr>
                <w:color w:val="000000"/>
                <w:sz w:val="20"/>
                <w:szCs w:val="20"/>
                <w:lang w:val="en-CA" w:eastAsia="en-CA"/>
              </w:rPr>
              <w:t>Isofoam</w:t>
            </w:r>
            <w:proofErr w:type="spellEnd"/>
            <w:r w:rsidRPr="00176B12">
              <w:rPr>
                <w:color w:val="000000"/>
                <w:sz w:val="20"/>
                <w:szCs w:val="20"/>
                <w:lang w:val="en-CA" w:eastAsia="en-CA"/>
              </w:rPr>
              <w:t xml:space="preserve"> Insulating Materials Plants; and Al </w:t>
            </w:r>
            <w:proofErr w:type="spellStart"/>
            <w:r w:rsidRPr="00176B12">
              <w:rPr>
                <w:color w:val="000000"/>
                <w:sz w:val="20"/>
                <w:szCs w:val="20"/>
                <w:lang w:val="en-CA" w:eastAsia="en-CA"/>
              </w:rPr>
              <w:t>Masaha</w:t>
            </w:r>
            <w:proofErr w:type="spellEnd"/>
            <w:r w:rsidRPr="00176B12">
              <w:rPr>
                <w:color w:val="000000"/>
                <w:sz w:val="20"/>
                <w:szCs w:val="20"/>
                <w:lang w:val="en-CA" w:eastAsia="en-CA"/>
              </w:rPr>
              <w:t xml:space="preserve"> Company)</w:t>
            </w:r>
          </w:p>
        </w:tc>
        <w:tc>
          <w:tcPr>
            <w:tcW w:w="961" w:type="dxa"/>
            <w:shd w:val="clear" w:color="auto" w:fill="auto"/>
            <w:tcMar>
              <w:left w:w="58" w:type="dxa"/>
              <w:right w:w="58" w:type="dxa"/>
            </w:tcMar>
            <w:vAlign w:val="center"/>
            <w:hideMark/>
          </w:tcPr>
          <w:p w14:paraId="51F5C55E"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003B3D05" w14:textId="77777777" w:rsidTr="00756D59">
        <w:trPr>
          <w:trHeight w:val="44"/>
        </w:trPr>
        <w:tc>
          <w:tcPr>
            <w:tcW w:w="1979" w:type="dxa"/>
            <w:shd w:val="clear" w:color="auto" w:fill="auto"/>
            <w:tcMar>
              <w:left w:w="58" w:type="dxa"/>
              <w:right w:w="58" w:type="dxa"/>
            </w:tcMar>
            <w:vAlign w:val="center"/>
            <w:hideMark/>
          </w:tcPr>
          <w:p w14:paraId="39740BE1"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33F87E4C"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KUW/PHA/74/INV/24</w:t>
            </w:r>
          </w:p>
        </w:tc>
        <w:tc>
          <w:tcPr>
            <w:tcW w:w="4677" w:type="dxa"/>
            <w:shd w:val="clear" w:color="auto" w:fill="auto"/>
            <w:tcMar>
              <w:left w:w="58" w:type="dxa"/>
              <w:right w:w="58" w:type="dxa"/>
            </w:tcMar>
            <w:hideMark/>
          </w:tcPr>
          <w:p w14:paraId="5F11EEFE"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second tranche) (polyurethane foam sector phase-out: Kuwait polyurethane Industry Co.; Kirby Building Systems, technical assistance to spray foam users and other small users)</w:t>
            </w:r>
          </w:p>
        </w:tc>
        <w:tc>
          <w:tcPr>
            <w:tcW w:w="961" w:type="dxa"/>
            <w:shd w:val="clear" w:color="auto" w:fill="auto"/>
            <w:tcMar>
              <w:left w:w="58" w:type="dxa"/>
              <w:right w:w="58" w:type="dxa"/>
            </w:tcMar>
            <w:vAlign w:val="center"/>
            <w:hideMark/>
          </w:tcPr>
          <w:p w14:paraId="4E0A67C1"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0312F5D8" w14:textId="77777777" w:rsidTr="00756D59">
        <w:trPr>
          <w:trHeight w:val="44"/>
        </w:trPr>
        <w:tc>
          <w:tcPr>
            <w:tcW w:w="1979" w:type="dxa"/>
            <w:shd w:val="clear" w:color="auto" w:fill="auto"/>
            <w:tcMar>
              <w:left w:w="58" w:type="dxa"/>
              <w:right w:w="58" w:type="dxa"/>
            </w:tcMar>
            <w:vAlign w:val="center"/>
            <w:hideMark/>
          </w:tcPr>
          <w:p w14:paraId="7BA09D7D"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5BC6B8D9"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KUW/PHA/74/INV/25</w:t>
            </w:r>
          </w:p>
        </w:tc>
        <w:tc>
          <w:tcPr>
            <w:tcW w:w="4677" w:type="dxa"/>
            <w:shd w:val="clear" w:color="auto" w:fill="auto"/>
            <w:tcMar>
              <w:left w:w="58" w:type="dxa"/>
              <w:right w:w="58" w:type="dxa"/>
            </w:tcMar>
            <w:hideMark/>
          </w:tcPr>
          <w:p w14:paraId="71AE4F65"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 xml:space="preserve">HCFC phase-out management plan (stage I, second tranche) (extruded polystyrene foam sector phase-out: Gulf Insulating Materials Manufacturing and Trading; </w:t>
            </w:r>
            <w:proofErr w:type="spellStart"/>
            <w:r w:rsidRPr="00176B12">
              <w:rPr>
                <w:color w:val="000000"/>
                <w:sz w:val="20"/>
                <w:szCs w:val="20"/>
                <w:lang w:val="en-CA" w:eastAsia="en-CA"/>
              </w:rPr>
              <w:lastRenderedPageBreak/>
              <w:t>Isofoam</w:t>
            </w:r>
            <w:proofErr w:type="spellEnd"/>
            <w:r w:rsidRPr="00176B12">
              <w:rPr>
                <w:color w:val="000000"/>
                <w:sz w:val="20"/>
                <w:szCs w:val="20"/>
                <w:lang w:val="en-CA" w:eastAsia="en-CA"/>
              </w:rPr>
              <w:t xml:space="preserve"> Insulating Materials Plants; and Al </w:t>
            </w:r>
            <w:proofErr w:type="spellStart"/>
            <w:r w:rsidRPr="00176B12">
              <w:rPr>
                <w:color w:val="000000"/>
                <w:sz w:val="20"/>
                <w:szCs w:val="20"/>
                <w:lang w:val="en-CA" w:eastAsia="en-CA"/>
              </w:rPr>
              <w:t>Masaha</w:t>
            </w:r>
            <w:proofErr w:type="spellEnd"/>
            <w:r w:rsidRPr="00176B12">
              <w:rPr>
                <w:color w:val="000000"/>
                <w:sz w:val="20"/>
                <w:szCs w:val="20"/>
                <w:lang w:val="en-CA" w:eastAsia="en-CA"/>
              </w:rPr>
              <w:t xml:space="preserve"> Company)</w:t>
            </w:r>
          </w:p>
        </w:tc>
        <w:tc>
          <w:tcPr>
            <w:tcW w:w="961" w:type="dxa"/>
            <w:shd w:val="clear" w:color="auto" w:fill="auto"/>
            <w:tcMar>
              <w:left w:w="58" w:type="dxa"/>
              <w:right w:w="58" w:type="dxa"/>
            </w:tcMar>
            <w:vAlign w:val="center"/>
            <w:hideMark/>
          </w:tcPr>
          <w:p w14:paraId="4728CB7B"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lastRenderedPageBreak/>
              <w:t>UNIDO</w:t>
            </w:r>
          </w:p>
        </w:tc>
      </w:tr>
      <w:tr w:rsidR="00B53651" w:rsidRPr="00176B12" w14:paraId="44F5C163" w14:textId="77777777" w:rsidTr="00756D59">
        <w:trPr>
          <w:trHeight w:val="134"/>
        </w:trPr>
        <w:tc>
          <w:tcPr>
            <w:tcW w:w="1979" w:type="dxa"/>
            <w:shd w:val="clear" w:color="auto" w:fill="auto"/>
            <w:tcMar>
              <w:left w:w="58" w:type="dxa"/>
              <w:right w:w="58" w:type="dxa"/>
            </w:tcMar>
            <w:vAlign w:val="center"/>
            <w:hideMark/>
          </w:tcPr>
          <w:p w14:paraId="096E0FE0"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lastRenderedPageBreak/>
              <w:t>Libya</w:t>
            </w:r>
          </w:p>
        </w:tc>
        <w:tc>
          <w:tcPr>
            <w:tcW w:w="2074" w:type="dxa"/>
            <w:shd w:val="clear" w:color="auto" w:fill="auto"/>
            <w:tcMar>
              <w:left w:w="58" w:type="dxa"/>
              <w:right w:w="58" w:type="dxa"/>
            </w:tcMar>
            <w:vAlign w:val="center"/>
            <w:hideMark/>
          </w:tcPr>
          <w:p w14:paraId="5E63C4E4"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LIB/PHA/75/INV/37</w:t>
            </w:r>
          </w:p>
        </w:tc>
        <w:tc>
          <w:tcPr>
            <w:tcW w:w="4677" w:type="dxa"/>
            <w:shd w:val="clear" w:color="auto" w:fill="auto"/>
            <w:tcMar>
              <w:left w:w="58" w:type="dxa"/>
              <w:right w:w="58" w:type="dxa"/>
            </w:tcMar>
            <w:hideMark/>
          </w:tcPr>
          <w:p w14:paraId="3485385C"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first tranche) (refrigeration servicing sector)</w:t>
            </w:r>
          </w:p>
        </w:tc>
        <w:tc>
          <w:tcPr>
            <w:tcW w:w="961" w:type="dxa"/>
            <w:shd w:val="clear" w:color="auto" w:fill="auto"/>
            <w:tcMar>
              <w:left w:w="58" w:type="dxa"/>
              <w:right w:w="58" w:type="dxa"/>
            </w:tcMar>
            <w:vAlign w:val="center"/>
            <w:hideMark/>
          </w:tcPr>
          <w:p w14:paraId="75CFEE4C"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70B2FE6F" w14:textId="77777777" w:rsidTr="00756D59">
        <w:trPr>
          <w:trHeight w:val="296"/>
        </w:trPr>
        <w:tc>
          <w:tcPr>
            <w:tcW w:w="1979" w:type="dxa"/>
            <w:shd w:val="clear" w:color="auto" w:fill="auto"/>
            <w:tcMar>
              <w:left w:w="58" w:type="dxa"/>
              <w:right w:w="58" w:type="dxa"/>
            </w:tcMar>
            <w:vAlign w:val="center"/>
            <w:hideMark/>
          </w:tcPr>
          <w:p w14:paraId="2308BC79"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Libya</w:t>
            </w:r>
          </w:p>
        </w:tc>
        <w:tc>
          <w:tcPr>
            <w:tcW w:w="2074" w:type="dxa"/>
            <w:shd w:val="clear" w:color="auto" w:fill="auto"/>
            <w:tcMar>
              <w:left w:w="58" w:type="dxa"/>
              <w:right w:w="58" w:type="dxa"/>
            </w:tcMar>
            <w:vAlign w:val="center"/>
            <w:hideMark/>
          </w:tcPr>
          <w:p w14:paraId="213328B4"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LIB/PHA/82/INV/42</w:t>
            </w:r>
          </w:p>
        </w:tc>
        <w:tc>
          <w:tcPr>
            <w:tcW w:w="4677" w:type="dxa"/>
            <w:shd w:val="clear" w:color="auto" w:fill="auto"/>
            <w:tcMar>
              <w:left w:w="58" w:type="dxa"/>
              <w:right w:w="58" w:type="dxa"/>
            </w:tcMar>
            <w:hideMark/>
          </w:tcPr>
          <w:p w14:paraId="42AD4474"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second tranche) (refrigeration servicing sector)</w:t>
            </w:r>
          </w:p>
        </w:tc>
        <w:tc>
          <w:tcPr>
            <w:tcW w:w="961" w:type="dxa"/>
            <w:shd w:val="clear" w:color="auto" w:fill="auto"/>
            <w:tcMar>
              <w:left w:w="58" w:type="dxa"/>
              <w:right w:w="58" w:type="dxa"/>
            </w:tcMar>
            <w:vAlign w:val="center"/>
            <w:hideMark/>
          </w:tcPr>
          <w:p w14:paraId="0C27DF6D"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3F38455D" w14:textId="77777777" w:rsidTr="00756D59">
        <w:trPr>
          <w:trHeight w:val="98"/>
        </w:trPr>
        <w:tc>
          <w:tcPr>
            <w:tcW w:w="1979" w:type="dxa"/>
            <w:shd w:val="clear" w:color="auto" w:fill="auto"/>
            <w:tcMar>
              <w:left w:w="58" w:type="dxa"/>
              <w:right w:w="58" w:type="dxa"/>
            </w:tcMar>
            <w:vAlign w:val="center"/>
            <w:hideMark/>
          </w:tcPr>
          <w:p w14:paraId="1DD7DE1D"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Maldives </w:t>
            </w:r>
          </w:p>
        </w:tc>
        <w:tc>
          <w:tcPr>
            <w:tcW w:w="2074" w:type="dxa"/>
            <w:shd w:val="clear" w:color="auto" w:fill="auto"/>
            <w:tcMar>
              <w:left w:w="58" w:type="dxa"/>
              <w:right w:w="58" w:type="dxa"/>
            </w:tcMar>
            <w:vAlign w:val="center"/>
            <w:hideMark/>
          </w:tcPr>
          <w:p w14:paraId="7D70C6B0"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MDV/SEV/80/TAS/02+</w:t>
            </w:r>
          </w:p>
        </w:tc>
        <w:tc>
          <w:tcPr>
            <w:tcW w:w="4677" w:type="dxa"/>
            <w:shd w:val="clear" w:color="auto" w:fill="auto"/>
            <w:tcMar>
              <w:left w:w="58" w:type="dxa"/>
              <w:right w:w="58" w:type="dxa"/>
            </w:tcMar>
            <w:hideMark/>
          </w:tcPr>
          <w:p w14:paraId="6A834B11"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Enabling activities for HFC phase-down</w:t>
            </w:r>
          </w:p>
        </w:tc>
        <w:tc>
          <w:tcPr>
            <w:tcW w:w="961" w:type="dxa"/>
            <w:shd w:val="clear" w:color="auto" w:fill="auto"/>
            <w:tcMar>
              <w:left w:w="58" w:type="dxa"/>
              <w:right w:w="58" w:type="dxa"/>
            </w:tcMar>
            <w:vAlign w:val="center"/>
            <w:hideMark/>
          </w:tcPr>
          <w:p w14:paraId="49E3B234"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Italy</w:t>
            </w:r>
          </w:p>
        </w:tc>
      </w:tr>
      <w:tr w:rsidR="00B53651" w:rsidRPr="00176B12" w14:paraId="627980D2" w14:textId="77777777" w:rsidTr="00756D59">
        <w:trPr>
          <w:trHeight w:val="116"/>
        </w:trPr>
        <w:tc>
          <w:tcPr>
            <w:tcW w:w="1979" w:type="dxa"/>
            <w:shd w:val="clear" w:color="auto" w:fill="auto"/>
            <w:tcMar>
              <w:left w:w="58" w:type="dxa"/>
              <w:right w:w="58" w:type="dxa"/>
            </w:tcMar>
            <w:vAlign w:val="center"/>
            <w:hideMark/>
          </w:tcPr>
          <w:p w14:paraId="6CC9DDC5"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Mauritania</w:t>
            </w:r>
          </w:p>
        </w:tc>
        <w:tc>
          <w:tcPr>
            <w:tcW w:w="2074" w:type="dxa"/>
            <w:shd w:val="clear" w:color="auto" w:fill="auto"/>
            <w:tcMar>
              <w:left w:w="58" w:type="dxa"/>
              <w:right w:w="58" w:type="dxa"/>
            </w:tcMar>
            <w:vAlign w:val="center"/>
            <w:hideMark/>
          </w:tcPr>
          <w:p w14:paraId="174DB85E"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MAU/PHA/80/INV/25</w:t>
            </w:r>
          </w:p>
        </w:tc>
        <w:tc>
          <w:tcPr>
            <w:tcW w:w="4677" w:type="dxa"/>
            <w:shd w:val="clear" w:color="auto" w:fill="auto"/>
            <w:tcMar>
              <w:left w:w="58" w:type="dxa"/>
              <w:right w:w="58" w:type="dxa"/>
            </w:tcMar>
            <w:hideMark/>
          </w:tcPr>
          <w:p w14:paraId="1BA6B3E9"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first tranche)</w:t>
            </w:r>
          </w:p>
        </w:tc>
        <w:tc>
          <w:tcPr>
            <w:tcW w:w="961" w:type="dxa"/>
            <w:shd w:val="clear" w:color="auto" w:fill="auto"/>
            <w:tcMar>
              <w:left w:w="58" w:type="dxa"/>
              <w:right w:w="58" w:type="dxa"/>
            </w:tcMar>
            <w:vAlign w:val="center"/>
            <w:hideMark/>
          </w:tcPr>
          <w:p w14:paraId="6550A93D"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UNDP</w:t>
            </w:r>
          </w:p>
        </w:tc>
      </w:tr>
      <w:tr w:rsidR="00B53651" w:rsidRPr="00176B12" w14:paraId="056CA0C6" w14:textId="77777777" w:rsidTr="00756D59">
        <w:trPr>
          <w:trHeight w:val="44"/>
        </w:trPr>
        <w:tc>
          <w:tcPr>
            <w:tcW w:w="1979" w:type="dxa"/>
            <w:shd w:val="clear" w:color="auto" w:fill="auto"/>
            <w:tcMar>
              <w:left w:w="58" w:type="dxa"/>
              <w:right w:w="58" w:type="dxa"/>
            </w:tcMar>
            <w:vAlign w:val="center"/>
            <w:hideMark/>
          </w:tcPr>
          <w:p w14:paraId="6A4FD533"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Mexico </w:t>
            </w:r>
          </w:p>
        </w:tc>
        <w:tc>
          <w:tcPr>
            <w:tcW w:w="2074" w:type="dxa"/>
            <w:shd w:val="clear" w:color="auto" w:fill="auto"/>
            <w:tcMar>
              <w:left w:w="58" w:type="dxa"/>
              <w:right w:w="58" w:type="dxa"/>
            </w:tcMar>
            <w:vAlign w:val="center"/>
            <w:hideMark/>
          </w:tcPr>
          <w:p w14:paraId="13B2E85C"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MEX/PHA/73/INV/171</w:t>
            </w:r>
          </w:p>
        </w:tc>
        <w:tc>
          <w:tcPr>
            <w:tcW w:w="4677" w:type="dxa"/>
            <w:shd w:val="clear" w:color="auto" w:fill="auto"/>
            <w:tcMar>
              <w:left w:w="58" w:type="dxa"/>
              <w:right w:w="58" w:type="dxa"/>
            </w:tcMar>
            <w:hideMark/>
          </w:tcPr>
          <w:p w14:paraId="5188DB4D"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first tranche) (reclamation of HCFC refrigerants)</w:t>
            </w:r>
          </w:p>
        </w:tc>
        <w:tc>
          <w:tcPr>
            <w:tcW w:w="961" w:type="dxa"/>
            <w:shd w:val="clear" w:color="auto" w:fill="auto"/>
            <w:tcMar>
              <w:left w:w="58" w:type="dxa"/>
              <w:right w:w="58" w:type="dxa"/>
            </w:tcMar>
            <w:vAlign w:val="center"/>
            <w:hideMark/>
          </w:tcPr>
          <w:p w14:paraId="0A51F690"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Italy</w:t>
            </w:r>
          </w:p>
        </w:tc>
      </w:tr>
      <w:tr w:rsidR="00B53651" w:rsidRPr="00176B12" w14:paraId="333A4648" w14:textId="77777777" w:rsidTr="00756D59">
        <w:trPr>
          <w:trHeight w:val="44"/>
        </w:trPr>
        <w:tc>
          <w:tcPr>
            <w:tcW w:w="1979" w:type="dxa"/>
            <w:shd w:val="clear" w:color="auto" w:fill="auto"/>
            <w:tcMar>
              <w:left w:w="58" w:type="dxa"/>
              <w:right w:w="58" w:type="dxa"/>
            </w:tcMar>
            <w:vAlign w:val="center"/>
            <w:hideMark/>
          </w:tcPr>
          <w:p w14:paraId="336070B8"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Mexico</w:t>
            </w:r>
          </w:p>
        </w:tc>
        <w:tc>
          <w:tcPr>
            <w:tcW w:w="2074" w:type="dxa"/>
            <w:shd w:val="clear" w:color="auto" w:fill="auto"/>
            <w:tcMar>
              <w:left w:w="58" w:type="dxa"/>
              <w:right w:w="58" w:type="dxa"/>
            </w:tcMar>
            <w:vAlign w:val="center"/>
            <w:hideMark/>
          </w:tcPr>
          <w:p w14:paraId="15D123CE"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MEX/PHA/74/INV/172</w:t>
            </w:r>
          </w:p>
        </w:tc>
        <w:tc>
          <w:tcPr>
            <w:tcW w:w="4677" w:type="dxa"/>
            <w:shd w:val="clear" w:color="auto" w:fill="auto"/>
            <w:tcMar>
              <w:left w:w="58" w:type="dxa"/>
              <w:right w:w="58" w:type="dxa"/>
            </w:tcMar>
            <w:hideMark/>
          </w:tcPr>
          <w:p w14:paraId="13574AF7"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first tranche) (HC demonstration and training)</w:t>
            </w:r>
          </w:p>
        </w:tc>
        <w:tc>
          <w:tcPr>
            <w:tcW w:w="961" w:type="dxa"/>
            <w:shd w:val="clear" w:color="auto" w:fill="auto"/>
            <w:tcMar>
              <w:left w:w="58" w:type="dxa"/>
              <w:right w:w="58" w:type="dxa"/>
            </w:tcMar>
            <w:vAlign w:val="center"/>
            <w:hideMark/>
          </w:tcPr>
          <w:p w14:paraId="16E390E4"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Germany</w:t>
            </w:r>
          </w:p>
        </w:tc>
      </w:tr>
      <w:tr w:rsidR="00B53651" w:rsidRPr="00176B12" w14:paraId="4B11BD47" w14:textId="77777777" w:rsidTr="00756D59">
        <w:trPr>
          <w:trHeight w:val="44"/>
        </w:trPr>
        <w:tc>
          <w:tcPr>
            <w:tcW w:w="1979" w:type="dxa"/>
            <w:shd w:val="clear" w:color="auto" w:fill="auto"/>
            <w:tcMar>
              <w:left w:w="58" w:type="dxa"/>
              <w:right w:w="58" w:type="dxa"/>
            </w:tcMar>
            <w:vAlign w:val="center"/>
            <w:hideMark/>
          </w:tcPr>
          <w:p w14:paraId="5DA70E9F"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Mexico</w:t>
            </w:r>
          </w:p>
        </w:tc>
        <w:tc>
          <w:tcPr>
            <w:tcW w:w="2074" w:type="dxa"/>
            <w:shd w:val="clear" w:color="auto" w:fill="auto"/>
            <w:tcMar>
              <w:left w:w="58" w:type="dxa"/>
              <w:right w:w="58" w:type="dxa"/>
            </w:tcMar>
            <w:vAlign w:val="center"/>
            <w:hideMark/>
          </w:tcPr>
          <w:p w14:paraId="6CE8DB20"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MEX/PHA/77/INV/179</w:t>
            </w:r>
          </w:p>
        </w:tc>
        <w:tc>
          <w:tcPr>
            <w:tcW w:w="4677" w:type="dxa"/>
            <w:shd w:val="clear" w:color="auto" w:fill="auto"/>
            <w:tcMar>
              <w:left w:w="58" w:type="dxa"/>
              <w:right w:w="58" w:type="dxa"/>
            </w:tcMar>
            <w:hideMark/>
          </w:tcPr>
          <w:p w14:paraId="3C2B5402"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second tranche) (HC demonstration and training)</w:t>
            </w:r>
          </w:p>
        </w:tc>
        <w:tc>
          <w:tcPr>
            <w:tcW w:w="961" w:type="dxa"/>
            <w:shd w:val="clear" w:color="auto" w:fill="auto"/>
            <w:tcMar>
              <w:left w:w="58" w:type="dxa"/>
              <w:right w:w="58" w:type="dxa"/>
            </w:tcMar>
            <w:vAlign w:val="center"/>
            <w:hideMark/>
          </w:tcPr>
          <w:p w14:paraId="6542B474"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Germany</w:t>
            </w:r>
          </w:p>
        </w:tc>
      </w:tr>
      <w:tr w:rsidR="00B53651" w:rsidRPr="00176B12" w14:paraId="5D660D17" w14:textId="77777777" w:rsidTr="00756D59">
        <w:trPr>
          <w:trHeight w:val="44"/>
        </w:trPr>
        <w:tc>
          <w:tcPr>
            <w:tcW w:w="1979" w:type="dxa"/>
            <w:shd w:val="clear" w:color="auto" w:fill="auto"/>
            <w:tcMar>
              <w:left w:w="58" w:type="dxa"/>
              <w:right w:w="58" w:type="dxa"/>
            </w:tcMar>
            <w:vAlign w:val="center"/>
            <w:hideMark/>
          </w:tcPr>
          <w:p w14:paraId="02971F4B"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Seychelles </w:t>
            </w:r>
          </w:p>
        </w:tc>
        <w:tc>
          <w:tcPr>
            <w:tcW w:w="2074" w:type="dxa"/>
            <w:shd w:val="clear" w:color="auto" w:fill="auto"/>
            <w:tcMar>
              <w:left w:w="58" w:type="dxa"/>
              <w:right w:w="58" w:type="dxa"/>
            </w:tcMar>
            <w:vAlign w:val="center"/>
            <w:hideMark/>
          </w:tcPr>
          <w:p w14:paraId="7A983332"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SEY/PHA/70/INV/19</w:t>
            </w:r>
          </w:p>
        </w:tc>
        <w:tc>
          <w:tcPr>
            <w:tcW w:w="4677" w:type="dxa"/>
            <w:shd w:val="clear" w:color="auto" w:fill="auto"/>
            <w:tcMar>
              <w:left w:w="58" w:type="dxa"/>
              <w:right w:w="58" w:type="dxa"/>
            </w:tcMar>
            <w:hideMark/>
          </w:tcPr>
          <w:p w14:paraId="3BF0F2C9"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(second tranche)</w:t>
            </w:r>
          </w:p>
        </w:tc>
        <w:tc>
          <w:tcPr>
            <w:tcW w:w="961" w:type="dxa"/>
            <w:shd w:val="clear" w:color="auto" w:fill="auto"/>
            <w:tcMar>
              <w:left w:w="58" w:type="dxa"/>
              <w:right w:w="58" w:type="dxa"/>
            </w:tcMar>
            <w:vAlign w:val="center"/>
            <w:hideMark/>
          </w:tcPr>
          <w:p w14:paraId="259EEFE6"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Germany</w:t>
            </w:r>
          </w:p>
        </w:tc>
      </w:tr>
      <w:tr w:rsidR="00B53651" w:rsidRPr="00176B12" w14:paraId="45108A9B" w14:textId="77777777" w:rsidTr="00756D59">
        <w:trPr>
          <w:trHeight w:val="44"/>
        </w:trPr>
        <w:tc>
          <w:tcPr>
            <w:tcW w:w="1979" w:type="dxa"/>
            <w:shd w:val="clear" w:color="auto" w:fill="auto"/>
            <w:tcMar>
              <w:left w:w="58" w:type="dxa"/>
              <w:right w:w="58" w:type="dxa"/>
            </w:tcMar>
            <w:vAlign w:val="center"/>
            <w:hideMark/>
          </w:tcPr>
          <w:p w14:paraId="2F111096"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 xml:space="preserve">Seychelles </w:t>
            </w:r>
          </w:p>
        </w:tc>
        <w:tc>
          <w:tcPr>
            <w:tcW w:w="2074" w:type="dxa"/>
            <w:shd w:val="clear" w:color="auto" w:fill="auto"/>
            <w:tcMar>
              <w:left w:w="58" w:type="dxa"/>
              <w:right w:w="58" w:type="dxa"/>
            </w:tcMar>
            <w:vAlign w:val="center"/>
            <w:hideMark/>
          </w:tcPr>
          <w:p w14:paraId="3CB60D2E"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SEY/PHA/75/INV/23</w:t>
            </w:r>
          </w:p>
        </w:tc>
        <w:tc>
          <w:tcPr>
            <w:tcW w:w="4677" w:type="dxa"/>
            <w:shd w:val="clear" w:color="auto" w:fill="auto"/>
            <w:tcMar>
              <w:left w:w="58" w:type="dxa"/>
              <w:right w:w="58" w:type="dxa"/>
            </w:tcMar>
            <w:hideMark/>
          </w:tcPr>
          <w:p w14:paraId="2F246A84"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23170466"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Germany</w:t>
            </w:r>
          </w:p>
        </w:tc>
      </w:tr>
      <w:tr w:rsidR="00B53651" w:rsidRPr="00176B12" w14:paraId="4FAAF65A" w14:textId="77777777" w:rsidTr="00756D59">
        <w:trPr>
          <w:trHeight w:val="314"/>
        </w:trPr>
        <w:tc>
          <w:tcPr>
            <w:tcW w:w="1979" w:type="dxa"/>
            <w:shd w:val="clear" w:color="auto" w:fill="auto"/>
            <w:tcMar>
              <w:left w:w="58" w:type="dxa"/>
              <w:right w:w="58" w:type="dxa"/>
            </w:tcMar>
            <w:vAlign w:val="center"/>
            <w:hideMark/>
          </w:tcPr>
          <w:p w14:paraId="26A23613"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South Africa</w:t>
            </w:r>
          </w:p>
        </w:tc>
        <w:tc>
          <w:tcPr>
            <w:tcW w:w="2074" w:type="dxa"/>
            <w:shd w:val="clear" w:color="auto" w:fill="auto"/>
            <w:tcMar>
              <w:left w:w="58" w:type="dxa"/>
              <w:right w:w="58" w:type="dxa"/>
            </w:tcMar>
            <w:vAlign w:val="center"/>
            <w:hideMark/>
          </w:tcPr>
          <w:p w14:paraId="3801419B"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SOA/PHA/71/INV/06</w:t>
            </w:r>
          </w:p>
        </w:tc>
        <w:tc>
          <w:tcPr>
            <w:tcW w:w="4677" w:type="dxa"/>
            <w:shd w:val="clear" w:color="auto" w:fill="auto"/>
            <w:tcMar>
              <w:left w:w="58" w:type="dxa"/>
              <w:right w:w="58" w:type="dxa"/>
            </w:tcMar>
            <w:hideMark/>
          </w:tcPr>
          <w:p w14:paraId="233EB4D2"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 second tranche) (refrigeration servicing, custom training and monitoring)</w:t>
            </w:r>
          </w:p>
        </w:tc>
        <w:tc>
          <w:tcPr>
            <w:tcW w:w="961" w:type="dxa"/>
            <w:shd w:val="clear" w:color="auto" w:fill="auto"/>
            <w:tcMar>
              <w:left w:w="58" w:type="dxa"/>
              <w:right w:w="58" w:type="dxa"/>
            </w:tcMar>
            <w:vAlign w:val="center"/>
            <w:hideMark/>
          </w:tcPr>
          <w:p w14:paraId="37ABAA24"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1DBF88E8" w14:textId="77777777" w:rsidTr="00756D59">
        <w:trPr>
          <w:trHeight w:val="44"/>
        </w:trPr>
        <w:tc>
          <w:tcPr>
            <w:tcW w:w="1979" w:type="dxa"/>
            <w:shd w:val="clear" w:color="auto" w:fill="auto"/>
            <w:tcMar>
              <w:left w:w="58" w:type="dxa"/>
              <w:right w:w="58" w:type="dxa"/>
            </w:tcMar>
            <w:vAlign w:val="center"/>
            <w:hideMark/>
          </w:tcPr>
          <w:p w14:paraId="6CB9BB47"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Venezuela (Bolivarian Republic of)</w:t>
            </w:r>
          </w:p>
        </w:tc>
        <w:tc>
          <w:tcPr>
            <w:tcW w:w="2074" w:type="dxa"/>
            <w:shd w:val="clear" w:color="auto" w:fill="auto"/>
            <w:tcMar>
              <w:left w:w="58" w:type="dxa"/>
              <w:right w:w="58" w:type="dxa"/>
            </w:tcMar>
            <w:vAlign w:val="center"/>
            <w:hideMark/>
          </w:tcPr>
          <w:p w14:paraId="2C5271CE"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VEN/PHA/76/TAS/132</w:t>
            </w:r>
          </w:p>
        </w:tc>
        <w:tc>
          <w:tcPr>
            <w:tcW w:w="4677" w:type="dxa"/>
            <w:shd w:val="clear" w:color="auto" w:fill="auto"/>
            <w:tcMar>
              <w:left w:w="58" w:type="dxa"/>
              <w:right w:w="58" w:type="dxa"/>
            </w:tcMar>
            <w:hideMark/>
          </w:tcPr>
          <w:p w14:paraId="71E4AB99"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first tranche) (refrigeration servicing sector)</w:t>
            </w:r>
          </w:p>
        </w:tc>
        <w:tc>
          <w:tcPr>
            <w:tcW w:w="961" w:type="dxa"/>
            <w:shd w:val="clear" w:color="auto" w:fill="auto"/>
            <w:tcMar>
              <w:left w:w="58" w:type="dxa"/>
              <w:right w:w="58" w:type="dxa"/>
            </w:tcMar>
            <w:vAlign w:val="center"/>
            <w:hideMark/>
          </w:tcPr>
          <w:p w14:paraId="6C97FC86"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r w:rsidR="00B53651" w:rsidRPr="00176B12" w14:paraId="6453138A" w14:textId="77777777" w:rsidTr="00756D59">
        <w:trPr>
          <w:trHeight w:val="44"/>
        </w:trPr>
        <w:tc>
          <w:tcPr>
            <w:tcW w:w="1979" w:type="dxa"/>
            <w:shd w:val="clear" w:color="auto" w:fill="auto"/>
            <w:tcMar>
              <w:left w:w="58" w:type="dxa"/>
              <w:right w:w="58" w:type="dxa"/>
            </w:tcMar>
            <w:vAlign w:val="center"/>
            <w:hideMark/>
          </w:tcPr>
          <w:p w14:paraId="57F3F93B"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Venezuela (Bolivarian Republic of)</w:t>
            </w:r>
          </w:p>
        </w:tc>
        <w:tc>
          <w:tcPr>
            <w:tcW w:w="2074" w:type="dxa"/>
            <w:shd w:val="clear" w:color="auto" w:fill="auto"/>
            <w:tcMar>
              <w:left w:w="58" w:type="dxa"/>
              <w:right w:w="58" w:type="dxa"/>
            </w:tcMar>
            <w:vAlign w:val="center"/>
            <w:hideMark/>
          </w:tcPr>
          <w:p w14:paraId="45AD3B2D" w14:textId="77777777" w:rsidR="00B53651" w:rsidRPr="00176B12" w:rsidRDefault="00B53651" w:rsidP="00756D59">
            <w:pPr>
              <w:jc w:val="left"/>
              <w:rPr>
                <w:color w:val="000000"/>
                <w:sz w:val="20"/>
                <w:szCs w:val="20"/>
                <w:lang w:val="en-US"/>
              </w:rPr>
            </w:pPr>
            <w:r w:rsidRPr="00176B12">
              <w:rPr>
                <w:color w:val="000000"/>
                <w:sz w:val="20"/>
                <w:szCs w:val="20"/>
                <w:lang w:val="en-CA" w:eastAsia="en-CA"/>
              </w:rPr>
              <w:t>VEN/PHA/76/INV/134</w:t>
            </w:r>
          </w:p>
        </w:tc>
        <w:tc>
          <w:tcPr>
            <w:tcW w:w="4677" w:type="dxa"/>
            <w:shd w:val="clear" w:color="auto" w:fill="auto"/>
            <w:tcMar>
              <w:left w:w="58" w:type="dxa"/>
              <w:right w:w="58" w:type="dxa"/>
            </w:tcMar>
            <w:hideMark/>
          </w:tcPr>
          <w:p w14:paraId="21C41906" w14:textId="77777777" w:rsidR="00B53651" w:rsidRPr="00176B12" w:rsidRDefault="00B53651" w:rsidP="006538A6">
            <w:pPr>
              <w:jc w:val="left"/>
              <w:rPr>
                <w:color w:val="000000"/>
                <w:sz w:val="20"/>
                <w:szCs w:val="20"/>
                <w:lang w:val="en-US"/>
              </w:rPr>
            </w:pPr>
            <w:r w:rsidRPr="00176B12">
              <w:rPr>
                <w:color w:val="000000"/>
                <w:sz w:val="20"/>
                <w:szCs w:val="20"/>
                <w:lang w:val="en-CA" w:eastAsia="en-CA"/>
              </w:rPr>
              <w:t>HCFC phase-out management plan (stage II, first tranche) (technical assistance in refrigeration and air-conditioning manufacturing sector)</w:t>
            </w:r>
          </w:p>
        </w:tc>
        <w:tc>
          <w:tcPr>
            <w:tcW w:w="961" w:type="dxa"/>
            <w:shd w:val="clear" w:color="auto" w:fill="auto"/>
            <w:tcMar>
              <w:left w:w="58" w:type="dxa"/>
              <w:right w:w="58" w:type="dxa"/>
            </w:tcMar>
            <w:vAlign w:val="center"/>
            <w:hideMark/>
          </w:tcPr>
          <w:p w14:paraId="7B00AF54" w14:textId="77777777" w:rsidR="00B53651" w:rsidRPr="00176B12" w:rsidRDefault="00B53651" w:rsidP="00756D59">
            <w:pPr>
              <w:jc w:val="center"/>
              <w:rPr>
                <w:color w:val="000000"/>
                <w:sz w:val="20"/>
                <w:szCs w:val="20"/>
                <w:lang w:val="en-US"/>
              </w:rPr>
            </w:pPr>
            <w:r w:rsidRPr="00176B12">
              <w:rPr>
                <w:color w:val="000000"/>
                <w:sz w:val="20"/>
                <w:szCs w:val="20"/>
                <w:lang w:val="en-CA" w:eastAsia="en-CA"/>
              </w:rPr>
              <w:t>UNIDO</w:t>
            </w:r>
          </w:p>
        </w:tc>
      </w:tr>
    </w:tbl>
    <w:p w14:paraId="62216FDF" w14:textId="77777777" w:rsidR="00B53651" w:rsidRDefault="00B53651" w:rsidP="00B53651">
      <w:pPr>
        <w:pStyle w:val="StyleHeader4Para4Left0Firstline0"/>
        <w:numPr>
          <w:ilvl w:val="0"/>
          <w:numId w:val="0"/>
        </w:numPr>
        <w:jc w:val="center"/>
        <w:rPr>
          <w:b/>
          <w:caps/>
          <w:sz w:val="22"/>
          <w:lang w:val="en-CA"/>
        </w:rPr>
      </w:pPr>
    </w:p>
    <w:p w14:paraId="37CD9694" w14:textId="77777777" w:rsidR="00606A1E" w:rsidRPr="00002C46" w:rsidRDefault="00606A1E" w:rsidP="00606A1E">
      <w:pPr>
        <w:autoSpaceDE w:val="0"/>
        <w:autoSpaceDN w:val="0"/>
        <w:adjustRightInd w:val="0"/>
        <w:jc w:val="center"/>
        <w:rPr>
          <w:b/>
          <w:bCs/>
          <w:lang w:val="en-CA"/>
        </w:rPr>
      </w:pPr>
    </w:p>
    <w:p w14:paraId="65167A10" w14:textId="77777777" w:rsidR="00606A1E" w:rsidRPr="00002C46" w:rsidRDefault="00606A1E" w:rsidP="00606A1E">
      <w:pPr>
        <w:jc w:val="left"/>
        <w:rPr>
          <w:b/>
          <w:bCs/>
          <w:lang w:val="en-CA"/>
        </w:rPr>
        <w:sectPr w:rsidR="00606A1E" w:rsidRPr="00002C46" w:rsidSect="005E2E94">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pPr>
    </w:p>
    <w:p w14:paraId="2A55B0E6" w14:textId="77777777" w:rsidR="00606A1E" w:rsidRPr="00002C46" w:rsidRDefault="00606A1E" w:rsidP="00606A1E">
      <w:pPr>
        <w:autoSpaceDE w:val="0"/>
        <w:autoSpaceDN w:val="0"/>
        <w:adjustRightInd w:val="0"/>
        <w:jc w:val="center"/>
        <w:rPr>
          <w:b/>
          <w:bCs/>
          <w:lang w:val="en-CA"/>
        </w:rPr>
      </w:pPr>
      <w:r w:rsidRPr="00756D59">
        <w:rPr>
          <w:b/>
          <w:bCs/>
          <w:lang w:val="en-CA"/>
        </w:rPr>
        <w:lastRenderedPageBreak/>
        <w:t>Annex II</w:t>
      </w:r>
    </w:p>
    <w:p w14:paraId="34702F69" w14:textId="77777777" w:rsidR="00606A1E" w:rsidRPr="00002C46" w:rsidRDefault="00606A1E" w:rsidP="00606A1E">
      <w:pPr>
        <w:autoSpaceDE w:val="0"/>
        <w:autoSpaceDN w:val="0"/>
        <w:adjustRightInd w:val="0"/>
        <w:jc w:val="center"/>
        <w:rPr>
          <w:b/>
          <w:bCs/>
          <w:lang w:val="en-CA"/>
        </w:rPr>
      </w:pPr>
    </w:p>
    <w:p w14:paraId="4ED7B067" w14:textId="77777777" w:rsidR="00B53651" w:rsidRPr="00FD1CAA" w:rsidRDefault="00B53651" w:rsidP="00B53651">
      <w:pPr>
        <w:pStyle w:val="StyleHeader4Para4Left0Firstline0"/>
        <w:numPr>
          <w:ilvl w:val="0"/>
          <w:numId w:val="0"/>
        </w:numPr>
        <w:jc w:val="center"/>
        <w:rPr>
          <w:b/>
          <w:caps/>
          <w:sz w:val="22"/>
          <w:lang w:val="en-CA"/>
        </w:rPr>
      </w:pPr>
      <w:r w:rsidRPr="005F13EC">
        <w:rPr>
          <w:b/>
          <w:caps/>
          <w:sz w:val="22"/>
          <w:lang w:val="en-CA"/>
        </w:rPr>
        <w:t>PROJECTS THAT ARE CLASSIFIED AS “NO PROGRESS” and are recommended for continued monitoring</w:t>
      </w:r>
    </w:p>
    <w:tbl>
      <w:tblPr>
        <w:tblW w:w="9609" w:type="dxa"/>
        <w:tblInd w:w="-185" w:type="dxa"/>
        <w:tblLook w:val="04A0" w:firstRow="1" w:lastRow="0" w:firstColumn="1" w:lastColumn="0" w:noHBand="0" w:noVBand="1"/>
      </w:tblPr>
      <w:tblGrid>
        <w:gridCol w:w="2070"/>
        <w:gridCol w:w="2070"/>
        <w:gridCol w:w="4680"/>
        <w:gridCol w:w="789"/>
      </w:tblGrid>
      <w:tr w:rsidR="00B53651" w:rsidRPr="00FD1CAA" w14:paraId="11F0560B" w14:textId="77777777" w:rsidTr="00756D59">
        <w:tc>
          <w:tcPr>
            <w:tcW w:w="20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hideMark/>
          </w:tcPr>
          <w:p w14:paraId="4397306A" w14:textId="77777777" w:rsidR="00B53651" w:rsidRPr="00FD1CAA" w:rsidRDefault="00B53651" w:rsidP="006538A6">
            <w:pPr>
              <w:jc w:val="center"/>
              <w:rPr>
                <w:b/>
                <w:bCs/>
                <w:color w:val="000000"/>
                <w:sz w:val="20"/>
                <w:szCs w:val="20"/>
                <w:lang w:val="en-CA" w:eastAsia="en-CA"/>
              </w:rPr>
            </w:pPr>
            <w:r w:rsidRPr="00FD1CAA">
              <w:rPr>
                <w:b/>
                <w:bCs/>
                <w:color w:val="000000"/>
                <w:sz w:val="20"/>
                <w:szCs w:val="20"/>
                <w:lang w:val="en-CA" w:eastAsia="en-CA"/>
              </w:rPr>
              <w:t>Country</w:t>
            </w:r>
          </w:p>
        </w:tc>
        <w:tc>
          <w:tcPr>
            <w:tcW w:w="207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1A2939E9" w14:textId="77777777" w:rsidR="00B53651" w:rsidRPr="00FD1CAA" w:rsidRDefault="00B53651" w:rsidP="006538A6">
            <w:pPr>
              <w:jc w:val="center"/>
              <w:rPr>
                <w:b/>
                <w:bCs/>
                <w:color w:val="000000"/>
                <w:sz w:val="20"/>
                <w:szCs w:val="20"/>
                <w:lang w:val="en-CA" w:eastAsia="en-CA"/>
              </w:rPr>
            </w:pPr>
            <w:r w:rsidRPr="00FD1CAA">
              <w:rPr>
                <w:b/>
                <w:bCs/>
                <w:color w:val="000000"/>
                <w:sz w:val="20"/>
                <w:szCs w:val="20"/>
                <w:lang w:val="en-CA" w:eastAsia="en-CA"/>
              </w:rPr>
              <w:t>Code</w:t>
            </w:r>
          </w:p>
        </w:tc>
        <w:tc>
          <w:tcPr>
            <w:tcW w:w="468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3A9F6C99" w14:textId="77777777" w:rsidR="00B53651" w:rsidRPr="00FD1CAA" w:rsidRDefault="00B53651" w:rsidP="006538A6">
            <w:pPr>
              <w:jc w:val="center"/>
              <w:rPr>
                <w:b/>
                <w:bCs/>
                <w:color w:val="000000"/>
                <w:sz w:val="20"/>
                <w:szCs w:val="20"/>
                <w:lang w:val="en-CA" w:eastAsia="en-CA"/>
              </w:rPr>
            </w:pPr>
            <w:r>
              <w:rPr>
                <w:b/>
                <w:bCs/>
                <w:color w:val="000000"/>
                <w:sz w:val="20"/>
                <w:szCs w:val="20"/>
                <w:lang w:val="en-CA" w:eastAsia="en-CA"/>
              </w:rPr>
              <w:t>Project t</w:t>
            </w:r>
            <w:r w:rsidRPr="00FD1CAA">
              <w:rPr>
                <w:b/>
                <w:bCs/>
                <w:color w:val="000000"/>
                <w:sz w:val="20"/>
                <w:szCs w:val="20"/>
                <w:lang w:val="en-CA" w:eastAsia="en-CA"/>
              </w:rPr>
              <w:t>itle</w:t>
            </w:r>
          </w:p>
        </w:tc>
        <w:tc>
          <w:tcPr>
            <w:tcW w:w="78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1115F1F7" w14:textId="77777777" w:rsidR="00B53651" w:rsidRPr="00FD1CAA" w:rsidRDefault="00B53651" w:rsidP="00756D59">
            <w:pPr>
              <w:jc w:val="center"/>
              <w:rPr>
                <w:b/>
                <w:bCs/>
                <w:color w:val="000000"/>
                <w:sz w:val="20"/>
                <w:szCs w:val="20"/>
                <w:lang w:val="en-CA" w:eastAsia="en-CA"/>
              </w:rPr>
            </w:pPr>
            <w:r w:rsidRPr="00FD1CAA">
              <w:rPr>
                <w:b/>
                <w:bCs/>
                <w:color w:val="000000"/>
                <w:sz w:val="20"/>
                <w:szCs w:val="20"/>
                <w:lang w:val="en-CA" w:eastAsia="en-CA"/>
              </w:rPr>
              <w:t>Agency</w:t>
            </w:r>
          </w:p>
        </w:tc>
      </w:tr>
      <w:tr w:rsidR="00B53651" w:rsidRPr="00FD1CAA" w14:paraId="0AFA39CF"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C219825"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Barbados </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FD6AD7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BAR/PHA/80/TAS/26</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9C988E5"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3958ACA"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1D22530A"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C88662F"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China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7C4E473"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CPR/PHA/77/INV/574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77D05A4"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II, first tranche) (room air-conditioner manufacturing sector plan)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24E33B4"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Italy</w:t>
            </w:r>
          </w:p>
        </w:tc>
      </w:tr>
      <w:tr w:rsidR="00B53651" w:rsidRPr="00FD1CAA" w14:paraId="392DBA9C"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8D86785"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Congo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1083EB2"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PRC/PHA/76/TAS/30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45A034A"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third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C3CF272"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7826ED71"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A5CB92E"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238F0A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DRK/PHA/73/INV/59</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1D741EF1"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 xml:space="preserve">HCFC phase-out management plan (stage I, first tranche) (phase-out of HCFC-141b in polyurethane foam sector at Pyongyang </w:t>
            </w:r>
            <w:proofErr w:type="spellStart"/>
            <w:r w:rsidRPr="00FD1CAA">
              <w:rPr>
                <w:color w:val="000000"/>
                <w:sz w:val="20"/>
                <w:szCs w:val="20"/>
                <w:lang w:val="en-CA" w:eastAsia="en-CA"/>
              </w:rPr>
              <w:t>Sonbong</w:t>
            </w:r>
            <w:proofErr w:type="spellEnd"/>
            <w:r w:rsidRPr="00FD1CAA">
              <w:rPr>
                <w:color w:val="000000"/>
                <w:sz w:val="20"/>
                <w:szCs w:val="20"/>
                <w:lang w:val="en-CA" w:eastAsia="en-CA"/>
              </w:rPr>
              <w:t xml:space="preserve"> and </w:t>
            </w:r>
            <w:proofErr w:type="spellStart"/>
            <w:r w:rsidRPr="00FD1CAA">
              <w:rPr>
                <w:color w:val="000000"/>
                <w:sz w:val="20"/>
                <w:szCs w:val="20"/>
                <w:lang w:val="en-CA" w:eastAsia="en-CA"/>
              </w:rPr>
              <w:t>Puhung</w:t>
            </w:r>
            <w:proofErr w:type="spellEnd"/>
            <w:r w:rsidRPr="00FD1CAA">
              <w:rPr>
                <w:color w:val="000000"/>
                <w:sz w:val="20"/>
                <w:szCs w:val="20"/>
                <w:lang w:val="en-CA" w:eastAsia="en-CA"/>
              </w:rPr>
              <w:t xml:space="preserve"> Building Materials)</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AD3BDD9"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r>
      <w:tr w:rsidR="00B53651" w:rsidRPr="00FD1CAA" w14:paraId="2A38E5FD"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870106D"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E32C93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DRK/PHA/73/TAS/60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0D5D1AFF"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first tranche) (refrigeration servicing and monitoring)</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7E152F9"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r>
      <w:tr w:rsidR="00B53651" w:rsidRPr="00FD1CAA" w14:paraId="1ADA1B3D"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63DBD1FB"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313776F"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DRK/PHA/75/INV/62</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1CD98A5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 xml:space="preserve">HCFC phase-out management plan (stage I, second tranche) (phase-out of HCFC-141b in polyurethane foam sector at Pyongyang </w:t>
            </w:r>
            <w:proofErr w:type="spellStart"/>
            <w:r w:rsidRPr="00FD1CAA">
              <w:rPr>
                <w:color w:val="000000"/>
                <w:sz w:val="20"/>
                <w:szCs w:val="20"/>
                <w:lang w:val="en-CA" w:eastAsia="en-CA"/>
              </w:rPr>
              <w:t>Sonbong</w:t>
            </w:r>
            <w:proofErr w:type="spellEnd"/>
            <w:r w:rsidRPr="00FD1CAA">
              <w:rPr>
                <w:color w:val="000000"/>
                <w:sz w:val="20"/>
                <w:szCs w:val="20"/>
                <w:lang w:val="en-CA" w:eastAsia="en-CA"/>
              </w:rPr>
              <w:t xml:space="preserve"> and </w:t>
            </w:r>
            <w:proofErr w:type="spellStart"/>
            <w:r w:rsidRPr="00FD1CAA">
              <w:rPr>
                <w:color w:val="000000"/>
                <w:sz w:val="20"/>
                <w:szCs w:val="20"/>
                <w:lang w:val="en-CA" w:eastAsia="en-CA"/>
              </w:rPr>
              <w:t>Puhung</w:t>
            </w:r>
            <w:proofErr w:type="spellEnd"/>
            <w:r w:rsidRPr="00FD1CAA">
              <w:rPr>
                <w:color w:val="000000"/>
                <w:sz w:val="20"/>
                <w:szCs w:val="20"/>
                <w:lang w:val="en-CA" w:eastAsia="en-CA"/>
              </w:rPr>
              <w:t xml:space="preserve"> Building Materials)</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09DA544"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r>
      <w:tr w:rsidR="00B53651" w:rsidRPr="00FD1CAA" w14:paraId="3259560F"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C53BE7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3BEA3C2"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DRK/PHA/77/INV/64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739D4315"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third tranche) (policy, refrigeration servicing and monitoring)</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3237556"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r>
      <w:tr w:rsidR="00B53651" w:rsidRPr="00FD1CAA" w14:paraId="114C53E1"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84753FE"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Democratic Republic of the Congo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36E093E"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DRC/PHA/80/TAS/44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F6584C9"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third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4A3F720"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3CAEBEE4"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83A9CA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Kuwait</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B97A7AD"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KUW/PHA/66/TAS/19</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440873D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first tranche) (refrigeration servicing sector and monitoring and verification)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3519ADD"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127D679E"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16DE09EC"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Kuwait</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F2F5516"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KUW/PHA/74/TAS/23</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5E0093B"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second tranche) (refrigeration servicing sector and monitoring and verification)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ECEE6E9"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5782ECEF"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6FFCCC52"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Libya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0376145"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LIB/PHA/75/INV/36</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779B7B17"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first tranche) (foam sector)</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2CE1832"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r>
      <w:tr w:rsidR="00B53651" w:rsidRPr="00FD1CAA" w14:paraId="682E31B7"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54C8848F"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Mauritania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B9245D5"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MAU/PHA/80/TAS/24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58DB4BA"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first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85B0DD3"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374F1760"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F36200F"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Saint Kitts and Nevis</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A78AC79"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STK/PHA/74/TAS/20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27D93A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696EEAD"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r w:rsidR="00B53651" w:rsidRPr="00FD1CAA" w14:paraId="4943864C" w14:textId="77777777" w:rsidTr="00756D59">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70407E03"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South Sudan</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52F2582"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SSD/PHA/77/TAS/04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CBEE623"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first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28F9492"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r>
    </w:tbl>
    <w:p w14:paraId="3E83E29B" w14:textId="77777777" w:rsidR="00B53651" w:rsidRPr="00FD1CAA" w:rsidRDefault="00B53651" w:rsidP="00B53651">
      <w:pPr>
        <w:jc w:val="left"/>
        <w:rPr>
          <w:b/>
          <w:bCs/>
          <w:lang w:val="en-CA"/>
        </w:rPr>
      </w:pPr>
    </w:p>
    <w:p w14:paraId="64993BB5" w14:textId="77777777" w:rsidR="00B53651" w:rsidRDefault="00B53651" w:rsidP="004E7F9C">
      <w:pPr>
        <w:rPr>
          <w:lang w:val="en-CA"/>
        </w:rPr>
        <w:sectPr w:rsidR="00B53651" w:rsidSect="00E92CFE">
          <w:headerReference w:type="even" r:id="rId23"/>
          <w:headerReference w:type="first" r:id="rId24"/>
          <w:footerReference w:type="first" r:id="rId25"/>
          <w:pgSz w:w="12240" w:h="15840" w:code="1"/>
          <w:pgMar w:top="720" w:right="1440" w:bottom="864" w:left="1440" w:header="720" w:footer="475" w:gutter="0"/>
          <w:pgNumType w:start="1"/>
          <w:cols w:space="720"/>
          <w:titlePg/>
        </w:sectPr>
      </w:pPr>
    </w:p>
    <w:p w14:paraId="65948211" w14:textId="77777777" w:rsidR="00B53651" w:rsidRDefault="00B53651" w:rsidP="00B53651">
      <w:pPr>
        <w:autoSpaceDE w:val="0"/>
        <w:autoSpaceDN w:val="0"/>
        <w:adjustRightInd w:val="0"/>
        <w:spacing w:after="240"/>
        <w:jc w:val="center"/>
        <w:rPr>
          <w:b/>
          <w:bCs/>
          <w:lang w:val="en-CA"/>
        </w:rPr>
      </w:pPr>
      <w:r w:rsidRPr="00756D59">
        <w:rPr>
          <w:b/>
          <w:bCs/>
          <w:lang w:val="en-CA"/>
        </w:rPr>
        <w:lastRenderedPageBreak/>
        <w:t>Annex III</w:t>
      </w:r>
    </w:p>
    <w:p w14:paraId="0D4EB4EC" w14:textId="77777777" w:rsidR="00B53651" w:rsidRPr="00FD1CAA" w:rsidRDefault="00B53651" w:rsidP="00B53651">
      <w:pPr>
        <w:keepNext/>
        <w:spacing w:after="240"/>
        <w:jc w:val="center"/>
        <w:rPr>
          <w:b/>
          <w:bCs/>
          <w:lang w:val="en-CA"/>
        </w:rPr>
      </w:pPr>
      <w:r w:rsidRPr="00FD1CAA">
        <w:rPr>
          <w:b/>
          <w:bCs/>
          <w:lang w:val="en-CA"/>
        </w:rPr>
        <w:t xml:space="preserve">PROJECTS FOR WHICH ADDITIONAL STATUS REPORTS ARE REQUESTED </w:t>
      </w:r>
    </w:p>
    <w:tbl>
      <w:tblPr>
        <w:tblW w:w="9360" w:type="dxa"/>
        <w:jc w:val="center"/>
        <w:tblLook w:val="04A0" w:firstRow="1" w:lastRow="0" w:firstColumn="1" w:lastColumn="0" w:noHBand="0" w:noVBand="1"/>
      </w:tblPr>
      <w:tblGrid>
        <w:gridCol w:w="1401"/>
        <w:gridCol w:w="2061"/>
        <w:gridCol w:w="2534"/>
        <w:gridCol w:w="801"/>
        <w:gridCol w:w="2563"/>
      </w:tblGrid>
      <w:tr w:rsidR="00B53651" w:rsidRPr="00FD1CAA" w14:paraId="3E7BBD9F" w14:textId="77777777" w:rsidTr="00756D59">
        <w:trPr>
          <w:tblHeader/>
          <w:jc w:val="center"/>
        </w:trPr>
        <w:tc>
          <w:tcPr>
            <w:tcW w:w="145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1F7F870C" w14:textId="77777777" w:rsidR="00B53651" w:rsidRPr="00FD1CAA" w:rsidRDefault="00B53651" w:rsidP="006538A6">
            <w:pPr>
              <w:jc w:val="center"/>
              <w:rPr>
                <w:b/>
                <w:bCs/>
                <w:color w:val="000000"/>
                <w:sz w:val="20"/>
                <w:szCs w:val="20"/>
                <w:lang w:val="en-CA" w:eastAsia="en-CA"/>
              </w:rPr>
            </w:pPr>
            <w:r w:rsidRPr="00FD1CAA">
              <w:rPr>
                <w:b/>
                <w:bCs/>
                <w:color w:val="000000"/>
                <w:sz w:val="20"/>
                <w:szCs w:val="20"/>
                <w:lang w:val="en-CA" w:eastAsia="en-CA"/>
              </w:rPr>
              <w:t>Country</w:t>
            </w:r>
          </w:p>
        </w:tc>
        <w:tc>
          <w:tcPr>
            <w:tcW w:w="2061"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7A6C8B82" w14:textId="77777777" w:rsidR="00B53651" w:rsidRPr="00FD1CAA" w:rsidRDefault="00B53651" w:rsidP="006538A6">
            <w:pPr>
              <w:jc w:val="center"/>
              <w:rPr>
                <w:b/>
                <w:bCs/>
                <w:color w:val="000000"/>
                <w:sz w:val="20"/>
                <w:szCs w:val="20"/>
                <w:lang w:val="en-CA" w:eastAsia="en-CA"/>
              </w:rPr>
            </w:pPr>
            <w:r w:rsidRPr="00FD1CAA">
              <w:rPr>
                <w:b/>
                <w:bCs/>
                <w:color w:val="000000"/>
                <w:sz w:val="20"/>
                <w:szCs w:val="20"/>
                <w:lang w:val="en-CA" w:eastAsia="en-CA"/>
              </w:rPr>
              <w:t>Code</w:t>
            </w:r>
          </w:p>
        </w:tc>
        <w:tc>
          <w:tcPr>
            <w:tcW w:w="2784"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3130E440" w14:textId="77777777" w:rsidR="00B53651" w:rsidRPr="00FD1CAA" w:rsidRDefault="00B53651" w:rsidP="006538A6">
            <w:pPr>
              <w:jc w:val="center"/>
              <w:rPr>
                <w:b/>
                <w:bCs/>
                <w:color w:val="000000"/>
                <w:sz w:val="20"/>
                <w:szCs w:val="20"/>
                <w:lang w:val="en-CA" w:eastAsia="en-CA"/>
              </w:rPr>
            </w:pPr>
            <w:r>
              <w:rPr>
                <w:b/>
                <w:bCs/>
                <w:color w:val="000000"/>
                <w:sz w:val="20"/>
                <w:szCs w:val="20"/>
                <w:lang w:val="en-CA" w:eastAsia="en-CA"/>
              </w:rPr>
              <w:t>Project t</w:t>
            </w:r>
            <w:r w:rsidRPr="00FD1CAA">
              <w:rPr>
                <w:b/>
                <w:bCs/>
                <w:color w:val="000000"/>
                <w:sz w:val="20"/>
                <w:szCs w:val="20"/>
                <w:lang w:val="en-CA" w:eastAsia="en-CA"/>
              </w:rPr>
              <w:t>itle</w:t>
            </w:r>
          </w:p>
        </w:tc>
        <w:tc>
          <w:tcPr>
            <w:tcW w:w="81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3BB145FD" w14:textId="77777777" w:rsidR="00B53651" w:rsidRPr="00FD1CAA" w:rsidRDefault="00B53651" w:rsidP="00756D59">
            <w:pPr>
              <w:jc w:val="center"/>
              <w:rPr>
                <w:b/>
                <w:bCs/>
                <w:color w:val="000000"/>
                <w:sz w:val="20"/>
                <w:szCs w:val="20"/>
                <w:lang w:val="en-CA" w:eastAsia="en-CA"/>
              </w:rPr>
            </w:pPr>
            <w:r w:rsidRPr="00FD1CAA">
              <w:rPr>
                <w:b/>
                <w:bCs/>
                <w:color w:val="000000"/>
                <w:sz w:val="20"/>
                <w:szCs w:val="20"/>
                <w:lang w:val="en-CA" w:eastAsia="en-CA"/>
              </w:rPr>
              <w:t>Agency</w:t>
            </w:r>
          </w:p>
        </w:tc>
        <w:tc>
          <w:tcPr>
            <w:tcW w:w="2785"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1AD6D37A" w14:textId="77777777" w:rsidR="00B53651" w:rsidRPr="00FD1CAA" w:rsidRDefault="00B53651" w:rsidP="006538A6">
            <w:pPr>
              <w:jc w:val="center"/>
              <w:rPr>
                <w:b/>
                <w:bCs/>
                <w:color w:val="000000"/>
                <w:sz w:val="20"/>
                <w:szCs w:val="20"/>
                <w:lang w:val="en-CA" w:eastAsia="en-CA"/>
              </w:rPr>
            </w:pPr>
            <w:r w:rsidRPr="00FD1CAA">
              <w:rPr>
                <w:b/>
                <w:bCs/>
                <w:color w:val="000000"/>
                <w:sz w:val="20"/>
                <w:szCs w:val="20"/>
                <w:lang w:val="en-CA" w:eastAsia="en-CA"/>
              </w:rPr>
              <w:t>Recommendation</w:t>
            </w:r>
          </w:p>
        </w:tc>
      </w:tr>
      <w:tr w:rsidR="00B53651" w:rsidRPr="00FD1CAA" w14:paraId="7D2C70F5"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C264F7C"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Algeria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4C40FE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ALG/SEV/73/INS/81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00A2F22E"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the institutional strengthening project (phase VI: 12/2014-11/2016)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6317959"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3090C5F"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1F53DBAE"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CF65CC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Antigua and Barbuda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2513002"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ANT/SEV/73/INS/16</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FAB72A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institutional strengthening project (phase V: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F5B284B"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725C71A"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7E37893E"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F1F74A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Antigua and Barbuda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4CA3D33"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ANT/PHA/73/PRP/17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D9A98FA"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EBABA7"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224F0D3"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B53651" w:rsidRPr="00FD1CAA" w14:paraId="3372B383"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399116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Bahamas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23C617A"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BHA/PHA/82/TAS/27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1743161"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Verification report on the implementation of the HCFC phase out management plan</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1972895"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EFCCDDF"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 xml:space="preserve">the </w:t>
            </w:r>
            <w:r w:rsidRPr="00FD1CAA">
              <w:rPr>
                <w:color w:val="000000"/>
                <w:sz w:val="20"/>
                <w:szCs w:val="20"/>
                <w:lang w:val="en-CA" w:eastAsia="en-CA"/>
              </w:rPr>
              <w:t xml:space="preserve">status of preparation of </w:t>
            </w:r>
            <w:r>
              <w:rPr>
                <w:color w:val="000000"/>
                <w:sz w:val="20"/>
                <w:szCs w:val="20"/>
                <w:lang w:val="en-CA" w:eastAsia="en-CA"/>
              </w:rPr>
              <w:t xml:space="preserve">the </w:t>
            </w:r>
            <w:r w:rsidRPr="00FD1CAA">
              <w:rPr>
                <w:color w:val="000000"/>
                <w:sz w:val="20"/>
                <w:szCs w:val="20"/>
                <w:lang w:val="en-CA" w:eastAsia="en-CA"/>
              </w:rPr>
              <w:t>verification report</w:t>
            </w:r>
          </w:p>
        </w:tc>
      </w:tr>
      <w:tr w:rsidR="00B53651" w:rsidRPr="00FD1CAA" w14:paraId="6D5B1D38"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25D77B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Bangladesh</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C67A2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BGD/PHA/81/TAS/49</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74804E0"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II, first tranche) (project management unit)</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0EFEAC1"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F0DBEBD"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317F799E"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B7CCEE6"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Bangladesh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E1A3A93"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BGD/PHA/81/INV/51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2F45FE42"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w:t>
            </w:r>
            <w:r>
              <w:rPr>
                <w:color w:val="000000"/>
                <w:sz w:val="20"/>
                <w:szCs w:val="20"/>
                <w:lang w:val="en-CA" w:eastAsia="en-CA"/>
              </w:rPr>
              <w:t xml:space="preserve"> (stage II, first tranche) (air</w:t>
            </w:r>
            <w:r>
              <w:rPr>
                <w:color w:val="000000"/>
                <w:sz w:val="20"/>
                <w:szCs w:val="20"/>
                <w:lang w:val="en-CA" w:eastAsia="en-CA"/>
              </w:rPr>
              <w:noBreakHyphen/>
            </w:r>
            <w:r w:rsidRPr="00FD1CAA">
              <w:rPr>
                <w:color w:val="000000"/>
                <w:sz w:val="20"/>
                <w:szCs w:val="20"/>
                <w:lang w:val="en-CA" w:eastAsia="en-CA"/>
              </w:rPr>
              <w:t>conditioning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B37F030"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C061C7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51845058"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269819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Central African Republic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49C18A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CAF/SEV/68/INS/23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36A8003"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the institutional strengthening project (phase VI: 1/2013-12/2014)</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7BDA630"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419D7AFF"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398820C8"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C0B134A"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Democratic Republic of the Congo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FEFD72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DRC/PHA/79/PRP/42 </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F1CA6EA"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93C3301"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57D7898"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B53651" w:rsidRPr="00FD1CAA" w14:paraId="4B077889"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65E7006"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Dominica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FC6813"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DMI/SEV/80/INS/23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1318F32"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Additional emergency assistance for institutional strengthening</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54F5964"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0251E48"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the small-scale funding agreement (</w:t>
            </w:r>
            <w:r w:rsidRPr="00FD1CAA">
              <w:rPr>
                <w:color w:val="000000"/>
                <w:sz w:val="20"/>
                <w:szCs w:val="20"/>
                <w:lang w:val="en-CA" w:eastAsia="en-CA"/>
              </w:rPr>
              <w:t>SSFA</w:t>
            </w:r>
            <w:r>
              <w:rPr>
                <w:color w:val="000000"/>
                <w:sz w:val="20"/>
                <w:szCs w:val="20"/>
                <w:lang w:val="en-CA" w:eastAsia="en-CA"/>
              </w:rPr>
              <w:t>)</w:t>
            </w:r>
            <w:r w:rsidRPr="00FD1CAA">
              <w:rPr>
                <w:color w:val="000000"/>
                <w:sz w:val="20"/>
                <w:szCs w:val="20"/>
                <w:lang w:val="en-CA" w:eastAsia="en-CA"/>
              </w:rPr>
              <w:t xml:space="preserve"> and progress in implementation </w:t>
            </w:r>
          </w:p>
        </w:tc>
      </w:tr>
      <w:tr w:rsidR="00B53651" w:rsidRPr="00FD1CAA" w14:paraId="7F46CE28"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8A80B7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 xml:space="preserve">Dominica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CBC89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DMI/SEV/81/INS/24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1DA2656"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the institutional strengthening project (phase VII: 6/2018-5/2020 )</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8FD8BE9"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1ED14E2"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 xml:space="preserve">the </w:t>
            </w:r>
            <w:r w:rsidRPr="00FD1CAA">
              <w:rPr>
                <w:color w:val="000000"/>
                <w:sz w:val="20"/>
                <w:szCs w:val="20"/>
                <w:lang w:val="en-CA" w:eastAsia="en-CA"/>
              </w:rPr>
              <w:t xml:space="preserve">SSFA and progress in implementation </w:t>
            </w:r>
          </w:p>
        </w:tc>
      </w:tr>
      <w:tr w:rsidR="00B53651" w:rsidRPr="00FD1CAA" w14:paraId="67061AB0"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A5FCD3E"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Haiti</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851A5E8"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HAI/SEV/75/INS/20</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5F567BB6"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the institutional strengthening project (phase IV: 11/2015-10/2017)</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3D4EB6F"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A58AD88"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status of submission of progress and financial reports</w:t>
            </w:r>
          </w:p>
        </w:tc>
      </w:tr>
      <w:tr w:rsidR="00B53651" w:rsidRPr="00FD1CAA" w14:paraId="40DE0FF6"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03ABB6F"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Haiti</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83587F0"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HAI/PHA/76/INV/22</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58ACCA58"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7DB68BC"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74DDB2D"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delivery of equipment</w:t>
            </w:r>
          </w:p>
        </w:tc>
      </w:tr>
      <w:tr w:rsidR="00B53651" w:rsidRPr="00FD1CAA" w14:paraId="122B2C0E"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2171634"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Kuwait</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ABB8774"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KUW/PHA/83/INV/36</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74860AE"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third tranche) (polyurethane foam sector phase-out)</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EB1D07E"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6987772"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B53651" w:rsidRPr="00FD1CAA" w14:paraId="4E15FC73"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D45CE2F"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Kuwait</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A03A44A"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KUW/PHA/83/TAS/37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8C25BBD"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third tranche) (refrigeration servicing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346259E"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51E14EF"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B53651" w:rsidRPr="00FD1CAA" w14:paraId="0B1D9345"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C82A9A2"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lastRenderedPageBreak/>
              <w:t>Libya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BB28E3B"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LIB/FOA/82/PRP/41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0C075A3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Preparation for HCFC phase-out investment activities (stage II) (foam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11D5963"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DFAD72D"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B53651" w:rsidRPr="00FD1CAA" w14:paraId="6AB8C622"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8A78135"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Libya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D147824"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LIB/PHA/82/PRP/43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551C529"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D0585B2"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77E6C24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B53651" w:rsidRPr="00FD1CAA" w14:paraId="23F2C3A8"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D95EF2D"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Mozambique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C056F9C"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MOZ/PHA/83/INV/31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47977A7B"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HCFC phase-out management plan (stage I, third and fourth tranches)</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9428D1D"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92C4F81"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B53651" w:rsidRPr="00FD1CAA" w14:paraId="6CF054E2"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348DBEC"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South Sudan</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29C90D"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SSD/SEV/76/INS/03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712A2CF"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Institutional strengthening project (phase I: 5/2016-4/2018)</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0FCA3AF"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7204B2A"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B53651" w:rsidRPr="00FD1CAA" w14:paraId="7ACA96B3"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AF55F0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Syrian Arab Republic</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24AA1C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SYR/SEV/73/INS/104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542CFECC"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institutional strengthening (phase V: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D37B817"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D9E3E58"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31B50069"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9043DF9"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United Republic of Tanzania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2CA577E"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URT/SEV/83/INS/39</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78B5509"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the institutional strengthening project (phase VII: 7/2019-6/2021)</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74A396C"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589C771"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 xml:space="preserve">the </w:t>
            </w:r>
            <w:r w:rsidRPr="00FD1CAA">
              <w:rPr>
                <w:color w:val="000000"/>
                <w:sz w:val="20"/>
                <w:szCs w:val="20"/>
                <w:lang w:val="en-CA" w:eastAsia="en-CA"/>
              </w:rPr>
              <w:t xml:space="preserve">SSFA and progress in implementation </w:t>
            </w:r>
          </w:p>
        </w:tc>
      </w:tr>
      <w:tr w:rsidR="00B53651" w:rsidRPr="00FD1CAA" w14:paraId="2B0C285B"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7DD852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Yemen</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848F35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YEM/SEV/73/INS/43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01AB4A57"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Extension of the institutional strengthening project (phase VIII: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34F8BE7"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DB6DB69"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B53651" w:rsidRPr="00FD1CAA" w14:paraId="69AD0C3C" w14:textId="77777777" w:rsidTr="00756D59">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C750367"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Global</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103FD1" w14:textId="77777777" w:rsidR="00B53651" w:rsidRPr="00FD1CAA" w:rsidRDefault="00B53651" w:rsidP="00756D59">
            <w:pPr>
              <w:jc w:val="left"/>
              <w:rPr>
                <w:color w:val="000000"/>
                <w:sz w:val="20"/>
                <w:szCs w:val="20"/>
                <w:lang w:val="en-CA" w:eastAsia="en-CA"/>
              </w:rPr>
            </w:pPr>
            <w:r w:rsidRPr="00FD1CAA">
              <w:rPr>
                <w:color w:val="000000"/>
                <w:sz w:val="20"/>
                <w:szCs w:val="20"/>
                <w:lang w:val="en-CA" w:eastAsia="en-CA"/>
              </w:rPr>
              <w:t>GLO/REF/80/DEM/344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0A6CEDA6"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Global chiller replacement project (Argentina)</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FE5C00B" w14:textId="77777777" w:rsidR="00B53651" w:rsidRPr="00FD1CAA" w:rsidRDefault="00B53651" w:rsidP="00756D59">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7C0512BE" w14:textId="77777777" w:rsidR="00B53651" w:rsidRPr="00FD1CAA" w:rsidRDefault="00B53651" w:rsidP="006538A6">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8C18DF">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progress in implementation </w:t>
            </w:r>
          </w:p>
        </w:tc>
      </w:tr>
    </w:tbl>
    <w:p w14:paraId="2EBB4253" w14:textId="77777777" w:rsidR="00B53651" w:rsidRPr="008C18DF" w:rsidRDefault="00B53651" w:rsidP="00B53651">
      <w:pPr>
        <w:keepNext/>
        <w:spacing w:after="240"/>
        <w:jc w:val="center"/>
        <w:rPr>
          <w:b/>
          <w:bCs/>
        </w:rPr>
      </w:pPr>
    </w:p>
    <w:p w14:paraId="60EC2C8A" w14:textId="77777777" w:rsidR="00E92CFE" w:rsidRPr="00B53651" w:rsidRDefault="00E92CFE" w:rsidP="004E7F9C"/>
    <w:p w14:paraId="5F75816C" w14:textId="77777777" w:rsidR="00EA69A6" w:rsidRDefault="00EA69A6" w:rsidP="004E7F9C">
      <w:pPr>
        <w:rPr>
          <w:lang w:val="en-CA"/>
        </w:rPr>
        <w:sectPr w:rsidR="00EA69A6" w:rsidSect="00E92CFE">
          <w:headerReference w:type="even" r:id="rId26"/>
          <w:headerReference w:type="first" r:id="rId27"/>
          <w:pgSz w:w="12240" w:h="15840" w:code="1"/>
          <w:pgMar w:top="720" w:right="1440" w:bottom="864" w:left="1440" w:header="720" w:footer="475" w:gutter="0"/>
          <w:pgNumType w:start="1"/>
          <w:cols w:space="720"/>
          <w:titlePg/>
        </w:sectPr>
      </w:pPr>
    </w:p>
    <w:p w14:paraId="39F2FD87" w14:textId="77777777" w:rsidR="00621D13" w:rsidRPr="00A564F9" w:rsidRDefault="00621D13" w:rsidP="00621D13">
      <w:pPr>
        <w:jc w:val="center"/>
        <w:rPr>
          <w:b/>
          <w:lang w:val="en-CA"/>
        </w:rPr>
      </w:pPr>
      <w:r w:rsidRPr="00A564F9">
        <w:rPr>
          <w:b/>
          <w:lang w:val="en-CA"/>
        </w:rPr>
        <w:lastRenderedPageBreak/>
        <w:t xml:space="preserve">Annex </w:t>
      </w:r>
      <w:r>
        <w:rPr>
          <w:b/>
          <w:lang w:val="en-CA"/>
        </w:rPr>
        <w:t>IV</w:t>
      </w:r>
    </w:p>
    <w:p w14:paraId="39F4F019" w14:textId="77777777" w:rsidR="00621D13" w:rsidRPr="00A564F9" w:rsidRDefault="00621D13" w:rsidP="00621D13">
      <w:pPr>
        <w:jc w:val="center"/>
        <w:rPr>
          <w:lang w:val="en-CA"/>
        </w:rPr>
      </w:pPr>
    </w:p>
    <w:p w14:paraId="04ABB093" w14:textId="77777777" w:rsidR="00621D13" w:rsidRPr="00A564F9" w:rsidRDefault="00621D13" w:rsidP="00621D13">
      <w:pPr>
        <w:jc w:val="center"/>
        <w:rPr>
          <w:b/>
          <w:lang w:val="en-CA"/>
        </w:rPr>
      </w:pPr>
      <w:r w:rsidRPr="00A564F9">
        <w:rPr>
          <w:b/>
          <w:lang w:val="en-CA"/>
        </w:rPr>
        <w:t xml:space="preserve">TEXT TO BE INCLUDED IN THE UPDATED AGREEMENT BETWEEN THE GOVERNMENT OF </w:t>
      </w:r>
      <w:r>
        <w:rPr>
          <w:b/>
          <w:lang w:val="en-CA"/>
        </w:rPr>
        <w:t>THE PHILIPPINES</w:t>
      </w:r>
      <w:r w:rsidRPr="00A564F9">
        <w:rPr>
          <w:b/>
          <w:lang w:val="en-CA"/>
        </w:rPr>
        <w:t xml:space="preserve"> AND THE EXECUTIVE COMMITTEE OF THE MULTILATERAL FUND FOR THE REDUCTION IN CONSUMPTION OF HYDROCHLOROFLUOROCARBONS</w:t>
      </w:r>
    </w:p>
    <w:p w14:paraId="49A1A170" w14:textId="77777777" w:rsidR="00621D13" w:rsidRPr="00A564F9" w:rsidRDefault="00621D13" w:rsidP="00621D13">
      <w:pPr>
        <w:jc w:val="center"/>
        <w:rPr>
          <w:lang w:val="en-CA"/>
        </w:rPr>
      </w:pPr>
      <w:r w:rsidRPr="00A564F9">
        <w:rPr>
          <w:b/>
          <w:lang w:val="en-CA"/>
        </w:rPr>
        <w:t>(Relevant changes are in bold font for ease of reference)</w:t>
      </w:r>
    </w:p>
    <w:p w14:paraId="58BB1BB4" w14:textId="77777777" w:rsidR="00621D13" w:rsidRPr="00A564F9" w:rsidRDefault="00621D13" w:rsidP="00621D13">
      <w:pPr>
        <w:rPr>
          <w:lang w:val="en-CA"/>
        </w:rPr>
      </w:pPr>
    </w:p>
    <w:p w14:paraId="1D22B650" w14:textId="77777777" w:rsidR="00621D13" w:rsidRPr="008A3CCC" w:rsidRDefault="00621D13" w:rsidP="00621D13">
      <w:pPr>
        <w:pStyle w:val="Heading1"/>
        <w:numPr>
          <w:ilvl w:val="0"/>
          <w:numId w:val="0"/>
        </w:numPr>
        <w:rPr>
          <w:bCs/>
          <w:lang w:val="en-CA"/>
        </w:rPr>
      </w:pPr>
      <w:r w:rsidRPr="008A3CCC">
        <w:rPr>
          <w:bCs/>
          <w:lang w:val="en-CA"/>
        </w:rPr>
        <w:t>1</w:t>
      </w:r>
      <w:r>
        <w:rPr>
          <w:bCs/>
          <w:lang w:val="en-CA"/>
        </w:rPr>
        <w:t>7</w:t>
      </w:r>
      <w:r w:rsidRPr="008A3CCC">
        <w:rPr>
          <w:bCs/>
          <w:lang w:val="en-CA"/>
        </w:rPr>
        <w:t>.</w:t>
      </w:r>
      <w:r w:rsidRPr="008A3CCC">
        <w:rPr>
          <w:bCs/>
          <w:lang w:val="en-CA"/>
        </w:rPr>
        <w:tab/>
      </w:r>
      <w:r>
        <w:rPr>
          <w:bCs/>
          <w:lang w:val="en-CA"/>
        </w:rPr>
        <w:t>At the 83</w:t>
      </w:r>
      <w:r w:rsidRPr="008A3CCC">
        <w:rPr>
          <w:bCs/>
          <w:vertAlign w:val="superscript"/>
          <w:lang w:val="en-CA"/>
        </w:rPr>
        <w:t>rd</w:t>
      </w:r>
      <w:r>
        <w:rPr>
          <w:bCs/>
          <w:lang w:val="en-CA"/>
        </w:rPr>
        <w:t xml:space="preserve"> meeting the World Bank stopped being the Lead IA in respect of the Country’s activities under this Agreement. Therefore, the responsibilities of the World Bank under this Agreement only extend up to the 82</w:t>
      </w:r>
      <w:r w:rsidRPr="008A3CCC">
        <w:rPr>
          <w:bCs/>
          <w:vertAlign w:val="superscript"/>
          <w:lang w:val="en-CA"/>
        </w:rPr>
        <w:t>nd</w:t>
      </w:r>
      <w:r>
        <w:rPr>
          <w:bCs/>
          <w:lang w:val="en-CA"/>
        </w:rPr>
        <w:t xml:space="preserve"> meeting. </w:t>
      </w:r>
      <w:r w:rsidRPr="008A3CCC">
        <w:rPr>
          <w:bCs/>
          <w:lang w:val="en-CA"/>
        </w:rPr>
        <w:t xml:space="preserve">This </w:t>
      </w:r>
      <w:r w:rsidRPr="008A3CCC">
        <w:rPr>
          <w:b/>
          <w:lang w:val="en-CA"/>
        </w:rPr>
        <w:t>revised</w:t>
      </w:r>
      <w:r>
        <w:rPr>
          <w:bCs/>
          <w:lang w:val="en-CA"/>
        </w:rPr>
        <w:t xml:space="preserve"> </w:t>
      </w:r>
      <w:r w:rsidRPr="008A3CCC">
        <w:rPr>
          <w:bCs/>
          <w:lang w:val="en-CA"/>
        </w:rPr>
        <w:t xml:space="preserve">updated Agreement supersedes the Agreement reached between the Government of the Philippines and the Executive Committee at the </w:t>
      </w:r>
      <w:r w:rsidRPr="00DF5DA6">
        <w:rPr>
          <w:b/>
          <w:lang w:val="en-CA"/>
        </w:rPr>
        <w:t>83</w:t>
      </w:r>
      <w:r w:rsidRPr="00DF5DA6">
        <w:rPr>
          <w:b/>
          <w:vertAlign w:val="superscript"/>
          <w:lang w:val="en-CA"/>
        </w:rPr>
        <w:t>rd</w:t>
      </w:r>
      <w:r w:rsidRPr="008A3CCC">
        <w:rPr>
          <w:bCs/>
          <w:lang w:val="en-CA"/>
        </w:rPr>
        <w:t xml:space="preserve"> meeting of the Executive Committee.</w:t>
      </w:r>
    </w:p>
    <w:p w14:paraId="57B8E072" w14:textId="77777777" w:rsidR="00621D13" w:rsidRDefault="00621D13" w:rsidP="00621D13">
      <w:pPr>
        <w:widowControl w:val="0"/>
        <w:rPr>
          <w:b/>
        </w:rPr>
      </w:pPr>
      <w:r w:rsidRPr="00A564F9">
        <w:rPr>
          <w:b/>
        </w:rPr>
        <w:t>APPENDIX 2-A: THE TARGETS, AND FUNDING</w:t>
      </w:r>
    </w:p>
    <w:p w14:paraId="6A8756E5" w14:textId="77777777" w:rsidR="00621D13" w:rsidRPr="00A564F9" w:rsidRDefault="00621D13" w:rsidP="00621D13">
      <w:pPr>
        <w:widowControl w:val="0"/>
        <w:rPr>
          <w:b/>
        </w:rPr>
      </w:pPr>
    </w:p>
    <w:tbl>
      <w:tblPr>
        <w:tblStyle w:val="TableGrid"/>
        <w:tblW w:w="9394" w:type="dxa"/>
        <w:tblLayout w:type="fixed"/>
        <w:tblLook w:val="04A0" w:firstRow="1" w:lastRow="0" w:firstColumn="1" w:lastColumn="0" w:noHBand="0" w:noVBand="1"/>
      </w:tblPr>
      <w:tblGrid>
        <w:gridCol w:w="625"/>
        <w:gridCol w:w="3287"/>
        <w:gridCol w:w="894"/>
        <w:gridCol w:w="894"/>
        <w:gridCol w:w="895"/>
        <w:gridCol w:w="894"/>
        <w:gridCol w:w="895"/>
        <w:gridCol w:w="20"/>
        <w:gridCol w:w="970"/>
        <w:gridCol w:w="20"/>
      </w:tblGrid>
      <w:tr w:rsidR="00621D13" w:rsidRPr="008A3CCC" w14:paraId="245D17E8"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651D7518" w14:textId="77777777" w:rsidR="00621D13" w:rsidRPr="008A3CCC" w:rsidRDefault="00621D13" w:rsidP="00F957D5">
            <w:pPr>
              <w:widowControl w:val="0"/>
              <w:jc w:val="left"/>
              <w:rPr>
                <w:b/>
                <w:bCs/>
                <w:sz w:val="20"/>
                <w:szCs w:val="20"/>
                <w:lang w:val="en-PH"/>
              </w:rPr>
            </w:pPr>
            <w:r w:rsidRPr="008A3CCC">
              <w:rPr>
                <w:b/>
                <w:bCs/>
                <w:sz w:val="20"/>
                <w:szCs w:val="20"/>
                <w:lang w:val="en-PH"/>
              </w:rPr>
              <w:t>Row</w:t>
            </w:r>
          </w:p>
        </w:tc>
        <w:tc>
          <w:tcPr>
            <w:tcW w:w="3287" w:type="dxa"/>
            <w:tcBorders>
              <w:top w:val="single" w:sz="4" w:space="0" w:color="auto"/>
              <w:left w:val="single" w:sz="4" w:space="0" w:color="auto"/>
              <w:bottom w:val="single" w:sz="4" w:space="0" w:color="auto"/>
              <w:right w:val="single" w:sz="4" w:space="0" w:color="auto"/>
            </w:tcBorders>
            <w:hideMark/>
          </w:tcPr>
          <w:p w14:paraId="3621F4C2" w14:textId="77777777" w:rsidR="00621D13" w:rsidRPr="008A3CCC" w:rsidRDefault="00621D13" w:rsidP="00F957D5">
            <w:pPr>
              <w:widowControl w:val="0"/>
              <w:rPr>
                <w:b/>
                <w:bCs/>
                <w:sz w:val="20"/>
                <w:szCs w:val="20"/>
                <w:lang w:val="en-PH"/>
              </w:rPr>
            </w:pPr>
            <w:r w:rsidRPr="008A3CCC">
              <w:rPr>
                <w:b/>
                <w:bCs/>
                <w:sz w:val="20"/>
                <w:szCs w:val="20"/>
                <w:lang w:val="en-PH"/>
              </w:rPr>
              <w:t>Particulars</w:t>
            </w:r>
          </w:p>
        </w:tc>
        <w:tc>
          <w:tcPr>
            <w:tcW w:w="894" w:type="dxa"/>
            <w:tcBorders>
              <w:top w:val="single" w:sz="4" w:space="0" w:color="auto"/>
              <w:left w:val="single" w:sz="4" w:space="0" w:color="auto"/>
              <w:bottom w:val="single" w:sz="4" w:space="0" w:color="auto"/>
              <w:right w:val="single" w:sz="4" w:space="0" w:color="auto"/>
            </w:tcBorders>
            <w:noWrap/>
            <w:hideMark/>
          </w:tcPr>
          <w:p w14:paraId="4FB7848D" w14:textId="77777777" w:rsidR="00621D13" w:rsidRPr="008A3CCC" w:rsidRDefault="00621D13" w:rsidP="00F957D5">
            <w:pPr>
              <w:widowControl w:val="0"/>
              <w:jc w:val="center"/>
              <w:rPr>
                <w:b/>
                <w:bCs/>
                <w:sz w:val="20"/>
                <w:szCs w:val="20"/>
                <w:lang w:val="en-PH"/>
              </w:rPr>
            </w:pPr>
            <w:r w:rsidRPr="008A3CCC">
              <w:rPr>
                <w:b/>
                <w:bCs/>
                <w:sz w:val="20"/>
                <w:szCs w:val="20"/>
                <w:lang w:val="en-PH"/>
              </w:rPr>
              <w:t>2017</w:t>
            </w:r>
          </w:p>
        </w:tc>
        <w:tc>
          <w:tcPr>
            <w:tcW w:w="894" w:type="dxa"/>
            <w:tcBorders>
              <w:top w:val="single" w:sz="4" w:space="0" w:color="auto"/>
              <w:left w:val="single" w:sz="4" w:space="0" w:color="auto"/>
              <w:bottom w:val="single" w:sz="4" w:space="0" w:color="auto"/>
              <w:right w:val="single" w:sz="4" w:space="0" w:color="auto"/>
            </w:tcBorders>
            <w:noWrap/>
            <w:hideMark/>
          </w:tcPr>
          <w:p w14:paraId="4E64F967" w14:textId="77777777" w:rsidR="00621D13" w:rsidRPr="008A3CCC" w:rsidRDefault="00621D13" w:rsidP="00F957D5">
            <w:pPr>
              <w:widowControl w:val="0"/>
              <w:jc w:val="center"/>
              <w:rPr>
                <w:b/>
                <w:bCs/>
                <w:sz w:val="20"/>
                <w:szCs w:val="20"/>
                <w:lang w:val="en-PH"/>
              </w:rPr>
            </w:pPr>
            <w:r w:rsidRPr="008A3CCC">
              <w:rPr>
                <w:b/>
                <w:bCs/>
                <w:sz w:val="20"/>
                <w:szCs w:val="20"/>
                <w:lang w:val="en-PH"/>
              </w:rPr>
              <w:t>2018</w:t>
            </w:r>
          </w:p>
        </w:tc>
        <w:tc>
          <w:tcPr>
            <w:tcW w:w="895" w:type="dxa"/>
            <w:tcBorders>
              <w:top w:val="single" w:sz="4" w:space="0" w:color="auto"/>
              <w:left w:val="single" w:sz="4" w:space="0" w:color="auto"/>
              <w:bottom w:val="single" w:sz="4" w:space="0" w:color="auto"/>
              <w:right w:val="single" w:sz="4" w:space="0" w:color="auto"/>
            </w:tcBorders>
            <w:noWrap/>
            <w:hideMark/>
          </w:tcPr>
          <w:p w14:paraId="12C0B8A4" w14:textId="77777777" w:rsidR="00621D13" w:rsidRPr="008A3CCC" w:rsidRDefault="00621D13" w:rsidP="00F957D5">
            <w:pPr>
              <w:widowControl w:val="0"/>
              <w:jc w:val="center"/>
              <w:rPr>
                <w:b/>
                <w:bCs/>
                <w:sz w:val="20"/>
                <w:szCs w:val="20"/>
                <w:lang w:val="en-PH"/>
              </w:rPr>
            </w:pPr>
            <w:r w:rsidRPr="008A3CCC">
              <w:rPr>
                <w:b/>
                <w:bCs/>
                <w:sz w:val="20"/>
                <w:szCs w:val="20"/>
                <w:lang w:val="en-PH"/>
              </w:rPr>
              <w:t>2019</w:t>
            </w:r>
          </w:p>
        </w:tc>
        <w:tc>
          <w:tcPr>
            <w:tcW w:w="894" w:type="dxa"/>
            <w:tcBorders>
              <w:top w:val="single" w:sz="4" w:space="0" w:color="auto"/>
              <w:left w:val="single" w:sz="4" w:space="0" w:color="auto"/>
              <w:bottom w:val="single" w:sz="4" w:space="0" w:color="auto"/>
              <w:right w:val="single" w:sz="4" w:space="0" w:color="auto"/>
            </w:tcBorders>
            <w:noWrap/>
            <w:hideMark/>
          </w:tcPr>
          <w:p w14:paraId="0678255A" w14:textId="77777777" w:rsidR="00621D13" w:rsidRPr="008A3CCC" w:rsidRDefault="00621D13" w:rsidP="00F957D5">
            <w:pPr>
              <w:widowControl w:val="0"/>
              <w:jc w:val="center"/>
              <w:rPr>
                <w:b/>
                <w:bCs/>
                <w:sz w:val="20"/>
                <w:szCs w:val="20"/>
                <w:lang w:val="en-PH"/>
              </w:rPr>
            </w:pPr>
            <w:r w:rsidRPr="008A3CCC">
              <w:rPr>
                <w:b/>
                <w:bCs/>
                <w:sz w:val="20"/>
                <w:szCs w:val="20"/>
                <w:lang w:val="en-PH"/>
              </w:rPr>
              <w:t>2020</w:t>
            </w:r>
          </w:p>
        </w:tc>
        <w:tc>
          <w:tcPr>
            <w:tcW w:w="895" w:type="dxa"/>
            <w:tcBorders>
              <w:top w:val="single" w:sz="4" w:space="0" w:color="auto"/>
              <w:left w:val="single" w:sz="4" w:space="0" w:color="auto"/>
              <w:bottom w:val="single" w:sz="4" w:space="0" w:color="auto"/>
              <w:right w:val="single" w:sz="4" w:space="0" w:color="auto"/>
            </w:tcBorders>
            <w:noWrap/>
            <w:hideMark/>
          </w:tcPr>
          <w:p w14:paraId="4A3DA2E5" w14:textId="77777777" w:rsidR="00621D13" w:rsidRPr="008A3CCC" w:rsidRDefault="00621D13" w:rsidP="00F957D5">
            <w:pPr>
              <w:widowControl w:val="0"/>
              <w:jc w:val="center"/>
              <w:rPr>
                <w:b/>
                <w:bCs/>
                <w:sz w:val="20"/>
                <w:szCs w:val="20"/>
                <w:lang w:val="en-PH"/>
              </w:rPr>
            </w:pPr>
            <w:r w:rsidRPr="008A3CCC">
              <w:rPr>
                <w:b/>
                <w:bCs/>
                <w:sz w:val="20"/>
                <w:szCs w:val="20"/>
                <w:lang w:val="en-PH"/>
              </w:rPr>
              <w:t>2021</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399F03AF" w14:textId="77777777" w:rsidR="00621D13" w:rsidRPr="008A3CCC" w:rsidRDefault="00621D13" w:rsidP="00F957D5">
            <w:pPr>
              <w:widowControl w:val="0"/>
              <w:jc w:val="right"/>
              <w:rPr>
                <w:b/>
                <w:bCs/>
                <w:sz w:val="20"/>
                <w:szCs w:val="20"/>
                <w:lang w:val="en-PH"/>
              </w:rPr>
            </w:pPr>
            <w:r w:rsidRPr="008A3CCC">
              <w:rPr>
                <w:b/>
                <w:bCs/>
                <w:sz w:val="20"/>
                <w:szCs w:val="20"/>
                <w:lang w:val="en-PH"/>
              </w:rPr>
              <w:t>Total</w:t>
            </w:r>
          </w:p>
        </w:tc>
      </w:tr>
      <w:tr w:rsidR="00621D13" w:rsidRPr="008A3CCC" w14:paraId="2C2CF3EA"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226AF620" w14:textId="77777777" w:rsidR="00621D13" w:rsidRPr="008A3CCC" w:rsidRDefault="00621D13" w:rsidP="00F957D5">
            <w:pPr>
              <w:widowControl w:val="0"/>
              <w:jc w:val="left"/>
              <w:rPr>
                <w:sz w:val="20"/>
                <w:szCs w:val="20"/>
                <w:lang w:val="en-PH"/>
              </w:rPr>
            </w:pPr>
            <w:r w:rsidRPr="008A3CCC">
              <w:rPr>
                <w:sz w:val="20"/>
                <w:szCs w:val="20"/>
                <w:lang w:val="en-PH"/>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7C70F11A" w14:textId="77777777" w:rsidR="00621D13" w:rsidRPr="008A3CCC" w:rsidRDefault="00621D13" w:rsidP="00F957D5">
            <w:pPr>
              <w:widowControl w:val="0"/>
              <w:jc w:val="left"/>
              <w:rPr>
                <w:sz w:val="20"/>
                <w:szCs w:val="20"/>
                <w:lang w:val="en-PH"/>
              </w:rPr>
            </w:pPr>
            <w:r w:rsidRPr="008A3CCC">
              <w:rPr>
                <w:sz w:val="20"/>
                <w:szCs w:val="20"/>
                <w:lang w:val="en-PH"/>
              </w:rPr>
              <w:t xml:space="preserve">Montreal Protocol reduction schedule of Annex C, Group I substances (ODP </w:t>
            </w:r>
            <w:proofErr w:type="spellStart"/>
            <w:r w:rsidRPr="008A3CCC">
              <w:rPr>
                <w:sz w:val="20"/>
                <w:szCs w:val="20"/>
                <w:lang w:val="en-PH"/>
              </w:rPr>
              <w:t>tonnes</w:t>
            </w:r>
            <w:proofErr w:type="spellEnd"/>
            <w:r w:rsidRPr="008A3CCC">
              <w:rPr>
                <w:sz w:val="20"/>
                <w:szCs w:val="20"/>
                <w:lang w:val="en-PH"/>
              </w:rPr>
              <w:t>)</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3DE7D97" w14:textId="77777777" w:rsidR="00621D13" w:rsidRPr="008A3CCC" w:rsidRDefault="00621D13" w:rsidP="00F957D5">
            <w:pPr>
              <w:widowControl w:val="0"/>
              <w:jc w:val="right"/>
              <w:rPr>
                <w:sz w:val="20"/>
                <w:szCs w:val="20"/>
                <w:lang w:val="en-PH"/>
              </w:rPr>
            </w:pPr>
            <w:r w:rsidRPr="008A3CCC">
              <w:rPr>
                <w:sz w:val="20"/>
                <w:szCs w:val="20"/>
                <w:lang w:val="en-PH"/>
              </w:rPr>
              <w:t>187.56</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984C92B" w14:textId="77777777" w:rsidR="00621D13" w:rsidRPr="008A3CCC" w:rsidRDefault="00621D13" w:rsidP="00F957D5">
            <w:pPr>
              <w:widowControl w:val="0"/>
              <w:jc w:val="right"/>
              <w:rPr>
                <w:sz w:val="20"/>
                <w:szCs w:val="20"/>
                <w:lang w:val="en-PH"/>
              </w:rPr>
            </w:pPr>
            <w:r w:rsidRPr="008A3CCC">
              <w:rPr>
                <w:sz w:val="20"/>
                <w:szCs w:val="20"/>
                <w:lang w:val="en-PH"/>
              </w:rPr>
              <w:t>187.56</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626631E" w14:textId="77777777" w:rsidR="00621D13" w:rsidRPr="008A3CCC" w:rsidRDefault="00621D13" w:rsidP="00F957D5">
            <w:pPr>
              <w:widowControl w:val="0"/>
              <w:jc w:val="right"/>
              <w:rPr>
                <w:sz w:val="20"/>
                <w:szCs w:val="20"/>
                <w:lang w:val="en-PH"/>
              </w:rPr>
            </w:pPr>
            <w:r w:rsidRPr="008A3CCC">
              <w:rPr>
                <w:sz w:val="20"/>
                <w:szCs w:val="20"/>
                <w:lang w:val="en-PH"/>
              </w:rPr>
              <w:t>187.56</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9B55057" w14:textId="77777777" w:rsidR="00621D13" w:rsidRPr="008A3CCC" w:rsidRDefault="00621D13" w:rsidP="00F957D5">
            <w:pPr>
              <w:widowControl w:val="0"/>
              <w:jc w:val="right"/>
              <w:rPr>
                <w:sz w:val="20"/>
                <w:szCs w:val="20"/>
                <w:lang w:val="en-PH"/>
              </w:rPr>
            </w:pPr>
            <w:r w:rsidRPr="008A3CCC">
              <w:rPr>
                <w:sz w:val="20"/>
                <w:szCs w:val="20"/>
                <w:lang w:val="en-PH"/>
              </w:rPr>
              <w:t>135.46</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BD7D64C" w14:textId="77777777" w:rsidR="00621D13" w:rsidRPr="008A3CCC" w:rsidRDefault="00621D13" w:rsidP="00F957D5">
            <w:pPr>
              <w:widowControl w:val="0"/>
              <w:jc w:val="right"/>
              <w:rPr>
                <w:sz w:val="20"/>
                <w:szCs w:val="20"/>
                <w:lang w:val="en-PH"/>
              </w:rPr>
            </w:pPr>
            <w:r w:rsidRPr="008A3CCC">
              <w:rPr>
                <w:sz w:val="20"/>
                <w:szCs w:val="20"/>
                <w:lang w:val="en-PH"/>
              </w:rPr>
              <w:t>135.46</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02450066" w14:textId="77777777" w:rsidR="00621D13" w:rsidRPr="008A3CCC" w:rsidRDefault="00621D13" w:rsidP="00F957D5">
            <w:pPr>
              <w:widowControl w:val="0"/>
              <w:jc w:val="right"/>
              <w:rPr>
                <w:sz w:val="20"/>
                <w:szCs w:val="20"/>
                <w:lang w:val="en-PH"/>
              </w:rPr>
            </w:pPr>
            <w:r w:rsidRPr="008A3CCC">
              <w:rPr>
                <w:sz w:val="20"/>
                <w:szCs w:val="20"/>
                <w:lang w:val="en-PH"/>
              </w:rPr>
              <w:t>n/a</w:t>
            </w:r>
          </w:p>
        </w:tc>
      </w:tr>
      <w:tr w:rsidR="00621D13" w:rsidRPr="008A3CCC" w14:paraId="65EDE7CE"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53962DF4" w14:textId="77777777" w:rsidR="00621D13" w:rsidRPr="008A3CCC" w:rsidRDefault="00621D13" w:rsidP="00F957D5">
            <w:pPr>
              <w:widowControl w:val="0"/>
              <w:jc w:val="left"/>
              <w:rPr>
                <w:sz w:val="20"/>
                <w:szCs w:val="20"/>
                <w:lang w:val="en-PH"/>
              </w:rPr>
            </w:pPr>
            <w:r w:rsidRPr="008A3CCC">
              <w:rPr>
                <w:sz w:val="20"/>
                <w:szCs w:val="20"/>
                <w:lang w:val="en-PH"/>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36DC13B" w14:textId="77777777" w:rsidR="00621D13" w:rsidRPr="008A3CCC" w:rsidRDefault="00621D13" w:rsidP="00F957D5">
            <w:pPr>
              <w:widowControl w:val="0"/>
              <w:jc w:val="left"/>
              <w:rPr>
                <w:sz w:val="20"/>
                <w:szCs w:val="20"/>
                <w:lang w:val="en-PH"/>
              </w:rPr>
            </w:pPr>
            <w:r w:rsidRPr="008A3CCC">
              <w:rPr>
                <w:sz w:val="20"/>
                <w:szCs w:val="20"/>
                <w:lang w:val="en-PH"/>
              </w:rPr>
              <w:t xml:space="preserve">Maximum allowable total consumption of Annex C, Group I substances (ODP </w:t>
            </w:r>
            <w:proofErr w:type="spellStart"/>
            <w:r w:rsidRPr="008A3CCC">
              <w:rPr>
                <w:sz w:val="20"/>
                <w:szCs w:val="20"/>
                <w:lang w:val="en-PH"/>
              </w:rPr>
              <w:t>tonnes</w:t>
            </w:r>
            <w:proofErr w:type="spellEnd"/>
            <w:r w:rsidRPr="008A3CCC">
              <w:rPr>
                <w:sz w:val="20"/>
                <w:szCs w:val="20"/>
                <w:lang w:val="en-PH"/>
              </w:rPr>
              <w:t>)</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49ADB3C" w14:textId="77777777" w:rsidR="00621D13" w:rsidRPr="008A3CCC" w:rsidRDefault="00621D13" w:rsidP="00F957D5">
            <w:pPr>
              <w:widowControl w:val="0"/>
              <w:jc w:val="right"/>
              <w:rPr>
                <w:sz w:val="20"/>
                <w:szCs w:val="20"/>
                <w:lang w:val="en-PH"/>
              </w:rPr>
            </w:pPr>
            <w:r w:rsidRPr="008A3CCC">
              <w:rPr>
                <w:sz w:val="20"/>
                <w:szCs w:val="20"/>
                <w:lang w:val="en-PH"/>
              </w:rPr>
              <w:t>129.52</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3D96EBB" w14:textId="77777777" w:rsidR="00621D13" w:rsidRPr="008A3CCC" w:rsidRDefault="00621D13" w:rsidP="00F957D5">
            <w:pPr>
              <w:widowControl w:val="0"/>
              <w:jc w:val="right"/>
              <w:rPr>
                <w:sz w:val="20"/>
                <w:szCs w:val="20"/>
                <w:lang w:val="en-PH"/>
              </w:rPr>
            </w:pPr>
            <w:r w:rsidRPr="008A3CCC">
              <w:rPr>
                <w:sz w:val="20"/>
                <w:szCs w:val="20"/>
                <w:lang w:val="en-PH"/>
              </w:rPr>
              <w:t>129.52</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779BEEB" w14:textId="77777777" w:rsidR="00621D13" w:rsidRPr="008A3CCC" w:rsidRDefault="00621D13" w:rsidP="00F957D5">
            <w:pPr>
              <w:widowControl w:val="0"/>
              <w:jc w:val="right"/>
              <w:rPr>
                <w:sz w:val="20"/>
                <w:szCs w:val="20"/>
                <w:lang w:val="en-PH"/>
              </w:rPr>
            </w:pPr>
            <w:r w:rsidRPr="008A3CCC">
              <w:rPr>
                <w:sz w:val="20"/>
                <w:szCs w:val="20"/>
                <w:lang w:val="en-PH"/>
              </w:rPr>
              <w:t>129.52</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49E260C" w14:textId="77777777" w:rsidR="00621D13" w:rsidRPr="008A3CCC" w:rsidRDefault="00621D13" w:rsidP="00F957D5">
            <w:pPr>
              <w:widowControl w:val="0"/>
              <w:jc w:val="right"/>
              <w:rPr>
                <w:sz w:val="20"/>
                <w:szCs w:val="20"/>
                <w:lang w:val="en-PH"/>
              </w:rPr>
            </w:pPr>
            <w:r w:rsidRPr="008A3CCC">
              <w:rPr>
                <w:sz w:val="20"/>
                <w:szCs w:val="20"/>
                <w:lang w:val="en-PH"/>
              </w:rPr>
              <w:t>105.87</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2266AB0" w14:textId="77777777" w:rsidR="00621D13" w:rsidRPr="008A3CCC" w:rsidRDefault="00621D13" w:rsidP="00F957D5">
            <w:pPr>
              <w:widowControl w:val="0"/>
              <w:jc w:val="right"/>
              <w:rPr>
                <w:sz w:val="20"/>
                <w:szCs w:val="20"/>
                <w:lang w:val="en-PH"/>
              </w:rPr>
            </w:pPr>
            <w:r w:rsidRPr="008A3CCC">
              <w:rPr>
                <w:sz w:val="20"/>
                <w:szCs w:val="20"/>
                <w:lang w:val="en-PH"/>
              </w:rPr>
              <w:t>82.56</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6D78AA0" w14:textId="77777777" w:rsidR="00621D13" w:rsidRPr="008A3CCC" w:rsidRDefault="00621D13" w:rsidP="00F957D5">
            <w:pPr>
              <w:widowControl w:val="0"/>
              <w:jc w:val="right"/>
              <w:rPr>
                <w:sz w:val="20"/>
                <w:szCs w:val="20"/>
                <w:lang w:val="en-PH"/>
              </w:rPr>
            </w:pPr>
            <w:r w:rsidRPr="008A3CCC">
              <w:rPr>
                <w:sz w:val="20"/>
                <w:szCs w:val="20"/>
                <w:lang w:val="en-PH"/>
              </w:rPr>
              <w:t>n/a</w:t>
            </w:r>
          </w:p>
        </w:tc>
      </w:tr>
      <w:tr w:rsidR="00621D13" w:rsidRPr="008A3CCC" w14:paraId="48D3B76C"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72E2A5D8" w14:textId="77777777" w:rsidR="00621D13" w:rsidRPr="008A3CCC" w:rsidRDefault="00621D13" w:rsidP="00F957D5">
            <w:pPr>
              <w:widowControl w:val="0"/>
              <w:jc w:val="left"/>
              <w:rPr>
                <w:sz w:val="20"/>
                <w:szCs w:val="20"/>
                <w:lang w:val="en-PH"/>
              </w:rPr>
            </w:pPr>
            <w:r w:rsidRPr="008A3CCC">
              <w:rPr>
                <w:sz w:val="20"/>
                <w:szCs w:val="20"/>
                <w:lang w:val="en-PH"/>
              </w:rPr>
              <w:t>2.1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7C0151C4" w14:textId="77777777" w:rsidR="00621D13" w:rsidRPr="008A3CCC" w:rsidRDefault="00621D13" w:rsidP="00F957D5">
            <w:pPr>
              <w:widowControl w:val="0"/>
              <w:jc w:val="left"/>
              <w:rPr>
                <w:sz w:val="20"/>
                <w:szCs w:val="20"/>
                <w:lang w:val="en-PH"/>
              </w:rPr>
            </w:pPr>
            <w:r w:rsidRPr="008A3CCC">
              <w:rPr>
                <w:sz w:val="20"/>
                <w:szCs w:val="20"/>
                <w:lang w:val="en-PH"/>
              </w:rPr>
              <w:t>Lead IA (UNIDO) agreed funding (US $)</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9AAC79C" w14:textId="77777777" w:rsidR="00621D13" w:rsidRPr="008A3CCC" w:rsidRDefault="00621D13" w:rsidP="00F957D5">
            <w:pPr>
              <w:widowControl w:val="0"/>
              <w:jc w:val="right"/>
              <w:rPr>
                <w:b/>
                <w:sz w:val="20"/>
                <w:szCs w:val="20"/>
                <w:lang w:val="en-PH"/>
              </w:rPr>
            </w:pPr>
            <w:r w:rsidRPr="008A3CCC">
              <w:rPr>
                <w:b/>
                <w:sz w:val="20"/>
                <w:szCs w:val="20"/>
                <w:lang w:val="en-PH"/>
              </w:rPr>
              <w:t>811,750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7B88BCF"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DD83966"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B1ED68B"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69198030"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257AEA5" w14:textId="77777777" w:rsidR="00621D13" w:rsidRPr="008A3CCC" w:rsidRDefault="00621D13" w:rsidP="00F957D5">
            <w:pPr>
              <w:widowControl w:val="0"/>
              <w:jc w:val="right"/>
              <w:rPr>
                <w:b/>
                <w:sz w:val="20"/>
                <w:szCs w:val="20"/>
                <w:lang w:val="en-PH"/>
              </w:rPr>
            </w:pPr>
            <w:r w:rsidRPr="008A3CCC">
              <w:rPr>
                <w:b/>
                <w:sz w:val="20"/>
                <w:szCs w:val="20"/>
                <w:lang w:val="en-PH"/>
              </w:rPr>
              <w:t>811,750</w:t>
            </w:r>
          </w:p>
        </w:tc>
      </w:tr>
      <w:tr w:rsidR="00621D13" w:rsidRPr="008A3CCC" w14:paraId="3593EADC"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7D308F02" w14:textId="77777777" w:rsidR="00621D13" w:rsidRPr="008A3CCC" w:rsidRDefault="00621D13" w:rsidP="00F957D5">
            <w:pPr>
              <w:widowControl w:val="0"/>
              <w:jc w:val="left"/>
              <w:rPr>
                <w:sz w:val="20"/>
                <w:szCs w:val="20"/>
                <w:lang w:val="en-PH"/>
              </w:rPr>
            </w:pPr>
            <w:r w:rsidRPr="008A3CCC">
              <w:rPr>
                <w:sz w:val="20"/>
                <w:szCs w:val="20"/>
                <w:lang w:val="en-PH"/>
              </w:rPr>
              <w:t>2.2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AEB4BB1" w14:textId="77777777" w:rsidR="00621D13" w:rsidRPr="008A3CCC" w:rsidRDefault="00621D13" w:rsidP="00F957D5">
            <w:pPr>
              <w:widowControl w:val="0"/>
              <w:jc w:val="left"/>
              <w:rPr>
                <w:sz w:val="20"/>
                <w:szCs w:val="20"/>
                <w:lang w:val="en-PH"/>
              </w:rPr>
            </w:pPr>
            <w:r w:rsidRPr="008A3CCC">
              <w:rPr>
                <w:sz w:val="20"/>
                <w:szCs w:val="20"/>
                <w:lang w:val="en-PH"/>
              </w:rPr>
              <w:t>Support costs for Lead IA (US $)</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FC3AAD4" w14:textId="77777777" w:rsidR="00621D13" w:rsidRPr="008A3CCC" w:rsidRDefault="00621D13" w:rsidP="00F957D5">
            <w:pPr>
              <w:widowControl w:val="0"/>
              <w:jc w:val="right"/>
              <w:rPr>
                <w:b/>
                <w:sz w:val="20"/>
                <w:szCs w:val="20"/>
                <w:lang w:val="en-PH"/>
              </w:rPr>
            </w:pPr>
            <w:r w:rsidRPr="008A3CCC">
              <w:rPr>
                <w:b/>
                <w:sz w:val="20"/>
                <w:szCs w:val="20"/>
                <w:lang w:val="en-PH"/>
              </w:rPr>
              <w:t>56,823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07D6593"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5AE9B14"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68056EF"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4493F4A7"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7B1D7EBC" w14:textId="77777777" w:rsidR="00621D13" w:rsidRPr="008A3CCC" w:rsidRDefault="00621D13" w:rsidP="00F957D5">
            <w:pPr>
              <w:widowControl w:val="0"/>
              <w:jc w:val="right"/>
              <w:rPr>
                <w:b/>
                <w:sz w:val="20"/>
                <w:szCs w:val="20"/>
                <w:lang w:val="en-PH"/>
              </w:rPr>
            </w:pPr>
            <w:r w:rsidRPr="008A3CCC">
              <w:rPr>
                <w:b/>
                <w:sz w:val="20"/>
                <w:szCs w:val="20"/>
                <w:lang w:val="en-PH"/>
              </w:rPr>
              <w:t>56,823</w:t>
            </w:r>
          </w:p>
        </w:tc>
      </w:tr>
      <w:tr w:rsidR="00621D13" w:rsidRPr="008A3CCC" w14:paraId="56E2D938"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06A5B771" w14:textId="77777777" w:rsidR="00621D13" w:rsidRPr="008A3CCC" w:rsidRDefault="00621D13" w:rsidP="00F957D5">
            <w:pPr>
              <w:widowControl w:val="0"/>
              <w:jc w:val="left"/>
              <w:rPr>
                <w:sz w:val="20"/>
                <w:szCs w:val="20"/>
                <w:lang w:val="en-PH"/>
              </w:rPr>
            </w:pPr>
            <w:r w:rsidRPr="008A3CCC">
              <w:rPr>
                <w:sz w:val="20"/>
                <w:szCs w:val="20"/>
                <w:lang w:val="en-PH"/>
              </w:rPr>
              <w:t>3.1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1E7B2266" w14:textId="77777777" w:rsidR="00621D13" w:rsidRPr="008A3CCC" w:rsidRDefault="00621D13" w:rsidP="00F957D5">
            <w:pPr>
              <w:widowControl w:val="0"/>
              <w:jc w:val="left"/>
              <w:rPr>
                <w:sz w:val="20"/>
                <w:szCs w:val="20"/>
                <w:lang w:val="en-PH"/>
              </w:rPr>
            </w:pPr>
            <w:r w:rsidRPr="008A3CCC">
              <w:rPr>
                <w:sz w:val="20"/>
                <w:szCs w:val="20"/>
                <w:lang w:val="en-PH"/>
              </w:rPr>
              <w:t>Total agreed funding (US $)</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4E36D4E" w14:textId="77777777" w:rsidR="00621D13" w:rsidRPr="008A3CCC" w:rsidRDefault="00621D13" w:rsidP="00F957D5">
            <w:pPr>
              <w:widowControl w:val="0"/>
              <w:jc w:val="right"/>
              <w:rPr>
                <w:b/>
                <w:sz w:val="20"/>
                <w:szCs w:val="20"/>
                <w:lang w:val="en-PH"/>
              </w:rPr>
            </w:pPr>
            <w:r w:rsidRPr="008A3CCC">
              <w:rPr>
                <w:b/>
                <w:sz w:val="20"/>
                <w:szCs w:val="20"/>
                <w:lang w:val="en-PH"/>
              </w:rPr>
              <w:t>811,750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3E549C3"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E4BA492"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6F529A3"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164B3FB0"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FD704DF" w14:textId="77777777" w:rsidR="00621D13" w:rsidRPr="008A3CCC" w:rsidRDefault="00621D13" w:rsidP="00F957D5">
            <w:pPr>
              <w:widowControl w:val="0"/>
              <w:jc w:val="right"/>
              <w:rPr>
                <w:b/>
                <w:sz w:val="20"/>
                <w:szCs w:val="20"/>
                <w:lang w:val="en-PH"/>
              </w:rPr>
            </w:pPr>
            <w:r w:rsidRPr="008A3CCC">
              <w:rPr>
                <w:b/>
                <w:sz w:val="20"/>
                <w:szCs w:val="20"/>
                <w:lang w:val="en-PH"/>
              </w:rPr>
              <w:t>811,750</w:t>
            </w:r>
          </w:p>
        </w:tc>
      </w:tr>
      <w:tr w:rsidR="00621D13" w:rsidRPr="008A3CCC" w14:paraId="4F3A1EF2"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57B41CFF" w14:textId="77777777" w:rsidR="00621D13" w:rsidRPr="008A3CCC" w:rsidRDefault="00621D13" w:rsidP="00F957D5">
            <w:pPr>
              <w:widowControl w:val="0"/>
              <w:jc w:val="left"/>
              <w:rPr>
                <w:sz w:val="20"/>
                <w:szCs w:val="20"/>
                <w:lang w:val="en-PH"/>
              </w:rPr>
            </w:pPr>
            <w:r w:rsidRPr="008A3CCC">
              <w:rPr>
                <w:sz w:val="20"/>
                <w:szCs w:val="20"/>
                <w:lang w:val="en-PH"/>
              </w:rPr>
              <w:t>3.2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33C952CE" w14:textId="77777777" w:rsidR="00621D13" w:rsidRPr="008A3CCC" w:rsidRDefault="00621D13" w:rsidP="00F957D5">
            <w:pPr>
              <w:widowControl w:val="0"/>
              <w:jc w:val="left"/>
              <w:rPr>
                <w:sz w:val="20"/>
                <w:szCs w:val="20"/>
                <w:lang w:val="en-PH"/>
              </w:rPr>
            </w:pPr>
            <w:r w:rsidRPr="008A3CCC">
              <w:rPr>
                <w:sz w:val="20"/>
                <w:szCs w:val="20"/>
                <w:lang w:val="en-PH"/>
              </w:rPr>
              <w:t>Total support costs (US $)</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D7A7F74" w14:textId="77777777" w:rsidR="00621D13" w:rsidRPr="008A3CCC" w:rsidRDefault="00621D13" w:rsidP="00F957D5">
            <w:pPr>
              <w:widowControl w:val="0"/>
              <w:jc w:val="right"/>
              <w:rPr>
                <w:b/>
                <w:sz w:val="20"/>
                <w:szCs w:val="20"/>
                <w:lang w:val="en-PH"/>
              </w:rPr>
            </w:pPr>
            <w:r w:rsidRPr="008A3CCC">
              <w:rPr>
                <w:b/>
                <w:sz w:val="20"/>
                <w:szCs w:val="20"/>
                <w:lang w:val="en-PH"/>
              </w:rPr>
              <w:t>56,823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F785E14"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7BE1667"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26E7869"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730E2BE2"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01B671D8" w14:textId="77777777" w:rsidR="00621D13" w:rsidRPr="008A3CCC" w:rsidRDefault="00621D13" w:rsidP="00F957D5">
            <w:pPr>
              <w:widowControl w:val="0"/>
              <w:jc w:val="right"/>
              <w:rPr>
                <w:b/>
                <w:sz w:val="20"/>
                <w:szCs w:val="20"/>
                <w:lang w:val="en-PH"/>
              </w:rPr>
            </w:pPr>
            <w:r w:rsidRPr="008A3CCC">
              <w:rPr>
                <w:b/>
                <w:sz w:val="20"/>
                <w:szCs w:val="20"/>
                <w:lang w:val="en-PH"/>
              </w:rPr>
              <w:t>56,823</w:t>
            </w:r>
          </w:p>
        </w:tc>
      </w:tr>
      <w:tr w:rsidR="00621D13" w:rsidRPr="008A3CCC" w14:paraId="52DDDED2" w14:textId="77777777" w:rsidTr="00F957D5">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03C1FB98" w14:textId="77777777" w:rsidR="00621D13" w:rsidRPr="008A3CCC" w:rsidRDefault="00621D13" w:rsidP="00F957D5">
            <w:pPr>
              <w:widowControl w:val="0"/>
              <w:jc w:val="left"/>
              <w:rPr>
                <w:sz w:val="20"/>
                <w:szCs w:val="20"/>
                <w:lang w:val="en-PH"/>
              </w:rPr>
            </w:pPr>
            <w:r w:rsidRPr="008A3CCC">
              <w:rPr>
                <w:sz w:val="20"/>
                <w:szCs w:val="20"/>
                <w:lang w:val="en-PH"/>
              </w:rPr>
              <w:t>3.3</w:t>
            </w:r>
          </w:p>
        </w:tc>
        <w:tc>
          <w:tcPr>
            <w:tcW w:w="3287" w:type="dxa"/>
            <w:tcBorders>
              <w:top w:val="single" w:sz="4" w:space="0" w:color="auto"/>
              <w:left w:val="single" w:sz="4" w:space="0" w:color="auto"/>
              <w:bottom w:val="single" w:sz="4" w:space="0" w:color="auto"/>
              <w:right w:val="single" w:sz="4" w:space="0" w:color="auto"/>
            </w:tcBorders>
            <w:vAlign w:val="center"/>
            <w:hideMark/>
          </w:tcPr>
          <w:p w14:paraId="43DD99E2" w14:textId="77777777" w:rsidR="00621D13" w:rsidRPr="008A3CCC" w:rsidRDefault="00621D13" w:rsidP="00F957D5">
            <w:pPr>
              <w:widowControl w:val="0"/>
              <w:jc w:val="left"/>
              <w:rPr>
                <w:sz w:val="20"/>
                <w:szCs w:val="20"/>
                <w:lang w:val="en-PH"/>
              </w:rPr>
            </w:pPr>
            <w:r w:rsidRPr="008A3CCC">
              <w:rPr>
                <w:sz w:val="20"/>
                <w:szCs w:val="20"/>
                <w:lang w:val="en-PH"/>
              </w:rPr>
              <w:t>Total agreed costs (US $)</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7655EA0" w14:textId="77777777" w:rsidR="00621D13" w:rsidRPr="008A3CCC" w:rsidRDefault="00621D13" w:rsidP="00F957D5">
            <w:pPr>
              <w:widowControl w:val="0"/>
              <w:jc w:val="right"/>
              <w:rPr>
                <w:b/>
                <w:sz w:val="20"/>
                <w:szCs w:val="20"/>
                <w:lang w:val="en-PH"/>
              </w:rPr>
            </w:pPr>
            <w:r w:rsidRPr="008A3CCC">
              <w:rPr>
                <w:b/>
                <w:sz w:val="20"/>
                <w:szCs w:val="20"/>
                <w:lang w:val="en-PH"/>
              </w:rPr>
              <w:t>868,573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6EBECB3"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3E4814B"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040F43D" w14:textId="77777777" w:rsidR="00621D13" w:rsidRPr="008A3CCC" w:rsidRDefault="00621D13" w:rsidP="00F957D5">
            <w:pPr>
              <w:widowControl w:val="0"/>
              <w:jc w:val="right"/>
              <w:rPr>
                <w:sz w:val="20"/>
                <w:szCs w:val="20"/>
                <w:lang w:val="en-PH"/>
              </w:rPr>
            </w:pPr>
            <w:r w:rsidRPr="008A3CCC">
              <w:rPr>
                <w:sz w:val="20"/>
                <w:szCs w:val="20"/>
                <w:lang w:val="en-PH"/>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56E68168" w14:textId="77777777" w:rsidR="00621D13" w:rsidRPr="008A3CCC" w:rsidRDefault="00621D13" w:rsidP="00F957D5">
            <w:pPr>
              <w:widowControl w:val="0"/>
              <w:jc w:val="right"/>
              <w:rPr>
                <w:b/>
                <w:sz w:val="20"/>
                <w:szCs w:val="20"/>
                <w:lang w:val="en-PH"/>
              </w:rPr>
            </w:pPr>
            <w:r w:rsidRPr="008A3CCC">
              <w:rPr>
                <w:b/>
                <w:sz w:val="20"/>
                <w:szCs w:val="20"/>
                <w:lang w:val="en-PH"/>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63FF43EE" w14:textId="77777777" w:rsidR="00621D13" w:rsidRPr="008A3CCC" w:rsidRDefault="00621D13" w:rsidP="00F957D5">
            <w:pPr>
              <w:widowControl w:val="0"/>
              <w:jc w:val="right"/>
              <w:rPr>
                <w:b/>
                <w:sz w:val="20"/>
                <w:szCs w:val="20"/>
                <w:lang w:val="en-PH"/>
              </w:rPr>
            </w:pPr>
            <w:r w:rsidRPr="008A3CCC">
              <w:rPr>
                <w:b/>
                <w:sz w:val="20"/>
                <w:szCs w:val="20"/>
                <w:lang w:val="en-PH"/>
              </w:rPr>
              <w:t>868,753</w:t>
            </w:r>
          </w:p>
        </w:tc>
      </w:tr>
      <w:tr w:rsidR="00621D13" w:rsidRPr="00563B49" w14:paraId="0A57DDE8"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24BA0491" w14:textId="77777777" w:rsidR="00621D13" w:rsidRPr="008A3CCC" w:rsidRDefault="00621D13" w:rsidP="00F957D5">
            <w:pPr>
              <w:widowControl w:val="0"/>
              <w:jc w:val="left"/>
              <w:rPr>
                <w:sz w:val="20"/>
                <w:szCs w:val="20"/>
                <w:lang w:val="en-PH"/>
              </w:rPr>
            </w:pPr>
            <w:r w:rsidRPr="008A3CCC">
              <w:rPr>
                <w:sz w:val="20"/>
                <w:szCs w:val="20"/>
                <w:lang w:val="en-PH"/>
              </w:rPr>
              <w:t>4.1.1</w:t>
            </w:r>
          </w:p>
        </w:tc>
        <w:tc>
          <w:tcPr>
            <w:tcW w:w="7779" w:type="dxa"/>
            <w:gridSpan w:val="7"/>
            <w:tcBorders>
              <w:top w:val="single" w:sz="4" w:space="0" w:color="auto"/>
              <w:left w:val="single" w:sz="4" w:space="0" w:color="auto"/>
              <w:bottom w:val="single" w:sz="4" w:space="0" w:color="auto"/>
              <w:right w:val="single" w:sz="4" w:space="0" w:color="auto"/>
            </w:tcBorders>
            <w:hideMark/>
          </w:tcPr>
          <w:p w14:paraId="0F4E0632" w14:textId="77777777" w:rsidR="00621D13" w:rsidRPr="008A3CCC" w:rsidRDefault="00621D13" w:rsidP="00F957D5">
            <w:pPr>
              <w:widowControl w:val="0"/>
              <w:rPr>
                <w:sz w:val="20"/>
                <w:szCs w:val="20"/>
                <w:lang w:val="en-PH"/>
              </w:rPr>
            </w:pPr>
            <w:r w:rsidRPr="008A3CCC">
              <w:rPr>
                <w:sz w:val="20"/>
                <w:szCs w:val="20"/>
                <w:lang w:val="en-PH"/>
              </w:rPr>
              <w:t xml:space="preserve">Total phase-out of HCFC-22 agreed to be achieved under this Agreement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3F5065A2" w14:textId="77777777" w:rsidR="00621D13" w:rsidRPr="008A3CCC" w:rsidRDefault="00621D13" w:rsidP="00F957D5">
            <w:pPr>
              <w:widowControl w:val="0"/>
              <w:jc w:val="right"/>
              <w:rPr>
                <w:sz w:val="20"/>
                <w:szCs w:val="20"/>
                <w:lang w:val="en-PH"/>
              </w:rPr>
            </w:pPr>
            <w:r w:rsidRPr="008A3CCC">
              <w:rPr>
                <w:sz w:val="20"/>
                <w:szCs w:val="20"/>
                <w:lang w:val="en-PH"/>
              </w:rPr>
              <w:t>23.44</w:t>
            </w:r>
          </w:p>
        </w:tc>
      </w:tr>
      <w:tr w:rsidR="00621D13" w:rsidRPr="00563B49" w14:paraId="466DD859"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67E8CFE4" w14:textId="77777777" w:rsidR="00621D13" w:rsidRPr="008A3CCC" w:rsidRDefault="00621D13" w:rsidP="00F957D5">
            <w:pPr>
              <w:widowControl w:val="0"/>
              <w:jc w:val="left"/>
              <w:rPr>
                <w:sz w:val="20"/>
                <w:szCs w:val="20"/>
                <w:lang w:val="en-PH"/>
              </w:rPr>
            </w:pPr>
            <w:r w:rsidRPr="008A3CCC">
              <w:rPr>
                <w:sz w:val="20"/>
                <w:szCs w:val="20"/>
                <w:lang w:val="en-PH"/>
              </w:rPr>
              <w:t>4.1.2</w:t>
            </w:r>
          </w:p>
        </w:tc>
        <w:tc>
          <w:tcPr>
            <w:tcW w:w="7779" w:type="dxa"/>
            <w:gridSpan w:val="7"/>
            <w:tcBorders>
              <w:top w:val="single" w:sz="4" w:space="0" w:color="auto"/>
              <w:left w:val="single" w:sz="4" w:space="0" w:color="auto"/>
              <w:bottom w:val="single" w:sz="4" w:space="0" w:color="auto"/>
              <w:right w:val="single" w:sz="4" w:space="0" w:color="auto"/>
            </w:tcBorders>
            <w:hideMark/>
          </w:tcPr>
          <w:p w14:paraId="697C4A06" w14:textId="77777777" w:rsidR="00621D13" w:rsidRPr="008A3CCC" w:rsidRDefault="00621D13" w:rsidP="00F957D5">
            <w:pPr>
              <w:widowControl w:val="0"/>
              <w:rPr>
                <w:sz w:val="20"/>
                <w:szCs w:val="20"/>
                <w:lang w:val="en-PH"/>
              </w:rPr>
            </w:pPr>
            <w:r w:rsidRPr="008A3CCC">
              <w:rPr>
                <w:sz w:val="20"/>
                <w:szCs w:val="20"/>
                <w:lang w:val="en-PH"/>
              </w:rPr>
              <w:t xml:space="preserve">Phase-out of HCFC-22 to be achieved in previously approved projects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6030AD1B" w14:textId="77777777" w:rsidR="00621D13" w:rsidRPr="008A3CCC" w:rsidRDefault="00621D13" w:rsidP="00F957D5">
            <w:pPr>
              <w:widowControl w:val="0"/>
              <w:jc w:val="right"/>
              <w:rPr>
                <w:sz w:val="20"/>
                <w:szCs w:val="20"/>
                <w:lang w:val="en-PH"/>
              </w:rPr>
            </w:pPr>
            <w:r w:rsidRPr="008A3CCC">
              <w:rPr>
                <w:sz w:val="20"/>
                <w:szCs w:val="20"/>
                <w:lang w:val="en-PH"/>
              </w:rPr>
              <w:t>2.00</w:t>
            </w:r>
          </w:p>
        </w:tc>
      </w:tr>
      <w:tr w:rsidR="00621D13" w:rsidRPr="00563B49" w14:paraId="60E24DC9"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7F11AB9D" w14:textId="77777777" w:rsidR="00621D13" w:rsidRPr="008A3CCC" w:rsidRDefault="00621D13" w:rsidP="00F957D5">
            <w:pPr>
              <w:widowControl w:val="0"/>
              <w:jc w:val="left"/>
              <w:rPr>
                <w:sz w:val="20"/>
                <w:szCs w:val="20"/>
                <w:lang w:val="en-PH"/>
              </w:rPr>
            </w:pPr>
            <w:r w:rsidRPr="008A3CCC">
              <w:rPr>
                <w:sz w:val="20"/>
                <w:szCs w:val="20"/>
                <w:lang w:val="en-PH"/>
              </w:rPr>
              <w:t>4.1.3</w:t>
            </w:r>
          </w:p>
        </w:tc>
        <w:tc>
          <w:tcPr>
            <w:tcW w:w="7779" w:type="dxa"/>
            <w:gridSpan w:val="7"/>
            <w:tcBorders>
              <w:top w:val="single" w:sz="4" w:space="0" w:color="auto"/>
              <w:left w:val="single" w:sz="4" w:space="0" w:color="auto"/>
              <w:bottom w:val="single" w:sz="4" w:space="0" w:color="auto"/>
              <w:right w:val="single" w:sz="4" w:space="0" w:color="auto"/>
            </w:tcBorders>
            <w:hideMark/>
          </w:tcPr>
          <w:p w14:paraId="63F1ABB5" w14:textId="77777777" w:rsidR="00621D13" w:rsidRPr="008A3CCC" w:rsidRDefault="00621D13" w:rsidP="00F957D5">
            <w:pPr>
              <w:widowControl w:val="0"/>
              <w:rPr>
                <w:sz w:val="20"/>
                <w:szCs w:val="20"/>
                <w:lang w:val="en-PH"/>
              </w:rPr>
            </w:pPr>
            <w:r w:rsidRPr="008A3CCC">
              <w:rPr>
                <w:sz w:val="20"/>
                <w:szCs w:val="20"/>
                <w:lang w:val="en-PH"/>
              </w:rPr>
              <w:t xml:space="preserve">Remaining eligible consumption for HCFC-22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9551A64" w14:textId="77777777" w:rsidR="00621D13" w:rsidRPr="008A3CCC" w:rsidRDefault="00621D13" w:rsidP="00F957D5">
            <w:pPr>
              <w:widowControl w:val="0"/>
              <w:jc w:val="right"/>
              <w:rPr>
                <w:sz w:val="20"/>
                <w:szCs w:val="20"/>
                <w:lang w:val="en-PH"/>
              </w:rPr>
            </w:pPr>
            <w:r w:rsidRPr="008A3CCC">
              <w:rPr>
                <w:sz w:val="20"/>
                <w:szCs w:val="20"/>
                <w:lang w:val="en-PH"/>
              </w:rPr>
              <w:t>83.88</w:t>
            </w:r>
          </w:p>
        </w:tc>
      </w:tr>
      <w:tr w:rsidR="00621D13" w:rsidRPr="00563B49" w14:paraId="58199F8D"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64CF0197" w14:textId="77777777" w:rsidR="00621D13" w:rsidRPr="008A3CCC" w:rsidRDefault="00621D13" w:rsidP="00F957D5">
            <w:pPr>
              <w:widowControl w:val="0"/>
              <w:jc w:val="left"/>
              <w:rPr>
                <w:sz w:val="20"/>
                <w:szCs w:val="20"/>
                <w:lang w:val="en-PH"/>
              </w:rPr>
            </w:pPr>
            <w:r w:rsidRPr="008A3CCC">
              <w:rPr>
                <w:sz w:val="20"/>
                <w:szCs w:val="20"/>
                <w:lang w:val="en-PH"/>
              </w:rPr>
              <w:t>4.2.1</w:t>
            </w:r>
          </w:p>
        </w:tc>
        <w:tc>
          <w:tcPr>
            <w:tcW w:w="7779" w:type="dxa"/>
            <w:gridSpan w:val="7"/>
            <w:tcBorders>
              <w:top w:val="single" w:sz="4" w:space="0" w:color="auto"/>
              <w:left w:val="single" w:sz="4" w:space="0" w:color="auto"/>
              <w:bottom w:val="single" w:sz="4" w:space="0" w:color="auto"/>
              <w:right w:val="single" w:sz="4" w:space="0" w:color="auto"/>
            </w:tcBorders>
            <w:hideMark/>
          </w:tcPr>
          <w:p w14:paraId="747CFB6F" w14:textId="77777777" w:rsidR="00621D13" w:rsidRPr="008A3CCC" w:rsidRDefault="00621D13" w:rsidP="00F957D5">
            <w:pPr>
              <w:widowControl w:val="0"/>
              <w:rPr>
                <w:sz w:val="20"/>
                <w:szCs w:val="20"/>
                <w:lang w:val="en-PH"/>
              </w:rPr>
            </w:pPr>
            <w:r w:rsidRPr="008A3CCC">
              <w:rPr>
                <w:sz w:val="20"/>
                <w:szCs w:val="20"/>
                <w:lang w:val="en-PH"/>
              </w:rPr>
              <w:t xml:space="preserve">Total phase-out of HCFC-123 agreed to be achieved under this Agreement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79C6BBA5" w14:textId="77777777" w:rsidR="00621D13" w:rsidRPr="008A3CCC" w:rsidRDefault="00621D13" w:rsidP="00F957D5">
            <w:pPr>
              <w:widowControl w:val="0"/>
              <w:jc w:val="right"/>
              <w:rPr>
                <w:sz w:val="20"/>
                <w:szCs w:val="20"/>
                <w:lang w:val="en-PH"/>
              </w:rPr>
            </w:pPr>
            <w:r w:rsidRPr="008A3CCC">
              <w:rPr>
                <w:sz w:val="20"/>
                <w:szCs w:val="20"/>
                <w:lang w:val="en-PH"/>
              </w:rPr>
              <w:t>0.00</w:t>
            </w:r>
          </w:p>
        </w:tc>
      </w:tr>
      <w:tr w:rsidR="00621D13" w:rsidRPr="00563B49" w14:paraId="4255E9E0"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6A0AD2BD" w14:textId="77777777" w:rsidR="00621D13" w:rsidRPr="008A3CCC" w:rsidRDefault="00621D13" w:rsidP="00F957D5">
            <w:pPr>
              <w:widowControl w:val="0"/>
              <w:jc w:val="left"/>
              <w:rPr>
                <w:sz w:val="20"/>
                <w:szCs w:val="20"/>
                <w:lang w:val="en-PH"/>
              </w:rPr>
            </w:pPr>
            <w:r w:rsidRPr="008A3CCC">
              <w:rPr>
                <w:sz w:val="20"/>
                <w:szCs w:val="20"/>
                <w:lang w:val="en-PH"/>
              </w:rPr>
              <w:t>4.2.2</w:t>
            </w:r>
          </w:p>
        </w:tc>
        <w:tc>
          <w:tcPr>
            <w:tcW w:w="7779" w:type="dxa"/>
            <w:gridSpan w:val="7"/>
            <w:tcBorders>
              <w:top w:val="single" w:sz="4" w:space="0" w:color="auto"/>
              <w:left w:val="single" w:sz="4" w:space="0" w:color="auto"/>
              <w:bottom w:val="single" w:sz="4" w:space="0" w:color="auto"/>
              <w:right w:val="single" w:sz="4" w:space="0" w:color="auto"/>
            </w:tcBorders>
            <w:hideMark/>
          </w:tcPr>
          <w:p w14:paraId="3C4399CA" w14:textId="77777777" w:rsidR="00621D13" w:rsidRPr="008A3CCC" w:rsidRDefault="00621D13" w:rsidP="00F957D5">
            <w:pPr>
              <w:widowControl w:val="0"/>
              <w:rPr>
                <w:sz w:val="20"/>
                <w:szCs w:val="20"/>
                <w:lang w:val="en-PH"/>
              </w:rPr>
            </w:pPr>
            <w:r w:rsidRPr="008A3CCC">
              <w:rPr>
                <w:sz w:val="20"/>
                <w:szCs w:val="20"/>
                <w:lang w:val="en-PH"/>
              </w:rPr>
              <w:t xml:space="preserve">Phase-out of HCFC-123 to be achieved in previously approved projects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086FC143" w14:textId="77777777" w:rsidR="00621D13" w:rsidRPr="008A3CCC" w:rsidRDefault="00621D13" w:rsidP="00F957D5">
            <w:pPr>
              <w:widowControl w:val="0"/>
              <w:jc w:val="right"/>
              <w:rPr>
                <w:sz w:val="20"/>
                <w:szCs w:val="20"/>
                <w:lang w:val="en-PH"/>
              </w:rPr>
            </w:pPr>
            <w:r w:rsidRPr="008A3CCC">
              <w:rPr>
                <w:sz w:val="20"/>
                <w:szCs w:val="20"/>
                <w:lang w:val="en-PH"/>
              </w:rPr>
              <w:t>0.00</w:t>
            </w:r>
          </w:p>
        </w:tc>
      </w:tr>
      <w:tr w:rsidR="00621D13" w:rsidRPr="00563B49" w14:paraId="6264E33C"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74FA1B9A" w14:textId="77777777" w:rsidR="00621D13" w:rsidRPr="008A3CCC" w:rsidRDefault="00621D13" w:rsidP="00F957D5">
            <w:pPr>
              <w:widowControl w:val="0"/>
              <w:jc w:val="left"/>
              <w:rPr>
                <w:sz w:val="20"/>
                <w:szCs w:val="20"/>
                <w:lang w:val="en-PH"/>
              </w:rPr>
            </w:pPr>
            <w:r w:rsidRPr="008A3CCC">
              <w:rPr>
                <w:sz w:val="20"/>
                <w:szCs w:val="20"/>
                <w:lang w:val="en-PH"/>
              </w:rPr>
              <w:t>4.2.3</w:t>
            </w:r>
          </w:p>
        </w:tc>
        <w:tc>
          <w:tcPr>
            <w:tcW w:w="7779" w:type="dxa"/>
            <w:gridSpan w:val="7"/>
            <w:tcBorders>
              <w:top w:val="single" w:sz="4" w:space="0" w:color="auto"/>
              <w:left w:val="single" w:sz="4" w:space="0" w:color="auto"/>
              <w:bottom w:val="single" w:sz="4" w:space="0" w:color="auto"/>
              <w:right w:val="single" w:sz="4" w:space="0" w:color="auto"/>
            </w:tcBorders>
            <w:hideMark/>
          </w:tcPr>
          <w:p w14:paraId="3A01CBFF" w14:textId="77777777" w:rsidR="00621D13" w:rsidRPr="008A3CCC" w:rsidRDefault="00621D13" w:rsidP="00F957D5">
            <w:pPr>
              <w:widowControl w:val="0"/>
              <w:rPr>
                <w:sz w:val="20"/>
                <w:szCs w:val="20"/>
                <w:lang w:val="en-PH"/>
              </w:rPr>
            </w:pPr>
            <w:r w:rsidRPr="008A3CCC">
              <w:rPr>
                <w:sz w:val="20"/>
                <w:szCs w:val="20"/>
                <w:lang w:val="en-PH"/>
              </w:rPr>
              <w:t xml:space="preserve">Remaining eligible consumption for HCFC-123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71FBC296" w14:textId="77777777" w:rsidR="00621D13" w:rsidRPr="008A3CCC" w:rsidRDefault="00621D13" w:rsidP="00F957D5">
            <w:pPr>
              <w:widowControl w:val="0"/>
              <w:jc w:val="right"/>
              <w:rPr>
                <w:sz w:val="20"/>
                <w:szCs w:val="20"/>
                <w:lang w:val="en-PH"/>
              </w:rPr>
            </w:pPr>
            <w:r w:rsidRPr="008A3CCC">
              <w:rPr>
                <w:sz w:val="20"/>
                <w:szCs w:val="20"/>
                <w:lang w:val="en-PH"/>
              </w:rPr>
              <w:t>1.70</w:t>
            </w:r>
          </w:p>
        </w:tc>
      </w:tr>
      <w:tr w:rsidR="00621D13" w:rsidRPr="00563B49" w14:paraId="30A84D73"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536E609E" w14:textId="77777777" w:rsidR="00621D13" w:rsidRPr="008A3CCC" w:rsidRDefault="00621D13" w:rsidP="00F957D5">
            <w:pPr>
              <w:widowControl w:val="0"/>
              <w:jc w:val="left"/>
              <w:rPr>
                <w:sz w:val="20"/>
                <w:szCs w:val="20"/>
                <w:lang w:val="en-PH"/>
              </w:rPr>
            </w:pPr>
            <w:r w:rsidRPr="008A3CCC">
              <w:rPr>
                <w:sz w:val="20"/>
                <w:szCs w:val="20"/>
                <w:lang w:val="en-PH"/>
              </w:rPr>
              <w:t>4.3.1</w:t>
            </w:r>
          </w:p>
        </w:tc>
        <w:tc>
          <w:tcPr>
            <w:tcW w:w="7779" w:type="dxa"/>
            <w:gridSpan w:val="7"/>
            <w:tcBorders>
              <w:top w:val="single" w:sz="4" w:space="0" w:color="auto"/>
              <w:left w:val="single" w:sz="4" w:space="0" w:color="auto"/>
              <w:bottom w:val="single" w:sz="4" w:space="0" w:color="auto"/>
              <w:right w:val="single" w:sz="4" w:space="0" w:color="auto"/>
            </w:tcBorders>
            <w:hideMark/>
          </w:tcPr>
          <w:p w14:paraId="4C7D75D9" w14:textId="77777777" w:rsidR="00621D13" w:rsidRPr="008A3CCC" w:rsidRDefault="00621D13" w:rsidP="00F957D5">
            <w:pPr>
              <w:widowControl w:val="0"/>
              <w:rPr>
                <w:sz w:val="20"/>
                <w:szCs w:val="20"/>
                <w:lang w:val="en-PH"/>
              </w:rPr>
            </w:pPr>
            <w:r w:rsidRPr="008A3CCC">
              <w:rPr>
                <w:sz w:val="20"/>
                <w:szCs w:val="20"/>
                <w:lang w:val="en-PH"/>
              </w:rPr>
              <w:t xml:space="preserve">Total phase-out of HCFC-141b agreed to be achieved under this Agreement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041EE79E" w14:textId="77777777" w:rsidR="00621D13" w:rsidRPr="008A3CCC" w:rsidRDefault="00621D13" w:rsidP="00F957D5">
            <w:pPr>
              <w:widowControl w:val="0"/>
              <w:jc w:val="right"/>
              <w:rPr>
                <w:sz w:val="20"/>
                <w:szCs w:val="20"/>
                <w:lang w:val="en-PH"/>
              </w:rPr>
            </w:pPr>
            <w:r w:rsidRPr="008A3CCC">
              <w:rPr>
                <w:sz w:val="20"/>
                <w:szCs w:val="20"/>
                <w:lang w:val="en-PH"/>
              </w:rPr>
              <w:t>1.15</w:t>
            </w:r>
          </w:p>
        </w:tc>
      </w:tr>
      <w:tr w:rsidR="00621D13" w:rsidRPr="00563B49" w14:paraId="07730B53"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43AFFF55" w14:textId="77777777" w:rsidR="00621D13" w:rsidRPr="008A3CCC" w:rsidRDefault="00621D13" w:rsidP="00F957D5">
            <w:pPr>
              <w:widowControl w:val="0"/>
              <w:jc w:val="left"/>
              <w:rPr>
                <w:sz w:val="20"/>
                <w:szCs w:val="20"/>
                <w:lang w:val="en-PH"/>
              </w:rPr>
            </w:pPr>
            <w:r w:rsidRPr="008A3CCC">
              <w:rPr>
                <w:sz w:val="20"/>
                <w:szCs w:val="20"/>
                <w:lang w:val="en-PH"/>
              </w:rPr>
              <w:t>4.3.2</w:t>
            </w:r>
          </w:p>
        </w:tc>
        <w:tc>
          <w:tcPr>
            <w:tcW w:w="7779" w:type="dxa"/>
            <w:gridSpan w:val="7"/>
            <w:tcBorders>
              <w:top w:val="single" w:sz="4" w:space="0" w:color="auto"/>
              <w:left w:val="single" w:sz="4" w:space="0" w:color="auto"/>
              <w:bottom w:val="single" w:sz="4" w:space="0" w:color="auto"/>
              <w:right w:val="single" w:sz="4" w:space="0" w:color="auto"/>
            </w:tcBorders>
            <w:hideMark/>
          </w:tcPr>
          <w:p w14:paraId="51E32F74" w14:textId="77777777" w:rsidR="00621D13" w:rsidRPr="008A3CCC" w:rsidRDefault="00621D13" w:rsidP="00F957D5">
            <w:pPr>
              <w:widowControl w:val="0"/>
              <w:rPr>
                <w:sz w:val="20"/>
                <w:szCs w:val="20"/>
                <w:lang w:val="en-PH"/>
              </w:rPr>
            </w:pPr>
            <w:r w:rsidRPr="008A3CCC">
              <w:rPr>
                <w:sz w:val="20"/>
                <w:szCs w:val="20"/>
                <w:lang w:val="en-PH"/>
              </w:rPr>
              <w:t xml:space="preserve">Phase-out of HCFC-141b to be achieved in previously approved projects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3A04B3C" w14:textId="77777777" w:rsidR="00621D13" w:rsidRPr="008A3CCC" w:rsidRDefault="00621D13" w:rsidP="00F957D5">
            <w:pPr>
              <w:widowControl w:val="0"/>
              <w:jc w:val="right"/>
              <w:rPr>
                <w:sz w:val="20"/>
                <w:szCs w:val="20"/>
                <w:lang w:val="en-PH"/>
              </w:rPr>
            </w:pPr>
            <w:r w:rsidRPr="008A3CCC">
              <w:rPr>
                <w:sz w:val="20"/>
                <w:szCs w:val="20"/>
                <w:lang w:val="en-PH"/>
              </w:rPr>
              <w:t>43.00</w:t>
            </w:r>
          </w:p>
        </w:tc>
      </w:tr>
      <w:tr w:rsidR="00621D13" w:rsidRPr="00563B49" w14:paraId="0866560F" w14:textId="77777777" w:rsidTr="00F957D5">
        <w:tc>
          <w:tcPr>
            <w:tcW w:w="625" w:type="dxa"/>
            <w:tcBorders>
              <w:top w:val="single" w:sz="4" w:space="0" w:color="auto"/>
              <w:left w:val="single" w:sz="4" w:space="0" w:color="auto"/>
              <w:bottom w:val="single" w:sz="4" w:space="0" w:color="auto"/>
              <w:right w:val="single" w:sz="4" w:space="0" w:color="auto"/>
            </w:tcBorders>
            <w:noWrap/>
            <w:hideMark/>
          </w:tcPr>
          <w:p w14:paraId="6386306A" w14:textId="77777777" w:rsidR="00621D13" w:rsidRPr="008A3CCC" w:rsidRDefault="00621D13" w:rsidP="00F957D5">
            <w:pPr>
              <w:widowControl w:val="0"/>
              <w:jc w:val="left"/>
              <w:rPr>
                <w:sz w:val="20"/>
                <w:szCs w:val="20"/>
                <w:lang w:val="en-PH"/>
              </w:rPr>
            </w:pPr>
            <w:r w:rsidRPr="008A3CCC">
              <w:rPr>
                <w:sz w:val="20"/>
                <w:szCs w:val="20"/>
                <w:lang w:val="en-PH"/>
              </w:rPr>
              <w:t>4.3.3</w:t>
            </w:r>
          </w:p>
        </w:tc>
        <w:tc>
          <w:tcPr>
            <w:tcW w:w="7779" w:type="dxa"/>
            <w:gridSpan w:val="7"/>
            <w:tcBorders>
              <w:top w:val="single" w:sz="4" w:space="0" w:color="auto"/>
              <w:left w:val="single" w:sz="4" w:space="0" w:color="auto"/>
              <w:bottom w:val="single" w:sz="4" w:space="0" w:color="auto"/>
              <w:right w:val="single" w:sz="4" w:space="0" w:color="auto"/>
            </w:tcBorders>
            <w:hideMark/>
          </w:tcPr>
          <w:p w14:paraId="2DFC345E" w14:textId="77777777" w:rsidR="00621D13" w:rsidRPr="008A3CCC" w:rsidRDefault="00621D13" w:rsidP="00F957D5">
            <w:pPr>
              <w:widowControl w:val="0"/>
              <w:rPr>
                <w:sz w:val="20"/>
                <w:szCs w:val="20"/>
                <w:lang w:val="en-PH"/>
              </w:rPr>
            </w:pPr>
            <w:r w:rsidRPr="008A3CCC">
              <w:rPr>
                <w:sz w:val="20"/>
                <w:szCs w:val="20"/>
                <w:lang w:val="en-PH"/>
              </w:rPr>
              <w:t xml:space="preserve">Remaining eligible consumption for HCFC-141b (ODP </w:t>
            </w:r>
            <w:proofErr w:type="spellStart"/>
            <w:r w:rsidRPr="008A3CCC">
              <w:rPr>
                <w:sz w:val="20"/>
                <w:szCs w:val="20"/>
                <w:lang w:val="en-PH"/>
              </w:rPr>
              <w:t>tonnes</w:t>
            </w:r>
            <w:proofErr w:type="spellEnd"/>
            <w:r w:rsidRPr="008A3CCC">
              <w:rPr>
                <w:sz w:val="20"/>
                <w:szCs w:val="20"/>
                <w:lang w:val="en-PH"/>
              </w:rPr>
              <w:t>)</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3F71B62B" w14:textId="77777777" w:rsidR="00621D13" w:rsidRPr="008A3CCC" w:rsidRDefault="00621D13" w:rsidP="00F957D5">
            <w:pPr>
              <w:widowControl w:val="0"/>
              <w:jc w:val="right"/>
              <w:rPr>
                <w:sz w:val="20"/>
                <w:szCs w:val="20"/>
                <w:lang w:val="en-PH"/>
              </w:rPr>
            </w:pPr>
            <w:r w:rsidRPr="008A3CCC">
              <w:rPr>
                <w:sz w:val="20"/>
                <w:szCs w:val="20"/>
                <w:lang w:val="en-PH"/>
              </w:rPr>
              <w:t>7.70</w:t>
            </w:r>
          </w:p>
        </w:tc>
      </w:tr>
    </w:tbl>
    <w:p w14:paraId="59002709" w14:textId="77777777" w:rsidR="00621D13" w:rsidRPr="009304E2" w:rsidRDefault="00621D13" w:rsidP="00621D13">
      <w:pPr>
        <w:widowControl w:val="0"/>
        <w:rPr>
          <w:sz w:val="20"/>
          <w:lang w:val="en-CA"/>
        </w:rPr>
      </w:pPr>
      <w:r w:rsidRPr="008A3CCC">
        <w:rPr>
          <w:sz w:val="19"/>
          <w:szCs w:val="19"/>
          <w:lang w:val="en-CA"/>
        </w:rPr>
        <w:t>* Revised at the 87</w:t>
      </w:r>
      <w:r w:rsidRPr="008A3CCC">
        <w:rPr>
          <w:sz w:val="19"/>
          <w:szCs w:val="19"/>
          <w:vertAlign w:val="superscript"/>
          <w:lang w:val="en-CA"/>
        </w:rPr>
        <w:t>th</w:t>
      </w:r>
      <w:r w:rsidRPr="008A3CCC">
        <w:rPr>
          <w:sz w:val="19"/>
          <w:szCs w:val="19"/>
          <w:lang w:val="en-CA"/>
        </w:rPr>
        <w:t xml:space="preserve"> meeting following cancellation of the air-conditioning manufacturing sector plan and the associated project management and agency support costs (</w:t>
      </w:r>
      <w:r w:rsidRPr="008A3CCC">
        <w:rPr>
          <w:sz w:val="19"/>
          <w:szCs w:val="19"/>
        </w:rPr>
        <w:t>US $2,073,988 including agency support costs)</w:t>
      </w:r>
      <w:r>
        <w:rPr>
          <w:sz w:val="19"/>
          <w:szCs w:val="19"/>
        </w:rPr>
        <w:t>.</w:t>
      </w:r>
    </w:p>
    <w:p w14:paraId="75E656D6" w14:textId="77777777" w:rsidR="00621D13" w:rsidRPr="00621D13" w:rsidRDefault="00621D13" w:rsidP="008C5479">
      <w:pPr>
        <w:widowControl w:val="0"/>
        <w:tabs>
          <w:tab w:val="left" w:pos="2880"/>
          <w:tab w:val="left" w:pos="5760"/>
        </w:tabs>
        <w:spacing w:after="240"/>
        <w:jc w:val="center"/>
        <w:rPr>
          <w:b/>
          <w:lang w:val="en-CA"/>
        </w:rPr>
      </w:pPr>
    </w:p>
    <w:p w14:paraId="209E5664" w14:textId="77777777" w:rsidR="00621D13" w:rsidRDefault="00621D13" w:rsidP="008C5479">
      <w:pPr>
        <w:widowControl w:val="0"/>
        <w:tabs>
          <w:tab w:val="left" w:pos="2880"/>
          <w:tab w:val="left" w:pos="5760"/>
        </w:tabs>
        <w:spacing w:after="240"/>
        <w:jc w:val="center"/>
        <w:rPr>
          <w:b/>
        </w:rPr>
      </w:pPr>
    </w:p>
    <w:p w14:paraId="7564FD89" w14:textId="77777777" w:rsidR="00621D13" w:rsidRDefault="00621D13" w:rsidP="008C5479">
      <w:pPr>
        <w:widowControl w:val="0"/>
        <w:tabs>
          <w:tab w:val="left" w:pos="2880"/>
          <w:tab w:val="left" w:pos="5760"/>
        </w:tabs>
        <w:spacing w:after="240"/>
        <w:jc w:val="center"/>
        <w:rPr>
          <w:b/>
        </w:rPr>
      </w:pPr>
    </w:p>
    <w:p w14:paraId="3E5F6E5A" w14:textId="77777777" w:rsidR="00621D13" w:rsidRDefault="00621D13" w:rsidP="008C5479">
      <w:pPr>
        <w:widowControl w:val="0"/>
        <w:tabs>
          <w:tab w:val="left" w:pos="2880"/>
          <w:tab w:val="left" w:pos="5760"/>
        </w:tabs>
        <w:spacing w:after="240"/>
        <w:jc w:val="center"/>
        <w:rPr>
          <w:b/>
        </w:rPr>
      </w:pPr>
    </w:p>
    <w:p w14:paraId="6E1936A7" w14:textId="77777777" w:rsidR="00621D13" w:rsidRDefault="00621D13" w:rsidP="008C5479">
      <w:pPr>
        <w:widowControl w:val="0"/>
        <w:tabs>
          <w:tab w:val="left" w:pos="2880"/>
          <w:tab w:val="left" w:pos="5760"/>
        </w:tabs>
        <w:spacing w:after="240"/>
        <w:jc w:val="center"/>
        <w:rPr>
          <w:b/>
        </w:rPr>
        <w:sectPr w:rsidR="00621D13" w:rsidSect="0070646B">
          <w:headerReference w:type="even" r:id="rId28"/>
          <w:headerReference w:type="default" r:id="rId29"/>
          <w:headerReference w:type="first" r:id="rId30"/>
          <w:pgSz w:w="12240" w:h="15840" w:code="1"/>
          <w:pgMar w:top="720" w:right="1440" w:bottom="864" w:left="1440" w:header="720" w:footer="475" w:gutter="0"/>
          <w:pgNumType w:start="1"/>
          <w:cols w:space="720"/>
          <w:titlePg/>
        </w:sectPr>
      </w:pPr>
    </w:p>
    <w:p w14:paraId="58529B34" w14:textId="77777777" w:rsidR="008C5479" w:rsidRPr="007208CF" w:rsidRDefault="008C5479" w:rsidP="008C5479">
      <w:pPr>
        <w:widowControl w:val="0"/>
        <w:tabs>
          <w:tab w:val="left" w:pos="2880"/>
          <w:tab w:val="left" w:pos="5760"/>
        </w:tabs>
        <w:spacing w:after="240"/>
        <w:jc w:val="center"/>
        <w:rPr>
          <w:b/>
        </w:rPr>
      </w:pPr>
      <w:r w:rsidRPr="007208CF">
        <w:rPr>
          <w:b/>
        </w:rPr>
        <w:lastRenderedPageBreak/>
        <w:t xml:space="preserve">Annex </w:t>
      </w:r>
      <w:r>
        <w:rPr>
          <w:b/>
        </w:rPr>
        <w:t>V</w:t>
      </w:r>
    </w:p>
    <w:p w14:paraId="74190183" w14:textId="77777777" w:rsidR="008C5479" w:rsidRDefault="008C5479" w:rsidP="008C5479">
      <w:pPr>
        <w:jc w:val="center"/>
        <w:rPr>
          <w:b/>
        </w:rPr>
      </w:pPr>
      <w:r w:rsidRPr="00AE6A40">
        <w:rPr>
          <w:b/>
        </w:rPr>
        <w:t xml:space="preserve">TEXT TO BE INCLUDED IN THE </w:t>
      </w:r>
      <w:r w:rsidRPr="00606BD8">
        <w:rPr>
          <w:b/>
          <w:u w:val="single"/>
        </w:rPr>
        <w:t>REVISED UPDATED</w:t>
      </w:r>
      <w:r w:rsidRPr="00AE6A40">
        <w:rPr>
          <w:b/>
        </w:rPr>
        <w:t xml:space="preserve"> AGREEMENT BETWEEN THE GOVERNMENT OF </w:t>
      </w:r>
      <w:r>
        <w:rPr>
          <w:b/>
        </w:rPr>
        <w:t>ECUADOR</w:t>
      </w:r>
      <w:r w:rsidRPr="00AE6A40">
        <w:rPr>
          <w:b/>
        </w:rPr>
        <w:t xml:space="preserve"> AND THE EXECUTIVE COMMITTEE OF THE MULTILATERAL FUND FOR THE REDUCTION IN CONSUMPTION OF HYDROCHLOROFLUOROCARBONS</w:t>
      </w:r>
    </w:p>
    <w:p w14:paraId="7E5C06CE" w14:textId="77777777" w:rsidR="008C5479" w:rsidRPr="00AE6A40" w:rsidRDefault="008C5479" w:rsidP="008C5479">
      <w:pPr>
        <w:jc w:val="center"/>
        <w:rPr>
          <w:b/>
        </w:rPr>
      </w:pPr>
    </w:p>
    <w:p w14:paraId="2B7E15BB" w14:textId="77777777" w:rsidR="008C5479" w:rsidRDefault="008C5479" w:rsidP="008C5479">
      <w:pPr>
        <w:jc w:val="center"/>
      </w:pPr>
      <w:r>
        <w:t>(Relevant changes are in bold font for ease of reference)</w:t>
      </w:r>
    </w:p>
    <w:p w14:paraId="1F147B61" w14:textId="77777777" w:rsidR="008C5479" w:rsidRDefault="008C5479" w:rsidP="008C5479">
      <w:pPr>
        <w:jc w:val="center"/>
      </w:pPr>
    </w:p>
    <w:p w14:paraId="6FCE06E9" w14:textId="77777777" w:rsidR="008C5479" w:rsidRPr="00606BD8" w:rsidRDefault="008C5479" w:rsidP="008C5479">
      <w:r w:rsidRPr="00606BD8">
        <w:t>16.</w:t>
      </w:r>
      <w:r w:rsidRPr="00606BD8">
        <w:tab/>
        <w:t xml:space="preserve">This </w:t>
      </w:r>
      <w:r w:rsidRPr="00606BD8">
        <w:rPr>
          <w:b/>
        </w:rPr>
        <w:t xml:space="preserve">revised </w:t>
      </w:r>
      <w:r w:rsidRPr="00606BD8">
        <w:t xml:space="preserve">Agreement supersedes the updated Agreement reached between the Government of Ecuador and the Executive Committee at the </w:t>
      </w:r>
      <w:r w:rsidRPr="00606BD8">
        <w:rPr>
          <w:b/>
        </w:rPr>
        <w:t>81</w:t>
      </w:r>
      <w:r w:rsidRPr="00606BD8">
        <w:rPr>
          <w:b/>
          <w:vertAlign w:val="superscript"/>
        </w:rPr>
        <w:t>st</w:t>
      </w:r>
      <w:r w:rsidRPr="00606BD8">
        <w:t xml:space="preserve"> meeting of the Executive Committee.</w:t>
      </w:r>
    </w:p>
    <w:p w14:paraId="4DEC0E35" w14:textId="77777777" w:rsidR="008C5479" w:rsidRPr="009B0D30" w:rsidRDefault="008C5479" w:rsidP="008C5479"/>
    <w:p w14:paraId="73E9E0F1" w14:textId="77777777" w:rsidR="008C5479" w:rsidRPr="00606BD8" w:rsidRDefault="008C5479" w:rsidP="008C5479">
      <w:pPr>
        <w:keepNext/>
        <w:keepLines/>
        <w:suppressAutoHyphens/>
        <w:rPr>
          <w:rFonts w:eastAsia="SimSun"/>
          <w:b/>
          <w:lang w:eastAsia="ar-SA"/>
        </w:rPr>
      </w:pPr>
      <w:r w:rsidRPr="00606BD8">
        <w:rPr>
          <w:rFonts w:eastAsia="SimSun"/>
          <w:b/>
          <w:lang w:eastAsia="ar-SA"/>
        </w:rPr>
        <w:t>APPENDIX 2-A: THE TARGETS, AND FUNDING</w:t>
      </w:r>
    </w:p>
    <w:tbl>
      <w:tblPr>
        <w:tblW w:w="5265" w:type="pct"/>
        <w:tblInd w:w="-5" w:type="dxa"/>
        <w:tblLook w:val="00A0" w:firstRow="1" w:lastRow="0" w:firstColumn="1" w:lastColumn="0" w:noHBand="0" w:noVBand="0"/>
      </w:tblPr>
      <w:tblGrid>
        <w:gridCol w:w="525"/>
        <w:gridCol w:w="1819"/>
        <w:gridCol w:w="862"/>
        <w:gridCol w:w="502"/>
        <w:gridCol w:w="727"/>
        <w:gridCol w:w="547"/>
        <w:gridCol w:w="547"/>
        <w:gridCol w:w="727"/>
        <w:gridCol w:w="547"/>
        <w:gridCol w:w="817"/>
        <w:gridCol w:w="547"/>
        <w:gridCol w:w="817"/>
        <w:gridCol w:w="862"/>
      </w:tblGrid>
      <w:tr w:rsidR="008C5479" w:rsidRPr="00606BD8" w14:paraId="752CE2A6"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tcMar>
              <w:left w:w="57" w:type="dxa"/>
              <w:right w:w="28" w:type="dxa"/>
            </w:tcMar>
          </w:tcPr>
          <w:p w14:paraId="6E6767A6" w14:textId="77777777" w:rsidR="008C5479" w:rsidRPr="004F4229" w:rsidRDefault="008C5479" w:rsidP="00057085">
            <w:pPr>
              <w:keepNext/>
              <w:keepLines/>
              <w:jc w:val="left"/>
              <w:rPr>
                <w:rFonts w:eastAsia="SimSun"/>
                <w:color w:val="000000"/>
                <w:sz w:val="18"/>
                <w:szCs w:val="16"/>
                <w:lang w:eastAsia="en-CA"/>
              </w:rPr>
            </w:pPr>
          </w:p>
        </w:tc>
        <w:tc>
          <w:tcPr>
            <w:tcW w:w="1173" w:type="pct"/>
            <w:tcBorders>
              <w:top w:val="single" w:sz="4" w:space="0" w:color="auto"/>
              <w:left w:val="nil"/>
              <w:bottom w:val="single" w:sz="4" w:space="0" w:color="auto"/>
              <w:right w:val="single" w:sz="4" w:space="0" w:color="auto"/>
            </w:tcBorders>
            <w:tcMar>
              <w:left w:w="57" w:type="dxa"/>
              <w:right w:w="28" w:type="dxa"/>
            </w:tcMar>
          </w:tcPr>
          <w:p w14:paraId="10002CF1" w14:textId="77777777" w:rsidR="008C5479" w:rsidRPr="004F4229" w:rsidRDefault="008C5479" w:rsidP="00057085">
            <w:pPr>
              <w:keepNext/>
              <w:keepLines/>
              <w:suppressAutoHyphens/>
              <w:jc w:val="left"/>
              <w:rPr>
                <w:rFonts w:eastAsia="SimSun"/>
                <w:b/>
                <w:color w:val="000000"/>
                <w:sz w:val="18"/>
                <w:szCs w:val="16"/>
                <w:lang w:eastAsia="en-CA"/>
              </w:rPr>
            </w:pPr>
          </w:p>
        </w:tc>
        <w:tc>
          <w:tcPr>
            <w:tcW w:w="188" w:type="pct"/>
            <w:tcBorders>
              <w:top w:val="single" w:sz="4" w:space="0" w:color="auto"/>
              <w:left w:val="nil"/>
              <w:bottom w:val="single" w:sz="4" w:space="0" w:color="auto"/>
              <w:right w:val="single" w:sz="4" w:space="0" w:color="auto"/>
            </w:tcBorders>
            <w:tcMar>
              <w:left w:w="57" w:type="dxa"/>
              <w:right w:w="85" w:type="dxa"/>
            </w:tcMar>
          </w:tcPr>
          <w:p w14:paraId="71C8C0BC" w14:textId="77777777" w:rsidR="008C5479" w:rsidRPr="004F4229" w:rsidRDefault="008C5479" w:rsidP="00057085">
            <w:pPr>
              <w:keepNext/>
              <w:keepLines/>
              <w:suppressAutoHyphens/>
              <w:jc w:val="center"/>
              <w:rPr>
                <w:rFonts w:eastAsia="SimSun"/>
                <w:b/>
                <w:color w:val="000000"/>
                <w:sz w:val="18"/>
                <w:szCs w:val="16"/>
                <w:lang w:eastAsia="en-CA"/>
              </w:rPr>
            </w:pPr>
            <w:r w:rsidRPr="004F4229">
              <w:rPr>
                <w:rFonts w:eastAsia="SimSun"/>
                <w:b/>
                <w:color w:val="000000"/>
                <w:sz w:val="18"/>
                <w:szCs w:val="16"/>
                <w:lang w:eastAsia="en-CA"/>
              </w:rPr>
              <w:t>2011</w:t>
            </w:r>
          </w:p>
        </w:tc>
        <w:tc>
          <w:tcPr>
            <w:tcW w:w="255" w:type="pct"/>
            <w:tcBorders>
              <w:top w:val="single" w:sz="4" w:space="0" w:color="auto"/>
              <w:left w:val="nil"/>
              <w:bottom w:val="single" w:sz="4" w:space="0" w:color="auto"/>
              <w:right w:val="single" w:sz="4" w:space="0" w:color="auto"/>
            </w:tcBorders>
            <w:tcMar>
              <w:left w:w="57" w:type="dxa"/>
              <w:right w:w="85" w:type="dxa"/>
            </w:tcMar>
          </w:tcPr>
          <w:p w14:paraId="3D96EC6D" w14:textId="77777777" w:rsidR="008C5479" w:rsidRPr="004F4229" w:rsidRDefault="008C5479" w:rsidP="00057085">
            <w:pPr>
              <w:keepNext/>
              <w:keepLines/>
              <w:suppressAutoHyphens/>
              <w:jc w:val="center"/>
              <w:rPr>
                <w:rFonts w:eastAsia="SimSun"/>
                <w:b/>
                <w:color w:val="000000"/>
                <w:sz w:val="18"/>
                <w:szCs w:val="16"/>
                <w:lang w:eastAsia="en-CA"/>
              </w:rPr>
            </w:pPr>
            <w:r w:rsidRPr="004F4229">
              <w:rPr>
                <w:rFonts w:eastAsia="SimSun"/>
                <w:b/>
                <w:color w:val="000000"/>
                <w:sz w:val="18"/>
                <w:szCs w:val="16"/>
                <w:lang w:eastAsia="en-CA"/>
              </w:rPr>
              <w:t>2012</w:t>
            </w:r>
          </w:p>
        </w:tc>
        <w:tc>
          <w:tcPr>
            <w:tcW w:w="369" w:type="pct"/>
            <w:tcBorders>
              <w:top w:val="single" w:sz="4" w:space="0" w:color="auto"/>
              <w:left w:val="nil"/>
              <w:bottom w:val="single" w:sz="4" w:space="0" w:color="auto"/>
              <w:right w:val="single" w:sz="4" w:space="0" w:color="auto"/>
            </w:tcBorders>
            <w:tcMar>
              <w:left w:w="57" w:type="dxa"/>
              <w:right w:w="85" w:type="dxa"/>
            </w:tcMar>
          </w:tcPr>
          <w:p w14:paraId="61F8DC73" w14:textId="77777777" w:rsidR="008C5479" w:rsidRPr="004F4229" w:rsidRDefault="008C5479" w:rsidP="00057085">
            <w:pPr>
              <w:keepNext/>
              <w:keepLines/>
              <w:suppressAutoHyphens/>
              <w:jc w:val="center"/>
              <w:rPr>
                <w:rFonts w:eastAsia="SimSun"/>
                <w:b/>
                <w:color w:val="000000"/>
                <w:sz w:val="18"/>
                <w:szCs w:val="16"/>
                <w:lang w:val="en-US" w:eastAsia="en-CA"/>
              </w:rPr>
            </w:pPr>
            <w:r w:rsidRPr="004F4229">
              <w:rPr>
                <w:rFonts w:eastAsia="SimSun"/>
                <w:b/>
                <w:color w:val="000000"/>
                <w:sz w:val="18"/>
                <w:szCs w:val="16"/>
                <w:lang w:val="en-US" w:eastAsia="en-CA"/>
              </w:rPr>
              <w:t>2013</w:t>
            </w:r>
          </w:p>
        </w:tc>
        <w:tc>
          <w:tcPr>
            <w:tcW w:w="278" w:type="pct"/>
            <w:tcBorders>
              <w:top w:val="single" w:sz="4" w:space="0" w:color="auto"/>
              <w:left w:val="nil"/>
              <w:bottom w:val="single" w:sz="4" w:space="0" w:color="auto"/>
              <w:right w:val="single" w:sz="4" w:space="0" w:color="auto"/>
            </w:tcBorders>
            <w:tcMar>
              <w:left w:w="57" w:type="dxa"/>
              <w:right w:w="85" w:type="dxa"/>
            </w:tcMar>
          </w:tcPr>
          <w:p w14:paraId="232E133A" w14:textId="77777777" w:rsidR="008C5479" w:rsidRPr="004F4229" w:rsidRDefault="008C5479" w:rsidP="00057085">
            <w:pPr>
              <w:keepNext/>
              <w:keepLines/>
              <w:suppressAutoHyphens/>
              <w:jc w:val="center"/>
              <w:rPr>
                <w:rFonts w:eastAsia="SimSun"/>
                <w:b/>
                <w:color w:val="000000"/>
                <w:sz w:val="18"/>
                <w:szCs w:val="16"/>
                <w:lang w:eastAsia="en-CA"/>
              </w:rPr>
            </w:pPr>
            <w:r w:rsidRPr="004F4229">
              <w:rPr>
                <w:rFonts w:eastAsia="SimSun"/>
                <w:b/>
                <w:color w:val="000000"/>
                <w:sz w:val="18"/>
                <w:szCs w:val="16"/>
                <w:lang w:eastAsia="en-CA"/>
              </w:rPr>
              <w:t>2014</w:t>
            </w:r>
          </w:p>
        </w:tc>
        <w:tc>
          <w:tcPr>
            <w:tcW w:w="278" w:type="pct"/>
            <w:tcBorders>
              <w:top w:val="single" w:sz="4" w:space="0" w:color="auto"/>
              <w:left w:val="nil"/>
              <w:bottom w:val="single" w:sz="4" w:space="0" w:color="auto"/>
              <w:right w:val="single" w:sz="4" w:space="0" w:color="auto"/>
            </w:tcBorders>
            <w:tcMar>
              <w:left w:w="57" w:type="dxa"/>
              <w:right w:w="85" w:type="dxa"/>
            </w:tcMar>
          </w:tcPr>
          <w:p w14:paraId="39A45DAE" w14:textId="77777777" w:rsidR="008C5479" w:rsidRPr="004F4229" w:rsidRDefault="008C5479" w:rsidP="00057085">
            <w:pPr>
              <w:keepNext/>
              <w:keepLines/>
              <w:suppressAutoHyphens/>
              <w:jc w:val="center"/>
              <w:rPr>
                <w:rFonts w:eastAsia="SimSun"/>
                <w:b/>
                <w:color w:val="000000"/>
                <w:sz w:val="18"/>
                <w:szCs w:val="16"/>
                <w:lang w:val="en-US" w:eastAsia="en-CA"/>
              </w:rPr>
            </w:pPr>
            <w:r w:rsidRPr="004F4229">
              <w:rPr>
                <w:rFonts w:eastAsia="SimSun"/>
                <w:b/>
                <w:color w:val="000000"/>
                <w:sz w:val="18"/>
                <w:szCs w:val="16"/>
                <w:lang w:val="en-US" w:eastAsia="en-CA"/>
              </w:rPr>
              <w:t>2015</w:t>
            </w:r>
          </w:p>
        </w:tc>
        <w:tc>
          <w:tcPr>
            <w:tcW w:w="369" w:type="pct"/>
            <w:tcBorders>
              <w:top w:val="single" w:sz="4" w:space="0" w:color="auto"/>
              <w:left w:val="nil"/>
              <w:bottom w:val="single" w:sz="4" w:space="0" w:color="auto"/>
              <w:right w:val="single" w:sz="4" w:space="0" w:color="auto"/>
            </w:tcBorders>
            <w:tcMar>
              <w:left w:w="57" w:type="dxa"/>
              <w:right w:w="85" w:type="dxa"/>
            </w:tcMar>
          </w:tcPr>
          <w:p w14:paraId="71AAAC3B" w14:textId="77777777" w:rsidR="008C5479" w:rsidRPr="004F4229" w:rsidRDefault="008C5479" w:rsidP="00057085">
            <w:pPr>
              <w:keepNext/>
              <w:keepLines/>
              <w:suppressAutoHyphens/>
              <w:jc w:val="center"/>
              <w:rPr>
                <w:rFonts w:eastAsia="SimSun"/>
                <w:b/>
                <w:color w:val="000000"/>
                <w:sz w:val="18"/>
                <w:szCs w:val="16"/>
                <w:lang w:val="en-US" w:eastAsia="en-CA"/>
              </w:rPr>
            </w:pPr>
            <w:r w:rsidRPr="004F4229">
              <w:rPr>
                <w:rFonts w:eastAsia="SimSun"/>
                <w:b/>
                <w:color w:val="000000"/>
                <w:sz w:val="18"/>
                <w:szCs w:val="16"/>
                <w:lang w:val="en-US" w:eastAsia="en-CA"/>
              </w:rPr>
              <w:t>2016</w:t>
            </w:r>
          </w:p>
        </w:tc>
        <w:tc>
          <w:tcPr>
            <w:tcW w:w="278" w:type="pct"/>
            <w:tcBorders>
              <w:top w:val="single" w:sz="4" w:space="0" w:color="auto"/>
              <w:left w:val="nil"/>
              <w:bottom w:val="single" w:sz="4" w:space="0" w:color="auto"/>
              <w:right w:val="single" w:sz="4" w:space="0" w:color="auto"/>
            </w:tcBorders>
            <w:tcMar>
              <w:left w:w="57" w:type="dxa"/>
              <w:right w:w="85" w:type="dxa"/>
            </w:tcMar>
          </w:tcPr>
          <w:p w14:paraId="3B9E5356" w14:textId="77777777" w:rsidR="008C5479" w:rsidRPr="004F4229" w:rsidRDefault="008C5479" w:rsidP="00057085">
            <w:pPr>
              <w:keepNext/>
              <w:keepLines/>
              <w:suppressAutoHyphens/>
              <w:jc w:val="center"/>
              <w:rPr>
                <w:rFonts w:eastAsia="SimSun"/>
                <w:b/>
                <w:color w:val="000000"/>
                <w:sz w:val="18"/>
                <w:szCs w:val="16"/>
                <w:lang w:eastAsia="en-CA"/>
              </w:rPr>
            </w:pPr>
            <w:r w:rsidRPr="004F4229">
              <w:rPr>
                <w:rFonts w:eastAsia="SimSun"/>
                <w:b/>
                <w:color w:val="000000"/>
                <w:sz w:val="18"/>
                <w:szCs w:val="16"/>
                <w:lang w:eastAsia="en-CA"/>
              </w:rPr>
              <w:t>2017</w:t>
            </w:r>
          </w:p>
        </w:tc>
        <w:tc>
          <w:tcPr>
            <w:tcW w:w="415" w:type="pct"/>
            <w:tcBorders>
              <w:top w:val="single" w:sz="4" w:space="0" w:color="auto"/>
              <w:left w:val="nil"/>
              <w:bottom w:val="single" w:sz="4" w:space="0" w:color="auto"/>
              <w:right w:val="single" w:sz="4" w:space="0" w:color="auto"/>
            </w:tcBorders>
            <w:tcMar>
              <w:left w:w="57" w:type="dxa"/>
              <w:right w:w="85" w:type="dxa"/>
            </w:tcMar>
          </w:tcPr>
          <w:p w14:paraId="43EFE67B" w14:textId="77777777" w:rsidR="008C5479" w:rsidRPr="004F4229" w:rsidRDefault="008C5479" w:rsidP="00057085">
            <w:pPr>
              <w:keepNext/>
              <w:keepLines/>
              <w:suppressAutoHyphens/>
              <w:jc w:val="center"/>
              <w:rPr>
                <w:rFonts w:eastAsia="SimSun"/>
                <w:b/>
                <w:color w:val="000000"/>
                <w:sz w:val="18"/>
                <w:szCs w:val="16"/>
                <w:lang w:val="en-US" w:eastAsia="en-CA"/>
              </w:rPr>
            </w:pPr>
            <w:r w:rsidRPr="004F4229">
              <w:rPr>
                <w:rFonts w:eastAsia="SimSun"/>
                <w:b/>
                <w:color w:val="000000"/>
                <w:sz w:val="18"/>
                <w:szCs w:val="16"/>
                <w:lang w:val="en-US" w:eastAsia="en-CA"/>
              </w:rPr>
              <w:t>2018</w:t>
            </w:r>
          </w:p>
        </w:tc>
        <w:tc>
          <w:tcPr>
            <w:tcW w:w="278" w:type="pct"/>
            <w:tcBorders>
              <w:top w:val="single" w:sz="4" w:space="0" w:color="auto"/>
              <w:left w:val="nil"/>
              <w:bottom w:val="single" w:sz="4" w:space="0" w:color="auto"/>
              <w:right w:val="single" w:sz="4" w:space="0" w:color="auto"/>
            </w:tcBorders>
            <w:tcMar>
              <w:left w:w="57" w:type="dxa"/>
              <w:right w:w="85" w:type="dxa"/>
            </w:tcMar>
          </w:tcPr>
          <w:p w14:paraId="6569C729" w14:textId="77777777" w:rsidR="008C5479" w:rsidRPr="004F4229" w:rsidRDefault="008C5479" w:rsidP="00057085">
            <w:pPr>
              <w:keepNext/>
              <w:keepLines/>
              <w:suppressAutoHyphens/>
              <w:jc w:val="center"/>
              <w:rPr>
                <w:rFonts w:eastAsia="SimSun"/>
                <w:b/>
                <w:color w:val="000000"/>
                <w:sz w:val="18"/>
                <w:szCs w:val="16"/>
                <w:lang w:eastAsia="en-CA"/>
              </w:rPr>
            </w:pPr>
            <w:r w:rsidRPr="004F4229">
              <w:rPr>
                <w:rFonts w:eastAsia="SimSun"/>
                <w:b/>
                <w:color w:val="000000"/>
                <w:sz w:val="18"/>
                <w:szCs w:val="16"/>
                <w:lang w:eastAsia="en-CA"/>
              </w:rPr>
              <w:t>2019</w:t>
            </w:r>
          </w:p>
        </w:tc>
        <w:tc>
          <w:tcPr>
            <w:tcW w:w="415" w:type="pct"/>
            <w:tcBorders>
              <w:top w:val="single" w:sz="4" w:space="0" w:color="auto"/>
              <w:left w:val="nil"/>
              <w:bottom w:val="single" w:sz="4" w:space="0" w:color="auto"/>
              <w:right w:val="single" w:sz="4" w:space="0" w:color="auto"/>
            </w:tcBorders>
            <w:tcMar>
              <w:left w:w="57" w:type="dxa"/>
              <w:right w:w="85" w:type="dxa"/>
            </w:tcMar>
          </w:tcPr>
          <w:p w14:paraId="260A5EDE" w14:textId="77777777" w:rsidR="008C5479" w:rsidRPr="004F4229" w:rsidRDefault="008C5479" w:rsidP="00057085">
            <w:pPr>
              <w:keepNext/>
              <w:keepLines/>
              <w:suppressAutoHyphens/>
              <w:jc w:val="center"/>
              <w:rPr>
                <w:rFonts w:eastAsia="SimSun"/>
                <w:b/>
                <w:color w:val="000000"/>
                <w:sz w:val="18"/>
                <w:szCs w:val="16"/>
                <w:lang w:val="es-MX" w:eastAsia="en-CA"/>
              </w:rPr>
            </w:pPr>
            <w:r w:rsidRPr="004F4229">
              <w:rPr>
                <w:rFonts w:eastAsia="SimSun"/>
                <w:b/>
                <w:color w:val="000000"/>
                <w:sz w:val="18"/>
                <w:szCs w:val="16"/>
                <w:lang w:val="es-MX" w:eastAsia="en-CA"/>
              </w:rPr>
              <w:t>2020</w:t>
            </w:r>
          </w:p>
        </w:tc>
        <w:tc>
          <w:tcPr>
            <w:tcW w:w="438" w:type="pct"/>
            <w:tcBorders>
              <w:top w:val="single" w:sz="4" w:space="0" w:color="auto"/>
              <w:left w:val="nil"/>
              <w:bottom w:val="single" w:sz="4" w:space="0" w:color="auto"/>
              <w:right w:val="single" w:sz="4" w:space="0" w:color="auto"/>
            </w:tcBorders>
            <w:tcMar>
              <w:left w:w="57" w:type="dxa"/>
              <w:right w:w="85" w:type="dxa"/>
            </w:tcMar>
          </w:tcPr>
          <w:p w14:paraId="76E61E7F" w14:textId="77777777" w:rsidR="008C5479" w:rsidRPr="004F4229" w:rsidRDefault="008C5479" w:rsidP="00057085">
            <w:pPr>
              <w:keepNext/>
              <w:keepLines/>
              <w:suppressAutoHyphens/>
              <w:jc w:val="center"/>
              <w:rPr>
                <w:rFonts w:eastAsia="SimSun"/>
                <w:b/>
                <w:color w:val="000000"/>
                <w:sz w:val="18"/>
                <w:szCs w:val="16"/>
                <w:lang w:eastAsia="en-CA"/>
              </w:rPr>
            </w:pPr>
            <w:r w:rsidRPr="004F4229">
              <w:rPr>
                <w:rFonts w:eastAsia="SimSun"/>
                <w:b/>
                <w:color w:val="000000"/>
                <w:sz w:val="18"/>
                <w:szCs w:val="16"/>
                <w:lang w:eastAsia="en-CA"/>
              </w:rPr>
              <w:t>Total</w:t>
            </w:r>
          </w:p>
        </w:tc>
      </w:tr>
      <w:tr w:rsidR="008C5479" w:rsidRPr="00606BD8" w14:paraId="4EDD5430" w14:textId="77777777" w:rsidTr="00057085">
        <w:trPr>
          <w:trHeight w:val="568"/>
        </w:trPr>
        <w:tc>
          <w:tcPr>
            <w:tcW w:w="267" w:type="pct"/>
            <w:tcBorders>
              <w:top w:val="nil"/>
              <w:left w:val="single" w:sz="4" w:space="0" w:color="auto"/>
              <w:bottom w:val="single" w:sz="4" w:space="0" w:color="auto"/>
              <w:right w:val="single" w:sz="4" w:space="0" w:color="auto"/>
            </w:tcBorders>
            <w:tcMar>
              <w:left w:w="57" w:type="dxa"/>
              <w:right w:w="28" w:type="dxa"/>
            </w:tcMar>
          </w:tcPr>
          <w:p w14:paraId="55FFE587"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1.1</w:t>
            </w:r>
          </w:p>
        </w:tc>
        <w:tc>
          <w:tcPr>
            <w:tcW w:w="1173" w:type="pct"/>
            <w:tcBorders>
              <w:top w:val="nil"/>
              <w:left w:val="nil"/>
              <w:bottom w:val="single" w:sz="4" w:space="0" w:color="auto"/>
              <w:right w:val="single" w:sz="4" w:space="0" w:color="auto"/>
            </w:tcBorders>
            <w:tcMar>
              <w:left w:w="57" w:type="dxa"/>
              <w:right w:w="28" w:type="dxa"/>
            </w:tcMar>
          </w:tcPr>
          <w:p w14:paraId="5515432F"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Montreal Protocol reduction schedule of Annex C, Group I substances (ODP tonnes)</w:t>
            </w:r>
          </w:p>
        </w:tc>
        <w:tc>
          <w:tcPr>
            <w:tcW w:w="188" w:type="pct"/>
            <w:tcBorders>
              <w:top w:val="nil"/>
              <w:left w:val="nil"/>
              <w:bottom w:val="single" w:sz="4" w:space="0" w:color="auto"/>
              <w:right w:val="single" w:sz="4" w:space="0" w:color="auto"/>
            </w:tcBorders>
            <w:tcMar>
              <w:left w:w="57" w:type="dxa"/>
              <w:right w:w="85" w:type="dxa"/>
            </w:tcMar>
          </w:tcPr>
          <w:p w14:paraId="2BBF456E" w14:textId="77777777" w:rsidR="008C5479" w:rsidRPr="004F4229" w:rsidRDefault="008C5479" w:rsidP="00057085">
            <w:pPr>
              <w:keepNext/>
              <w:keepLines/>
              <w:suppressAutoHyphens/>
              <w:jc w:val="center"/>
              <w:rPr>
                <w:rFonts w:eastAsia="SimSun"/>
                <w:color w:val="000000"/>
                <w:sz w:val="18"/>
                <w:szCs w:val="16"/>
                <w:lang w:eastAsia="en-CA"/>
              </w:rPr>
            </w:pPr>
            <w:r w:rsidRPr="004F4229">
              <w:rPr>
                <w:rFonts w:eastAsia="SimSun"/>
                <w:color w:val="000000"/>
                <w:sz w:val="18"/>
                <w:szCs w:val="16"/>
                <w:lang w:eastAsia="en-CA"/>
              </w:rPr>
              <w:t>n/a</w:t>
            </w:r>
          </w:p>
        </w:tc>
        <w:tc>
          <w:tcPr>
            <w:tcW w:w="255" w:type="pct"/>
            <w:tcBorders>
              <w:top w:val="nil"/>
              <w:left w:val="nil"/>
              <w:bottom w:val="single" w:sz="4" w:space="0" w:color="auto"/>
              <w:right w:val="single" w:sz="4" w:space="0" w:color="auto"/>
            </w:tcBorders>
            <w:tcMar>
              <w:left w:w="57" w:type="dxa"/>
              <w:right w:w="85" w:type="dxa"/>
            </w:tcMar>
          </w:tcPr>
          <w:p w14:paraId="63D76141" w14:textId="77777777" w:rsidR="008C5479" w:rsidRPr="004F4229" w:rsidRDefault="008C5479" w:rsidP="00057085">
            <w:pPr>
              <w:keepNext/>
              <w:keepLines/>
              <w:suppressAutoHyphens/>
              <w:jc w:val="center"/>
              <w:rPr>
                <w:rFonts w:eastAsia="SimSun"/>
                <w:color w:val="000000"/>
                <w:sz w:val="18"/>
                <w:szCs w:val="16"/>
                <w:lang w:eastAsia="en-CA"/>
              </w:rPr>
            </w:pPr>
            <w:r w:rsidRPr="004F4229">
              <w:rPr>
                <w:rFonts w:eastAsia="SimSun"/>
                <w:color w:val="000000"/>
                <w:sz w:val="18"/>
                <w:szCs w:val="16"/>
                <w:lang w:eastAsia="en-CA"/>
              </w:rPr>
              <w:t>n/a</w:t>
            </w:r>
          </w:p>
        </w:tc>
        <w:tc>
          <w:tcPr>
            <w:tcW w:w="369" w:type="pct"/>
            <w:tcBorders>
              <w:top w:val="nil"/>
              <w:left w:val="nil"/>
              <w:bottom w:val="single" w:sz="4" w:space="0" w:color="auto"/>
              <w:right w:val="single" w:sz="4" w:space="0" w:color="auto"/>
            </w:tcBorders>
            <w:tcMar>
              <w:left w:w="57" w:type="dxa"/>
              <w:right w:w="85" w:type="dxa"/>
            </w:tcMar>
          </w:tcPr>
          <w:p w14:paraId="58BAE1B7"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23.49</w:t>
            </w:r>
          </w:p>
        </w:tc>
        <w:tc>
          <w:tcPr>
            <w:tcW w:w="278" w:type="pct"/>
            <w:tcBorders>
              <w:top w:val="nil"/>
              <w:left w:val="nil"/>
              <w:bottom w:val="single" w:sz="4" w:space="0" w:color="auto"/>
              <w:right w:val="single" w:sz="4" w:space="0" w:color="auto"/>
            </w:tcBorders>
            <w:tcMar>
              <w:left w:w="57" w:type="dxa"/>
              <w:right w:w="85" w:type="dxa"/>
            </w:tcMar>
          </w:tcPr>
          <w:p w14:paraId="147200E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23.49</w:t>
            </w:r>
          </w:p>
        </w:tc>
        <w:tc>
          <w:tcPr>
            <w:tcW w:w="278" w:type="pct"/>
            <w:tcBorders>
              <w:top w:val="nil"/>
              <w:left w:val="nil"/>
              <w:bottom w:val="single" w:sz="4" w:space="0" w:color="auto"/>
              <w:right w:val="single" w:sz="4" w:space="0" w:color="auto"/>
            </w:tcBorders>
            <w:tcMar>
              <w:left w:w="57" w:type="dxa"/>
              <w:right w:w="85" w:type="dxa"/>
            </w:tcMar>
          </w:tcPr>
          <w:p w14:paraId="749A3699"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369" w:type="pct"/>
            <w:tcBorders>
              <w:top w:val="nil"/>
              <w:left w:val="nil"/>
              <w:bottom w:val="single" w:sz="4" w:space="0" w:color="auto"/>
              <w:right w:val="single" w:sz="4" w:space="0" w:color="auto"/>
            </w:tcBorders>
            <w:tcMar>
              <w:left w:w="57" w:type="dxa"/>
              <w:right w:w="85" w:type="dxa"/>
            </w:tcMar>
          </w:tcPr>
          <w:p w14:paraId="5B2D75C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278" w:type="pct"/>
            <w:tcBorders>
              <w:top w:val="nil"/>
              <w:left w:val="nil"/>
              <w:bottom w:val="single" w:sz="4" w:space="0" w:color="auto"/>
              <w:right w:val="single" w:sz="4" w:space="0" w:color="auto"/>
            </w:tcBorders>
            <w:tcMar>
              <w:left w:w="57" w:type="dxa"/>
              <w:right w:w="85" w:type="dxa"/>
            </w:tcMar>
          </w:tcPr>
          <w:p w14:paraId="7A0B55C9"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415" w:type="pct"/>
            <w:tcBorders>
              <w:top w:val="nil"/>
              <w:left w:val="nil"/>
              <w:bottom w:val="single" w:sz="4" w:space="0" w:color="auto"/>
              <w:right w:val="single" w:sz="4" w:space="0" w:color="auto"/>
            </w:tcBorders>
            <w:tcMar>
              <w:left w:w="57" w:type="dxa"/>
              <w:right w:w="85" w:type="dxa"/>
            </w:tcMar>
          </w:tcPr>
          <w:p w14:paraId="1FE6F6B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278" w:type="pct"/>
            <w:tcBorders>
              <w:top w:val="nil"/>
              <w:left w:val="nil"/>
              <w:bottom w:val="single" w:sz="4" w:space="0" w:color="auto"/>
              <w:right w:val="single" w:sz="4" w:space="0" w:color="auto"/>
            </w:tcBorders>
            <w:tcMar>
              <w:left w:w="57" w:type="dxa"/>
              <w:right w:w="85" w:type="dxa"/>
            </w:tcMar>
          </w:tcPr>
          <w:p w14:paraId="7A934CC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415" w:type="pct"/>
            <w:tcBorders>
              <w:top w:val="nil"/>
              <w:left w:val="nil"/>
              <w:bottom w:val="single" w:sz="4" w:space="0" w:color="auto"/>
              <w:right w:val="single" w:sz="4" w:space="0" w:color="auto"/>
            </w:tcBorders>
            <w:tcMar>
              <w:left w:w="57" w:type="dxa"/>
              <w:right w:w="85" w:type="dxa"/>
            </w:tcMar>
          </w:tcPr>
          <w:p w14:paraId="7FF64683"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15.27</w:t>
            </w:r>
          </w:p>
        </w:tc>
        <w:tc>
          <w:tcPr>
            <w:tcW w:w="438" w:type="pct"/>
            <w:tcBorders>
              <w:top w:val="nil"/>
              <w:left w:val="nil"/>
              <w:bottom w:val="single" w:sz="4" w:space="0" w:color="auto"/>
              <w:right w:val="single" w:sz="4" w:space="0" w:color="auto"/>
            </w:tcBorders>
            <w:tcMar>
              <w:left w:w="57" w:type="dxa"/>
              <w:right w:w="85" w:type="dxa"/>
            </w:tcMar>
          </w:tcPr>
          <w:p w14:paraId="25FBFB1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61CA5D8D" w14:textId="77777777" w:rsidTr="00057085">
        <w:trPr>
          <w:trHeight w:val="775"/>
        </w:trPr>
        <w:tc>
          <w:tcPr>
            <w:tcW w:w="267" w:type="pct"/>
            <w:tcBorders>
              <w:top w:val="nil"/>
              <w:left w:val="single" w:sz="4" w:space="0" w:color="auto"/>
              <w:bottom w:val="single" w:sz="4" w:space="0" w:color="auto"/>
              <w:right w:val="single" w:sz="4" w:space="0" w:color="auto"/>
            </w:tcBorders>
            <w:tcMar>
              <w:left w:w="57" w:type="dxa"/>
              <w:right w:w="28" w:type="dxa"/>
            </w:tcMar>
          </w:tcPr>
          <w:p w14:paraId="1BF38850"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1.2</w:t>
            </w:r>
          </w:p>
        </w:tc>
        <w:tc>
          <w:tcPr>
            <w:tcW w:w="1173" w:type="pct"/>
            <w:tcBorders>
              <w:top w:val="nil"/>
              <w:left w:val="nil"/>
              <w:bottom w:val="single" w:sz="4" w:space="0" w:color="auto"/>
              <w:right w:val="single" w:sz="4" w:space="0" w:color="auto"/>
            </w:tcBorders>
            <w:tcMar>
              <w:left w:w="57" w:type="dxa"/>
              <w:right w:w="28" w:type="dxa"/>
            </w:tcMar>
          </w:tcPr>
          <w:p w14:paraId="68C1147D"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Maximum allowable total consumption of Annex C Group I substances (ODP tonnes)</w:t>
            </w:r>
          </w:p>
        </w:tc>
        <w:tc>
          <w:tcPr>
            <w:tcW w:w="188" w:type="pct"/>
            <w:tcBorders>
              <w:top w:val="nil"/>
              <w:left w:val="nil"/>
              <w:bottom w:val="single" w:sz="4" w:space="0" w:color="auto"/>
              <w:right w:val="single" w:sz="4" w:space="0" w:color="auto"/>
            </w:tcBorders>
            <w:tcMar>
              <w:left w:w="57" w:type="dxa"/>
              <w:right w:w="85" w:type="dxa"/>
            </w:tcMar>
          </w:tcPr>
          <w:p w14:paraId="523BFECA" w14:textId="77777777" w:rsidR="008C5479" w:rsidRPr="004F4229" w:rsidRDefault="008C5479" w:rsidP="00057085">
            <w:pPr>
              <w:keepNext/>
              <w:keepLines/>
              <w:suppressAutoHyphens/>
              <w:jc w:val="center"/>
              <w:rPr>
                <w:rFonts w:eastAsia="SimSun"/>
                <w:color w:val="000000"/>
                <w:sz w:val="18"/>
                <w:szCs w:val="16"/>
                <w:lang w:eastAsia="en-CA"/>
              </w:rPr>
            </w:pPr>
            <w:r w:rsidRPr="004F4229">
              <w:rPr>
                <w:rFonts w:eastAsia="SimSun"/>
                <w:color w:val="000000"/>
                <w:sz w:val="18"/>
                <w:szCs w:val="16"/>
                <w:lang w:eastAsia="en-CA"/>
              </w:rPr>
              <w:t>n/a</w:t>
            </w:r>
          </w:p>
        </w:tc>
        <w:tc>
          <w:tcPr>
            <w:tcW w:w="255" w:type="pct"/>
            <w:tcBorders>
              <w:top w:val="nil"/>
              <w:left w:val="nil"/>
              <w:bottom w:val="single" w:sz="4" w:space="0" w:color="auto"/>
              <w:right w:val="single" w:sz="4" w:space="0" w:color="auto"/>
            </w:tcBorders>
            <w:tcMar>
              <w:left w:w="57" w:type="dxa"/>
              <w:right w:w="85" w:type="dxa"/>
            </w:tcMar>
          </w:tcPr>
          <w:p w14:paraId="62AA5D21" w14:textId="77777777" w:rsidR="008C5479" w:rsidRPr="004F4229" w:rsidRDefault="008C5479" w:rsidP="00057085">
            <w:pPr>
              <w:keepNext/>
              <w:keepLines/>
              <w:suppressAutoHyphens/>
              <w:jc w:val="center"/>
              <w:rPr>
                <w:rFonts w:eastAsia="SimSun"/>
                <w:color w:val="000000"/>
                <w:sz w:val="18"/>
                <w:szCs w:val="16"/>
                <w:lang w:eastAsia="en-CA"/>
              </w:rPr>
            </w:pPr>
            <w:r w:rsidRPr="004F4229">
              <w:rPr>
                <w:rFonts w:eastAsia="SimSun"/>
                <w:color w:val="000000"/>
                <w:sz w:val="18"/>
                <w:szCs w:val="16"/>
                <w:lang w:eastAsia="en-CA"/>
              </w:rPr>
              <w:t>n/a</w:t>
            </w:r>
          </w:p>
        </w:tc>
        <w:tc>
          <w:tcPr>
            <w:tcW w:w="369" w:type="pct"/>
            <w:tcBorders>
              <w:top w:val="nil"/>
              <w:left w:val="nil"/>
              <w:bottom w:val="single" w:sz="4" w:space="0" w:color="auto"/>
              <w:right w:val="single" w:sz="4" w:space="0" w:color="auto"/>
            </w:tcBorders>
            <w:tcMar>
              <w:left w:w="57" w:type="dxa"/>
              <w:right w:w="85" w:type="dxa"/>
            </w:tcMar>
          </w:tcPr>
          <w:p w14:paraId="3CC39B59"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23.49</w:t>
            </w:r>
          </w:p>
        </w:tc>
        <w:tc>
          <w:tcPr>
            <w:tcW w:w="278" w:type="pct"/>
            <w:tcBorders>
              <w:top w:val="nil"/>
              <w:left w:val="nil"/>
              <w:bottom w:val="single" w:sz="4" w:space="0" w:color="auto"/>
              <w:right w:val="single" w:sz="4" w:space="0" w:color="auto"/>
            </w:tcBorders>
            <w:tcMar>
              <w:left w:w="57" w:type="dxa"/>
              <w:right w:w="85" w:type="dxa"/>
            </w:tcMar>
          </w:tcPr>
          <w:p w14:paraId="372B6F70"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23.49</w:t>
            </w:r>
          </w:p>
        </w:tc>
        <w:tc>
          <w:tcPr>
            <w:tcW w:w="278" w:type="pct"/>
            <w:tcBorders>
              <w:top w:val="nil"/>
              <w:left w:val="nil"/>
              <w:bottom w:val="single" w:sz="4" w:space="0" w:color="auto"/>
              <w:right w:val="single" w:sz="4" w:space="0" w:color="auto"/>
            </w:tcBorders>
            <w:tcMar>
              <w:left w:w="57" w:type="dxa"/>
              <w:right w:w="85" w:type="dxa"/>
            </w:tcMar>
          </w:tcPr>
          <w:p w14:paraId="185EE7D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21.14</w:t>
            </w:r>
          </w:p>
        </w:tc>
        <w:tc>
          <w:tcPr>
            <w:tcW w:w="369" w:type="pct"/>
            <w:tcBorders>
              <w:top w:val="nil"/>
              <w:left w:val="nil"/>
              <w:bottom w:val="single" w:sz="4" w:space="0" w:color="auto"/>
              <w:right w:val="single" w:sz="4" w:space="0" w:color="auto"/>
            </w:tcBorders>
            <w:tcMar>
              <w:left w:w="57" w:type="dxa"/>
              <w:right w:w="85" w:type="dxa"/>
            </w:tcMar>
          </w:tcPr>
          <w:p w14:paraId="0BF00563"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278" w:type="pct"/>
            <w:tcBorders>
              <w:top w:val="nil"/>
              <w:left w:val="nil"/>
              <w:bottom w:val="single" w:sz="4" w:space="0" w:color="auto"/>
              <w:right w:val="single" w:sz="4" w:space="0" w:color="auto"/>
            </w:tcBorders>
            <w:tcMar>
              <w:left w:w="57" w:type="dxa"/>
              <w:right w:w="85" w:type="dxa"/>
            </w:tcMar>
          </w:tcPr>
          <w:p w14:paraId="120B4CE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415" w:type="pct"/>
            <w:tcBorders>
              <w:top w:val="nil"/>
              <w:left w:val="nil"/>
              <w:bottom w:val="single" w:sz="4" w:space="0" w:color="auto"/>
              <w:right w:val="single" w:sz="4" w:space="0" w:color="auto"/>
            </w:tcBorders>
            <w:tcMar>
              <w:left w:w="57" w:type="dxa"/>
              <w:right w:w="85" w:type="dxa"/>
            </w:tcMar>
          </w:tcPr>
          <w:p w14:paraId="56912A2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278" w:type="pct"/>
            <w:tcBorders>
              <w:top w:val="nil"/>
              <w:left w:val="nil"/>
              <w:bottom w:val="single" w:sz="4" w:space="0" w:color="auto"/>
              <w:right w:val="single" w:sz="4" w:space="0" w:color="auto"/>
            </w:tcBorders>
            <w:tcMar>
              <w:left w:w="57" w:type="dxa"/>
              <w:right w:w="85" w:type="dxa"/>
            </w:tcMar>
          </w:tcPr>
          <w:p w14:paraId="1A0A1E64"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21.14</w:t>
            </w:r>
          </w:p>
        </w:tc>
        <w:tc>
          <w:tcPr>
            <w:tcW w:w="415" w:type="pct"/>
            <w:tcBorders>
              <w:top w:val="nil"/>
              <w:left w:val="nil"/>
              <w:bottom w:val="single" w:sz="4" w:space="0" w:color="auto"/>
              <w:right w:val="single" w:sz="4" w:space="0" w:color="auto"/>
            </w:tcBorders>
            <w:tcMar>
              <w:left w:w="57" w:type="dxa"/>
              <w:right w:w="85" w:type="dxa"/>
            </w:tcMar>
          </w:tcPr>
          <w:p w14:paraId="113C931C"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15.27</w:t>
            </w:r>
          </w:p>
        </w:tc>
        <w:tc>
          <w:tcPr>
            <w:tcW w:w="438" w:type="pct"/>
            <w:tcBorders>
              <w:top w:val="nil"/>
              <w:left w:val="nil"/>
              <w:bottom w:val="single" w:sz="4" w:space="0" w:color="auto"/>
              <w:right w:val="single" w:sz="4" w:space="0" w:color="auto"/>
            </w:tcBorders>
            <w:tcMar>
              <w:left w:w="57" w:type="dxa"/>
              <w:right w:w="85" w:type="dxa"/>
            </w:tcMar>
          </w:tcPr>
          <w:p w14:paraId="5BE4562A"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13EC5AB5" w14:textId="77777777" w:rsidTr="00057085">
        <w:trPr>
          <w:trHeight w:val="405"/>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2B73D153"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2.1</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15323499"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Lead IA UNIDO agreed funding</w:t>
            </w:r>
            <w:r>
              <w:rPr>
                <w:rFonts w:eastAsia="SimSun"/>
                <w:color w:val="000000"/>
                <w:sz w:val="18"/>
                <w:szCs w:val="16"/>
                <w:lang w:eastAsia="en-CA"/>
              </w:rPr>
              <w:t xml:space="preserve"> </w:t>
            </w:r>
            <w:r w:rsidRPr="004F4229">
              <w:rPr>
                <w:rFonts w:eastAsia="SimSun"/>
                <w:color w:val="000000"/>
                <w:sz w:val="18"/>
                <w:szCs w:val="16"/>
                <w:lang w:eastAsia="en-CA"/>
              </w:rPr>
              <w:t>(US $)</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4218841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1,531,940</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419003C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4CEEB81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86,500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D187A4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F170926"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21C6C24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86,500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117347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5243C46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*518,219</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CD30FE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1815818F"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val="es-MX" w:eastAsia="en-CA"/>
              </w:rPr>
              <w:t>**65,000</w:t>
            </w:r>
          </w:p>
        </w:tc>
        <w:tc>
          <w:tcPr>
            <w:tcW w:w="438" w:type="pct"/>
            <w:tcBorders>
              <w:top w:val="single" w:sz="4" w:space="0" w:color="auto"/>
              <w:left w:val="nil"/>
              <w:bottom w:val="single" w:sz="4" w:space="0" w:color="auto"/>
              <w:right w:val="single" w:sz="4" w:space="0" w:color="auto"/>
            </w:tcBorders>
            <w:shd w:val="clear" w:color="auto" w:fill="auto"/>
            <w:tcMar>
              <w:left w:w="57" w:type="dxa"/>
              <w:right w:w="85" w:type="dxa"/>
            </w:tcMar>
          </w:tcPr>
          <w:p w14:paraId="0C181BBA"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eastAsia="en-CA"/>
              </w:rPr>
              <w:t>2,288,159</w:t>
            </w:r>
          </w:p>
        </w:tc>
      </w:tr>
      <w:tr w:rsidR="008C5479" w:rsidRPr="00606BD8" w14:paraId="17D7C075" w14:textId="77777777" w:rsidTr="00057085">
        <w:trPr>
          <w:trHeight w:val="405"/>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6D6084B4"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2.2</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2ACFDB03"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Support costs for Lead IA</w:t>
            </w:r>
            <w:r>
              <w:rPr>
                <w:rFonts w:eastAsia="SimSun"/>
                <w:color w:val="000000"/>
                <w:sz w:val="18"/>
                <w:szCs w:val="16"/>
                <w:lang w:eastAsia="en-CA"/>
              </w:rPr>
              <w:t xml:space="preserve"> </w:t>
            </w:r>
            <w:r w:rsidRPr="004F4229">
              <w:rPr>
                <w:rFonts w:eastAsia="SimSun"/>
                <w:color w:val="000000"/>
                <w:sz w:val="18"/>
                <w:szCs w:val="16"/>
                <w:lang w:eastAsia="en-CA"/>
              </w:rPr>
              <w:t>(US $)</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0311D20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114,896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5DB39C34"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4E7C572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6,488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329337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EA90998"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25E1D520"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6,487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3B9FC59"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7112C65C"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*36,707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850A41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48B308B3"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val="es-MX" w:eastAsia="en-CA"/>
              </w:rPr>
              <w:t>**4,825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1761A3DB"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eastAsia="en-CA"/>
              </w:rPr>
              <w:t>169,403</w:t>
            </w:r>
          </w:p>
        </w:tc>
      </w:tr>
      <w:tr w:rsidR="008C5479" w:rsidRPr="00606BD8" w14:paraId="19A4541F" w14:textId="77777777" w:rsidTr="00057085">
        <w:trPr>
          <w:trHeight w:val="405"/>
        </w:trPr>
        <w:tc>
          <w:tcPr>
            <w:tcW w:w="267" w:type="pct"/>
            <w:tcBorders>
              <w:top w:val="nil"/>
              <w:left w:val="single" w:sz="4" w:space="0" w:color="auto"/>
              <w:bottom w:val="single" w:sz="4" w:space="0" w:color="auto"/>
              <w:right w:val="single" w:sz="4" w:space="0" w:color="auto"/>
            </w:tcBorders>
            <w:tcMar>
              <w:left w:w="57" w:type="dxa"/>
              <w:right w:w="28" w:type="dxa"/>
            </w:tcMar>
          </w:tcPr>
          <w:p w14:paraId="4AFF0F50"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2.3</w:t>
            </w:r>
          </w:p>
        </w:tc>
        <w:tc>
          <w:tcPr>
            <w:tcW w:w="1173" w:type="pct"/>
            <w:tcBorders>
              <w:top w:val="nil"/>
              <w:left w:val="nil"/>
              <w:bottom w:val="single" w:sz="4" w:space="0" w:color="auto"/>
              <w:right w:val="single" w:sz="4" w:space="0" w:color="auto"/>
            </w:tcBorders>
            <w:tcMar>
              <w:left w:w="57" w:type="dxa"/>
              <w:right w:w="28" w:type="dxa"/>
            </w:tcMar>
          </w:tcPr>
          <w:p w14:paraId="35FB3C7E"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Cooperating IA UNEP agreed funding (US $)</w:t>
            </w:r>
          </w:p>
        </w:tc>
        <w:tc>
          <w:tcPr>
            <w:tcW w:w="188" w:type="pct"/>
            <w:tcBorders>
              <w:top w:val="nil"/>
              <w:left w:val="nil"/>
              <w:bottom w:val="single" w:sz="4" w:space="0" w:color="auto"/>
              <w:right w:val="single" w:sz="4" w:space="0" w:color="auto"/>
            </w:tcBorders>
            <w:tcMar>
              <w:left w:w="57" w:type="dxa"/>
              <w:right w:w="85" w:type="dxa"/>
            </w:tcMar>
          </w:tcPr>
          <w:p w14:paraId="024C6BBE"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30,000</w:t>
            </w:r>
          </w:p>
        </w:tc>
        <w:tc>
          <w:tcPr>
            <w:tcW w:w="255" w:type="pct"/>
            <w:tcBorders>
              <w:top w:val="nil"/>
              <w:left w:val="nil"/>
              <w:bottom w:val="single" w:sz="4" w:space="0" w:color="auto"/>
              <w:right w:val="single" w:sz="4" w:space="0" w:color="auto"/>
            </w:tcBorders>
            <w:tcMar>
              <w:left w:w="57" w:type="dxa"/>
              <w:right w:w="85" w:type="dxa"/>
            </w:tcMar>
          </w:tcPr>
          <w:p w14:paraId="48CE13D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tcMar>
              <w:left w:w="57" w:type="dxa"/>
              <w:right w:w="85" w:type="dxa"/>
            </w:tcMar>
          </w:tcPr>
          <w:p w14:paraId="24DB10D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20,000</w:t>
            </w:r>
          </w:p>
        </w:tc>
        <w:tc>
          <w:tcPr>
            <w:tcW w:w="278" w:type="pct"/>
            <w:tcBorders>
              <w:top w:val="nil"/>
              <w:left w:val="nil"/>
              <w:bottom w:val="single" w:sz="4" w:space="0" w:color="auto"/>
              <w:right w:val="single" w:sz="4" w:space="0" w:color="auto"/>
            </w:tcBorders>
            <w:tcMar>
              <w:left w:w="57" w:type="dxa"/>
              <w:right w:w="85" w:type="dxa"/>
            </w:tcMar>
          </w:tcPr>
          <w:p w14:paraId="0321153F"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tcMar>
              <w:left w:w="57" w:type="dxa"/>
              <w:right w:w="85" w:type="dxa"/>
            </w:tcMar>
          </w:tcPr>
          <w:p w14:paraId="2738B3E8" w14:textId="77777777" w:rsidR="008C5479" w:rsidRPr="004F4229" w:rsidRDefault="008C5479" w:rsidP="00057085">
            <w:pPr>
              <w:keepNext/>
              <w:keepLines/>
              <w:suppressAutoHyphens/>
              <w:jc w:val="right"/>
              <w:rPr>
                <w:rFonts w:eastAsia="SimSun"/>
                <w:color w:val="000000"/>
                <w:sz w:val="18"/>
                <w:szCs w:val="16"/>
                <w:lang w:eastAsia="en-CA"/>
              </w:rPr>
            </w:pPr>
          </w:p>
        </w:tc>
        <w:tc>
          <w:tcPr>
            <w:tcW w:w="369" w:type="pct"/>
            <w:tcBorders>
              <w:top w:val="nil"/>
              <w:left w:val="nil"/>
              <w:bottom w:val="single" w:sz="4" w:space="0" w:color="auto"/>
              <w:right w:val="single" w:sz="4" w:space="0" w:color="auto"/>
            </w:tcBorders>
            <w:tcMar>
              <w:left w:w="57" w:type="dxa"/>
              <w:right w:w="85" w:type="dxa"/>
            </w:tcMar>
          </w:tcPr>
          <w:p w14:paraId="455A9098"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30,000</w:t>
            </w:r>
          </w:p>
        </w:tc>
        <w:tc>
          <w:tcPr>
            <w:tcW w:w="278" w:type="pct"/>
            <w:tcBorders>
              <w:top w:val="nil"/>
              <w:left w:val="nil"/>
              <w:bottom w:val="single" w:sz="4" w:space="0" w:color="auto"/>
              <w:right w:val="single" w:sz="4" w:space="0" w:color="auto"/>
            </w:tcBorders>
            <w:tcMar>
              <w:left w:w="57" w:type="dxa"/>
              <w:right w:w="85" w:type="dxa"/>
            </w:tcMar>
          </w:tcPr>
          <w:p w14:paraId="3E69E25F"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tcMar>
              <w:left w:w="57" w:type="dxa"/>
              <w:right w:w="85" w:type="dxa"/>
            </w:tcMar>
          </w:tcPr>
          <w:p w14:paraId="7F1E3777"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n-US" w:eastAsia="en-CA"/>
              </w:rPr>
              <w:t>25,000</w:t>
            </w:r>
          </w:p>
        </w:tc>
        <w:tc>
          <w:tcPr>
            <w:tcW w:w="278" w:type="pct"/>
            <w:tcBorders>
              <w:top w:val="nil"/>
              <w:left w:val="nil"/>
              <w:bottom w:val="single" w:sz="4" w:space="0" w:color="auto"/>
              <w:right w:val="single" w:sz="4" w:space="0" w:color="auto"/>
            </w:tcBorders>
            <w:tcMar>
              <w:left w:w="57" w:type="dxa"/>
              <w:right w:w="85" w:type="dxa"/>
            </w:tcMar>
          </w:tcPr>
          <w:p w14:paraId="4542D21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tcMar>
              <w:left w:w="57" w:type="dxa"/>
              <w:right w:w="85" w:type="dxa"/>
            </w:tcMar>
          </w:tcPr>
          <w:p w14:paraId="2F82413A"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val="en-US" w:eastAsia="en-CA"/>
              </w:rPr>
              <w:t>**0</w:t>
            </w:r>
          </w:p>
        </w:tc>
        <w:tc>
          <w:tcPr>
            <w:tcW w:w="438" w:type="pct"/>
            <w:tcBorders>
              <w:top w:val="nil"/>
              <w:left w:val="nil"/>
              <w:bottom w:val="single" w:sz="4" w:space="0" w:color="auto"/>
              <w:right w:val="single" w:sz="4" w:space="0" w:color="auto"/>
            </w:tcBorders>
            <w:tcMar>
              <w:left w:w="57" w:type="dxa"/>
              <w:right w:w="85" w:type="dxa"/>
            </w:tcMar>
          </w:tcPr>
          <w:p w14:paraId="330D207E"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eastAsia="en-CA"/>
              </w:rPr>
              <w:t>105,000</w:t>
            </w:r>
          </w:p>
        </w:tc>
      </w:tr>
      <w:tr w:rsidR="008C5479" w:rsidRPr="00606BD8" w14:paraId="13186FE3" w14:textId="77777777" w:rsidTr="00057085">
        <w:trPr>
          <w:trHeight w:val="405"/>
        </w:trPr>
        <w:tc>
          <w:tcPr>
            <w:tcW w:w="267" w:type="pct"/>
            <w:tcBorders>
              <w:top w:val="nil"/>
              <w:left w:val="single" w:sz="4" w:space="0" w:color="auto"/>
              <w:bottom w:val="single" w:sz="4" w:space="0" w:color="auto"/>
              <w:right w:val="single" w:sz="4" w:space="0" w:color="auto"/>
            </w:tcBorders>
            <w:tcMar>
              <w:left w:w="57" w:type="dxa"/>
              <w:right w:w="28" w:type="dxa"/>
            </w:tcMar>
          </w:tcPr>
          <w:p w14:paraId="503BF4A4"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2.4</w:t>
            </w:r>
          </w:p>
        </w:tc>
        <w:tc>
          <w:tcPr>
            <w:tcW w:w="1173" w:type="pct"/>
            <w:tcBorders>
              <w:top w:val="nil"/>
              <w:left w:val="nil"/>
              <w:bottom w:val="single" w:sz="4" w:space="0" w:color="auto"/>
              <w:right w:val="single" w:sz="4" w:space="0" w:color="auto"/>
            </w:tcBorders>
            <w:tcMar>
              <w:left w:w="57" w:type="dxa"/>
              <w:right w:w="28" w:type="dxa"/>
            </w:tcMar>
          </w:tcPr>
          <w:p w14:paraId="27250714"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Support costs for Cooperating IA (US $)</w:t>
            </w:r>
          </w:p>
        </w:tc>
        <w:tc>
          <w:tcPr>
            <w:tcW w:w="188" w:type="pct"/>
            <w:tcBorders>
              <w:top w:val="nil"/>
              <w:left w:val="nil"/>
              <w:bottom w:val="single" w:sz="4" w:space="0" w:color="auto"/>
              <w:right w:val="single" w:sz="4" w:space="0" w:color="auto"/>
            </w:tcBorders>
            <w:tcMar>
              <w:left w:w="57" w:type="dxa"/>
              <w:right w:w="85" w:type="dxa"/>
            </w:tcMar>
          </w:tcPr>
          <w:p w14:paraId="528D5964"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3,900</w:t>
            </w:r>
          </w:p>
        </w:tc>
        <w:tc>
          <w:tcPr>
            <w:tcW w:w="255" w:type="pct"/>
            <w:tcBorders>
              <w:top w:val="nil"/>
              <w:left w:val="nil"/>
              <w:bottom w:val="single" w:sz="4" w:space="0" w:color="auto"/>
              <w:right w:val="single" w:sz="4" w:space="0" w:color="auto"/>
            </w:tcBorders>
            <w:tcMar>
              <w:left w:w="57" w:type="dxa"/>
              <w:right w:w="85" w:type="dxa"/>
            </w:tcMar>
          </w:tcPr>
          <w:p w14:paraId="13AB23FA"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tcMar>
              <w:left w:w="57" w:type="dxa"/>
              <w:right w:w="85" w:type="dxa"/>
            </w:tcMar>
          </w:tcPr>
          <w:p w14:paraId="278FEEB6"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2,600</w:t>
            </w:r>
          </w:p>
        </w:tc>
        <w:tc>
          <w:tcPr>
            <w:tcW w:w="278" w:type="pct"/>
            <w:tcBorders>
              <w:top w:val="nil"/>
              <w:left w:val="nil"/>
              <w:bottom w:val="single" w:sz="4" w:space="0" w:color="auto"/>
              <w:right w:val="single" w:sz="4" w:space="0" w:color="auto"/>
            </w:tcBorders>
            <w:tcMar>
              <w:left w:w="57" w:type="dxa"/>
              <w:right w:w="85" w:type="dxa"/>
            </w:tcMar>
          </w:tcPr>
          <w:p w14:paraId="57C57B2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tcMar>
              <w:left w:w="57" w:type="dxa"/>
              <w:right w:w="85" w:type="dxa"/>
            </w:tcMar>
          </w:tcPr>
          <w:p w14:paraId="4E1197F9"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tcMar>
              <w:left w:w="57" w:type="dxa"/>
              <w:right w:w="85" w:type="dxa"/>
            </w:tcMar>
          </w:tcPr>
          <w:p w14:paraId="1400166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3,900</w:t>
            </w:r>
          </w:p>
        </w:tc>
        <w:tc>
          <w:tcPr>
            <w:tcW w:w="278" w:type="pct"/>
            <w:tcBorders>
              <w:top w:val="nil"/>
              <w:left w:val="nil"/>
              <w:bottom w:val="single" w:sz="4" w:space="0" w:color="auto"/>
              <w:right w:val="single" w:sz="4" w:space="0" w:color="auto"/>
            </w:tcBorders>
            <w:tcMar>
              <w:left w:w="57" w:type="dxa"/>
              <w:right w:w="85" w:type="dxa"/>
            </w:tcMar>
          </w:tcPr>
          <w:p w14:paraId="626768C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tcMar>
              <w:left w:w="57" w:type="dxa"/>
              <w:right w:w="85" w:type="dxa"/>
            </w:tcMar>
          </w:tcPr>
          <w:p w14:paraId="342C209E"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3,250</w:t>
            </w:r>
          </w:p>
        </w:tc>
        <w:tc>
          <w:tcPr>
            <w:tcW w:w="278" w:type="pct"/>
            <w:tcBorders>
              <w:top w:val="nil"/>
              <w:left w:val="nil"/>
              <w:bottom w:val="single" w:sz="4" w:space="0" w:color="auto"/>
              <w:right w:val="single" w:sz="4" w:space="0" w:color="auto"/>
            </w:tcBorders>
            <w:tcMar>
              <w:left w:w="57" w:type="dxa"/>
              <w:right w:w="85" w:type="dxa"/>
            </w:tcMar>
          </w:tcPr>
          <w:p w14:paraId="1BEC245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tcMar>
              <w:left w:w="57" w:type="dxa"/>
              <w:right w:w="85" w:type="dxa"/>
            </w:tcMar>
          </w:tcPr>
          <w:p w14:paraId="4D3A05E0"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val="en-US" w:eastAsia="en-CA"/>
              </w:rPr>
              <w:t>**0</w:t>
            </w:r>
          </w:p>
        </w:tc>
        <w:tc>
          <w:tcPr>
            <w:tcW w:w="438" w:type="pct"/>
            <w:tcBorders>
              <w:top w:val="nil"/>
              <w:left w:val="nil"/>
              <w:bottom w:val="single" w:sz="4" w:space="0" w:color="auto"/>
              <w:right w:val="single" w:sz="4" w:space="0" w:color="auto"/>
            </w:tcBorders>
            <w:tcMar>
              <w:left w:w="57" w:type="dxa"/>
              <w:right w:w="85" w:type="dxa"/>
            </w:tcMar>
          </w:tcPr>
          <w:p w14:paraId="46004308"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eastAsia="en-CA"/>
              </w:rPr>
              <w:t>13,650</w:t>
            </w:r>
          </w:p>
        </w:tc>
      </w:tr>
      <w:tr w:rsidR="008C5479" w:rsidRPr="00606BD8" w14:paraId="175281EC" w14:textId="77777777" w:rsidTr="00057085">
        <w:trPr>
          <w:trHeight w:val="88"/>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2B89131C"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3.1</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44AEE320"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Total agreed funding (US $)</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044C272F"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1,561,940</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7887E068"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0FB8E7A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106,500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39C8EEC"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823BA9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3DBB12C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116,500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CCCD5F4"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6938D42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543,219</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430705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11531AC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65,000</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3C36A486"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2,393,159</w:t>
            </w:r>
          </w:p>
        </w:tc>
      </w:tr>
      <w:tr w:rsidR="008C5479" w:rsidRPr="00606BD8" w14:paraId="157C170E" w14:textId="77777777" w:rsidTr="00057085">
        <w:trPr>
          <w:trHeight w:val="291"/>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534EFB06"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3.2</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1800E92D"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Total support cost</w:t>
            </w:r>
            <w:r>
              <w:rPr>
                <w:rFonts w:eastAsia="SimSun"/>
                <w:color w:val="000000"/>
                <w:sz w:val="18"/>
                <w:szCs w:val="16"/>
                <w:lang w:eastAsia="en-CA"/>
              </w:rPr>
              <w:t xml:space="preserve"> </w:t>
            </w:r>
            <w:r w:rsidRPr="004F4229">
              <w:rPr>
                <w:rFonts w:eastAsia="SimSun"/>
                <w:color w:val="000000"/>
                <w:sz w:val="18"/>
                <w:szCs w:val="16"/>
                <w:lang w:eastAsia="en-CA"/>
              </w:rPr>
              <w:t>(US $)</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75FE2E93"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118,796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334DA554"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44CC5EF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9,088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F63B5DE"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F44EFD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72B133F6"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10,387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3235B0F"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4E68F722"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39,957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BDDC56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75EA78B3"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val="es-MX" w:eastAsia="en-CA"/>
              </w:rPr>
              <w:t>4,825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3F255008"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eastAsia="en-CA"/>
              </w:rPr>
              <w:t>183,053</w:t>
            </w:r>
          </w:p>
        </w:tc>
      </w:tr>
      <w:tr w:rsidR="008C5479" w:rsidRPr="00606BD8" w14:paraId="7B65D44A" w14:textId="77777777" w:rsidTr="00057085">
        <w:trPr>
          <w:trHeight w:val="280"/>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548D26E3"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3.3</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4619B226"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Total agreed costs (US $)</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62D433EB"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1,680,736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01D8AF98"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70D4F8F0"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115,588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355EFB2A"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7D63AEC"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109F4036"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val="es-MX" w:eastAsia="en-CA"/>
              </w:rPr>
              <w:t>126,887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86F0E3D"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678223F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583,176</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6AA5A2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50505B96"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val="es-MX" w:eastAsia="en-CA"/>
              </w:rPr>
              <w:t>69,825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35D65ACA" w14:textId="77777777" w:rsidR="008C5479" w:rsidRPr="004F4229" w:rsidRDefault="008C5479" w:rsidP="00057085">
            <w:pPr>
              <w:keepNext/>
              <w:keepLines/>
              <w:suppressAutoHyphens/>
              <w:jc w:val="right"/>
              <w:rPr>
                <w:rFonts w:eastAsia="SimSun"/>
                <w:b/>
                <w:color w:val="000000"/>
                <w:sz w:val="18"/>
                <w:szCs w:val="16"/>
                <w:lang w:eastAsia="en-CA"/>
              </w:rPr>
            </w:pPr>
            <w:r w:rsidRPr="004F4229">
              <w:rPr>
                <w:rFonts w:eastAsia="SimSun"/>
                <w:b/>
                <w:color w:val="000000"/>
                <w:sz w:val="18"/>
                <w:szCs w:val="16"/>
                <w:lang w:eastAsia="en-CA"/>
              </w:rPr>
              <w:t>2,576,212</w:t>
            </w:r>
          </w:p>
        </w:tc>
      </w:tr>
      <w:tr w:rsidR="008C5479" w:rsidRPr="00606BD8" w14:paraId="6F4AF540"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0C8E2414"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4.1.1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40ADD38"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Total phase-out of HCFC</w:t>
            </w:r>
            <w:r w:rsidRPr="004F4229">
              <w:rPr>
                <w:rFonts w:eastAsia="SimSun"/>
                <w:color w:val="000000"/>
                <w:sz w:val="18"/>
                <w:szCs w:val="16"/>
                <w:lang w:eastAsia="en-CA"/>
              </w:rPr>
              <w:noBreakHyphen/>
              <w:t>22 agreed to be achieved under this agreement (ODP tonnes)</w:t>
            </w:r>
          </w:p>
        </w:tc>
        <w:tc>
          <w:tcPr>
            <w:tcW w:w="438" w:type="pct"/>
            <w:tcBorders>
              <w:top w:val="single" w:sz="4" w:space="0" w:color="auto"/>
              <w:left w:val="nil"/>
              <w:bottom w:val="single" w:sz="4" w:space="0" w:color="auto"/>
              <w:right w:val="single" w:sz="4" w:space="0" w:color="auto"/>
            </w:tcBorders>
            <w:vAlign w:val="bottom"/>
          </w:tcPr>
          <w:p w14:paraId="6FD591E5"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7.36</w:t>
            </w:r>
          </w:p>
        </w:tc>
      </w:tr>
      <w:tr w:rsidR="008C5479" w:rsidRPr="00606BD8" w14:paraId="68F4B93B" w14:textId="77777777" w:rsidTr="00057085">
        <w:trPr>
          <w:trHeight w:val="210"/>
        </w:trPr>
        <w:tc>
          <w:tcPr>
            <w:tcW w:w="267" w:type="pct"/>
            <w:tcBorders>
              <w:top w:val="nil"/>
              <w:left w:val="single" w:sz="4" w:space="0" w:color="auto"/>
              <w:bottom w:val="single" w:sz="4" w:space="0" w:color="auto"/>
              <w:right w:val="single" w:sz="4" w:space="0" w:color="auto"/>
            </w:tcBorders>
            <w:noWrap/>
            <w:tcMar>
              <w:left w:w="57" w:type="dxa"/>
            </w:tcMar>
            <w:vAlign w:val="bottom"/>
          </w:tcPr>
          <w:p w14:paraId="29AF8A38"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4.1.2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E564475"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Phase-out of HCFC</w:t>
            </w:r>
            <w:r w:rsidRPr="004F4229">
              <w:rPr>
                <w:rFonts w:eastAsia="SimSun"/>
                <w:color w:val="000000"/>
                <w:sz w:val="18"/>
                <w:szCs w:val="16"/>
                <w:lang w:eastAsia="en-CA"/>
              </w:rPr>
              <w:noBreakHyphen/>
              <w:t>22 to be achieved in previously approved projects (ODP tonnes)</w:t>
            </w:r>
          </w:p>
        </w:tc>
        <w:tc>
          <w:tcPr>
            <w:tcW w:w="438" w:type="pct"/>
            <w:tcBorders>
              <w:top w:val="nil"/>
              <w:left w:val="nil"/>
              <w:bottom w:val="single" w:sz="4" w:space="0" w:color="auto"/>
              <w:right w:val="single" w:sz="4" w:space="0" w:color="auto"/>
            </w:tcBorders>
            <w:vAlign w:val="bottom"/>
          </w:tcPr>
          <w:p w14:paraId="5E8D2C98"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08D5E3B1" w14:textId="77777777" w:rsidTr="00057085">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0F72E97F"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4.1.3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674778A" w14:textId="77777777" w:rsidR="008C5479" w:rsidRPr="004F4229" w:rsidRDefault="008C5479" w:rsidP="00057085">
            <w:pPr>
              <w:keepNext/>
              <w:keepLines/>
              <w:suppressAutoHyphens/>
              <w:jc w:val="left"/>
              <w:rPr>
                <w:rFonts w:eastAsia="SimSun"/>
                <w:bCs/>
                <w:color w:val="000000"/>
                <w:sz w:val="18"/>
                <w:szCs w:val="16"/>
                <w:lang w:eastAsia="en-CA"/>
              </w:rPr>
            </w:pPr>
            <w:r w:rsidRPr="004F4229">
              <w:rPr>
                <w:rFonts w:eastAsia="SimSun"/>
                <w:bCs/>
                <w:color w:val="000000"/>
                <w:sz w:val="18"/>
                <w:szCs w:val="16"/>
                <w:lang w:eastAsia="en-CA"/>
              </w:rPr>
              <w:t>Remaining eligible consumption for HCFC</w:t>
            </w:r>
            <w:r w:rsidRPr="004F4229">
              <w:rPr>
                <w:rFonts w:eastAsia="SimSun"/>
                <w:bCs/>
                <w:color w:val="000000"/>
                <w:sz w:val="18"/>
                <w:szCs w:val="16"/>
                <w:lang w:eastAsia="en-CA"/>
              </w:rPr>
              <w:noBreakHyphen/>
              <w:t>22 (ODP tonnes)</w:t>
            </w:r>
          </w:p>
        </w:tc>
        <w:tc>
          <w:tcPr>
            <w:tcW w:w="438" w:type="pct"/>
            <w:tcBorders>
              <w:top w:val="nil"/>
              <w:left w:val="nil"/>
              <w:bottom w:val="single" w:sz="4" w:space="0" w:color="auto"/>
              <w:right w:val="single" w:sz="4" w:space="0" w:color="auto"/>
            </w:tcBorders>
            <w:vAlign w:val="bottom"/>
          </w:tcPr>
          <w:p w14:paraId="7D1AD121"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13.66</w:t>
            </w:r>
          </w:p>
        </w:tc>
      </w:tr>
      <w:tr w:rsidR="008C5479" w:rsidRPr="00606BD8" w14:paraId="0B5B071F" w14:textId="77777777" w:rsidTr="00057085">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108CA4CB"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4.2.1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7E9AA8A7"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Total phase-out of HCFC-141b agreed to be achieved under this agreement (ODP tonnes)</w:t>
            </w:r>
          </w:p>
        </w:tc>
        <w:tc>
          <w:tcPr>
            <w:tcW w:w="438" w:type="pct"/>
            <w:tcBorders>
              <w:top w:val="nil"/>
              <w:left w:val="nil"/>
              <w:bottom w:val="single" w:sz="4" w:space="0" w:color="auto"/>
              <w:right w:val="single" w:sz="4" w:space="0" w:color="auto"/>
            </w:tcBorders>
            <w:vAlign w:val="bottom"/>
          </w:tcPr>
          <w:p w14:paraId="0E45159E"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0.86</w:t>
            </w:r>
          </w:p>
        </w:tc>
      </w:tr>
      <w:tr w:rsidR="008C5479" w:rsidRPr="00606BD8" w14:paraId="7F5CDA66" w14:textId="77777777" w:rsidTr="00057085">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3E2CF6FF"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4.2.2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5E0C5A18"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Phase-out of HCFC-141b to be achieved in previously approved projects (ODP tonnes)</w:t>
            </w:r>
          </w:p>
        </w:tc>
        <w:tc>
          <w:tcPr>
            <w:tcW w:w="438" w:type="pct"/>
            <w:tcBorders>
              <w:top w:val="nil"/>
              <w:left w:val="nil"/>
              <w:bottom w:val="single" w:sz="4" w:space="0" w:color="auto"/>
              <w:right w:val="single" w:sz="4" w:space="0" w:color="auto"/>
            </w:tcBorders>
            <w:vAlign w:val="bottom"/>
          </w:tcPr>
          <w:p w14:paraId="1AE9332C"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4C22C826" w14:textId="77777777" w:rsidTr="00057085">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28337CD5"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4.2.3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5A48C1EE" w14:textId="77777777" w:rsidR="008C5479" w:rsidRPr="004F4229" w:rsidRDefault="008C5479" w:rsidP="00057085">
            <w:pPr>
              <w:keepNext/>
              <w:keepLines/>
              <w:suppressAutoHyphens/>
              <w:jc w:val="left"/>
              <w:rPr>
                <w:rFonts w:eastAsia="SimSun"/>
                <w:bCs/>
                <w:color w:val="000000"/>
                <w:sz w:val="18"/>
                <w:szCs w:val="16"/>
                <w:lang w:eastAsia="en-CA"/>
              </w:rPr>
            </w:pPr>
            <w:r w:rsidRPr="004F4229">
              <w:rPr>
                <w:rFonts w:eastAsia="SimSun"/>
                <w:bCs/>
                <w:color w:val="000000"/>
                <w:sz w:val="18"/>
                <w:szCs w:val="16"/>
                <w:lang w:eastAsia="en-CA"/>
              </w:rPr>
              <w:t>Remaining eligible consumption for HCFC-141b (ODP tonnes)</w:t>
            </w:r>
          </w:p>
        </w:tc>
        <w:tc>
          <w:tcPr>
            <w:tcW w:w="438" w:type="pct"/>
            <w:tcBorders>
              <w:top w:val="nil"/>
              <w:left w:val="nil"/>
              <w:bottom w:val="single" w:sz="4" w:space="0" w:color="auto"/>
              <w:right w:val="single" w:sz="4" w:space="0" w:color="auto"/>
            </w:tcBorders>
            <w:vAlign w:val="bottom"/>
          </w:tcPr>
          <w:p w14:paraId="3444BD66"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0.00</w:t>
            </w:r>
          </w:p>
        </w:tc>
      </w:tr>
      <w:tr w:rsidR="008C5479" w:rsidRPr="00606BD8" w14:paraId="647EB713" w14:textId="77777777" w:rsidTr="00057085">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6D652854"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4.3.1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5CC90624"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Total phase-out of HCFC-123 agreed to be achieved under this agreement (ODP tonnes)</w:t>
            </w:r>
          </w:p>
        </w:tc>
        <w:tc>
          <w:tcPr>
            <w:tcW w:w="438" w:type="pct"/>
            <w:tcBorders>
              <w:top w:val="nil"/>
              <w:left w:val="nil"/>
              <w:bottom w:val="single" w:sz="4" w:space="0" w:color="auto"/>
              <w:right w:val="single" w:sz="4" w:space="0" w:color="auto"/>
            </w:tcBorders>
            <w:vAlign w:val="bottom"/>
          </w:tcPr>
          <w:p w14:paraId="26FD7503"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0.00</w:t>
            </w:r>
          </w:p>
        </w:tc>
      </w:tr>
      <w:tr w:rsidR="008C5479" w:rsidRPr="00606BD8" w14:paraId="4FD49875" w14:textId="77777777" w:rsidTr="00057085">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6C423C93"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4.3.2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41ACA17" w14:textId="77777777" w:rsidR="008C5479" w:rsidRPr="004F4229" w:rsidRDefault="008C5479" w:rsidP="00057085">
            <w:pPr>
              <w:keepNext/>
              <w:keepLines/>
              <w:suppressAutoHyphens/>
              <w:jc w:val="left"/>
              <w:rPr>
                <w:rFonts w:eastAsia="SimSun"/>
                <w:color w:val="000000"/>
                <w:sz w:val="18"/>
                <w:szCs w:val="16"/>
                <w:lang w:eastAsia="en-CA"/>
              </w:rPr>
            </w:pPr>
            <w:r w:rsidRPr="004F4229">
              <w:rPr>
                <w:rFonts w:eastAsia="SimSun"/>
                <w:color w:val="000000"/>
                <w:sz w:val="18"/>
                <w:szCs w:val="16"/>
                <w:lang w:eastAsia="en-CA"/>
              </w:rPr>
              <w:t>Phase-out of HCFC-123 to be achieved in previously approved projects (ODP tonnes)</w:t>
            </w:r>
          </w:p>
        </w:tc>
        <w:tc>
          <w:tcPr>
            <w:tcW w:w="438" w:type="pct"/>
            <w:tcBorders>
              <w:top w:val="nil"/>
              <w:left w:val="nil"/>
              <w:bottom w:val="single" w:sz="4" w:space="0" w:color="auto"/>
              <w:right w:val="single" w:sz="4" w:space="0" w:color="auto"/>
            </w:tcBorders>
            <w:vAlign w:val="bottom"/>
          </w:tcPr>
          <w:p w14:paraId="52C7A367" w14:textId="77777777" w:rsidR="008C5479" w:rsidRPr="004F4229" w:rsidRDefault="008C5479" w:rsidP="00057085">
            <w:pPr>
              <w:keepNext/>
              <w:keepLines/>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029B4EC5"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29E9ABE1"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4.3.3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4739562" w14:textId="77777777" w:rsidR="008C5479" w:rsidRPr="004F4229" w:rsidRDefault="008C5479" w:rsidP="00057085">
            <w:pPr>
              <w:suppressAutoHyphens/>
              <w:jc w:val="left"/>
              <w:rPr>
                <w:rFonts w:eastAsia="SimSun"/>
                <w:bCs/>
                <w:color w:val="000000"/>
                <w:sz w:val="18"/>
                <w:szCs w:val="16"/>
                <w:lang w:eastAsia="en-CA"/>
              </w:rPr>
            </w:pPr>
            <w:r w:rsidRPr="004F4229">
              <w:rPr>
                <w:rFonts w:eastAsia="SimSun"/>
                <w:bCs/>
                <w:color w:val="000000"/>
                <w:sz w:val="18"/>
                <w:szCs w:val="16"/>
                <w:lang w:eastAsia="en-CA"/>
              </w:rPr>
              <w:t>Remaining eligible consumption for HCFC-123 (ODP tonnes)</w:t>
            </w:r>
          </w:p>
        </w:tc>
        <w:tc>
          <w:tcPr>
            <w:tcW w:w="438" w:type="pct"/>
            <w:tcBorders>
              <w:top w:val="single" w:sz="4" w:space="0" w:color="auto"/>
              <w:left w:val="nil"/>
              <w:bottom w:val="single" w:sz="4" w:space="0" w:color="auto"/>
              <w:right w:val="single" w:sz="4" w:space="0" w:color="auto"/>
            </w:tcBorders>
            <w:vAlign w:val="bottom"/>
          </w:tcPr>
          <w:p w14:paraId="61367E62"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0.18</w:t>
            </w:r>
          </w:p>
        </w:tc>
      </w:tr>
      <w:tr w:rsidR="008C5479" w:rsidRPr="00606BD8" w14:paraId="448186EE" w14:textId="77777777" w:rsidTr="00057085">
        <w:trPr>
          <w:trHeight w:val="210"/>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1B2994E4"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4.4.1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2541A096"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Total phase-out of HCFC-142b agreed to be achieved under this agreement (ODP tonnes)</w:t>
            </w:r>
          </w:p>
        </w:tc>
        <w:tc>
          <w:tcPr>
            <w:tcW w:w="438" w:type="pct"/>
            <w:tcBorders>
              <w:top w:val="single" w:sz="4" w:space="0" w:color="auto"/>
              <w:left w:val="nil"/>
              <w:bottom w:val="single" w:sz="4" w:space="0" w:color="auto"/>
              <w:right w:val="single" w:sz="4" w:space="0" w:color="auto"/>
            </w:tcBorders>
            <w:vAlign w:val="bottom"/>
          </w:tcPr>
          <w:p w14:paraId="61BA55FC"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0.00</w:t>
            </w:r>
          </w:p>
        </w:tc>
      </w:tr>
      <w:tr w:rsidR="008C5479" w:rsidRPr="00606BD8" w14:paraId="61663A96"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38221EE5"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4.4.2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0080725"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Phase-out of HCFC-142b to be achieved in previously approved projects (ODP tonnes)</w:t>
            </w:r>
          </w:p>
        </w:tc>
        <w:tc>
          <w:tcPr>
            <w:tcW w:w="438" w:type="pct"/>
            <w:tcBorders>
              <w:top w:val="single" w:sz="4" w:space="0" w:color="auto"/>
              <w:left w:val="nil"/>
              <w:bottom w:val="single" w:sz="4" w:space="0" w:color="auto"/>
              <w:right w:val="single" w:sz="4" w:space="0" w:color="auto"/>
            </w:tcBorders>
            <w:vAlign w:val="bottom"/>
          </w:tcPr>
          <w:p w14:paraId="1F06C2A7"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0CE81DCB"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29E275FE"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4.4.3</w:t>
            </w:r>
          </w:p>
        </w:tc>
        <w:tc>
          <w:tcPr>
            <w:tcW w:w="4296" w:type="pct"/>
            <w:gridSpan w:val="11"/>
            <w:tcBorders>
              <w:top w:val="single" w:sz="4" w:space="0" w:color="auto"/>
              <w:left w:val="single" w:sz="4" w:space="0" w:color="auto"/>
              <w:bottom w:val="single" w:sz="4" w:space="0" w:color="auto"/>
              <w:right w:val="single" w:sz="4" w:space="0" w:color="auto"/>
            </w:tcBorders>
            <w:tcMar>
              <w:left w:w="57" w:type="dxa"/>
            </w:tcMar>
            <w:vAlign w:val="bottom"/>
          </w:tcPr>
          <w:p w14:paraId="6FD56185" w14:textId="77777777" w:rsidR="008C5479" w:rsidRPr="004F4229" w:rsidRDefault="008C5479" w:rsidP="00057085">
            <w:pPr>
              <w:suppressAutoHyphens/>
              <w:jc w:val="left"/>
              <w:rPr>
                <w:rFonts w:eastAsia="SimSun"/>
                <w:bCs/>
                <w:color w:val="000000"/>
                <w:sz w:val="18"/>
                <w:szCs w:val="16"/>
                <w:lang w:eastAsia="en-CA"/>
              </w:rPr>
            </w:pPr>
            <w:r w:rsidRPr="004F4229">
              <w:rPr>
                <w:rFonts w:eastAsia="SimSun"/>
                <w:bCs/>
                <w:color w:val="000000"/>
                <w:sz w:val="18"/>
                <w:szCs w:val="16"/>
                <w:lang w:eastAsia="en-CA"/>
              </w:rPr>
              <w:t>Remaining eligible consumption for HCFC-142b (ODP tonnes)</w:t>
            </w:r>
          </w:p>
        </w:tc>
        <w:tc>
          <w:tcPr>
            <w:tcW w:w="438" w:type="pct"/>
            <w:tcBorders>
              <w:top w:val="single" w:sz="4" w:space="0" w:color="auto"/>
              <w:left w:val="single" w:sz="4" w:space="0" w:color="auto"/>
              <w:bottom w:val="single" w:sz="4" w:space="0" w:color="auto"/>
              <w:right w:val="single" w:sz="4" w:space="0" w:color="auto"/>
            </w:tcBorders>
            <w:vAlign w:val="bottom"/>
          </w:tcPr>
          <w:p w14:paraId="680B19C2"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1.20</w:t>
            </w:r>
          </w:p>
        </w:tc>
      </w:tr>
      <w:tr w:rsidR="008C5479" w:rsidRPr="00606BD8" w14:paraId="43A4A90C"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3FCBA0F4"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4.5.1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1EA90ED"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Total phase-out of HCFC-124 agreed to be achieved under this agreement (ODP tonnes)</w:t>
            </w:r>
          </w:p>
        </w:tc>
        <w:tc>
          <w:tcPr>
            <w:tcW w:w="438" w:type="pct"/>
            <w:tcBorders>
              <w:top w:val="single" w:sz="4" w:space="0" w:color="auto"/>
              <w:left w:val="nil"/>
              <w:bottom w:val="single" w:sz="4" w:space="0" w:color="auto"/>
              <w:right w:val="single" w:sz="4" w:space="0" w:color="auto"/>
            </w:tcBorders>
            <w:vAlign w:val="bottom"/>
          </w:tcPr>
          <w:p w14:paraId="1EC6973C"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0.00</w:t>
            </w:r>
          </w:p>
        </w:tc>
      </w:tr>
      <w:tr w:rsidR="008C5479" w:rsidRPr="00606BD8" w14:paraId="2FA239CB"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1EF61072"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4.5.2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60E1AC25"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Phase-out of HCFC-124 to be achieved in previously approved projects (ODP tonnes)</w:t>
            </w:r>
          </w:p>
        </w:tc>
        <w:tc>
          <w:tcPr>
            <w:tcW w:w="438" w:type="pct"/>
            <w:tcBorders>
              <w:top w:val="single" w:sz="4" w:space="0" w:color="auto"/>
              <w:left w:val="nil"/>
              <w:bottom w:val="single" w:sz="4" w:space="0" w:color="auto"/>
              <w:right w:val="single" w:sz="4" w:space="0" w:color="auto"/>
            </w:tcBorders>
            <w:vAlign w:val="bottom"/>
          </w:tcPr>
          <w:p w14:paraId="4C95F343"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1C5D1E36" w14:textId="77777777" w:rsidTr="00057085">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7D8FDC29"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4.5.3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2FE12AC" w14:textId="77777777" w:rsidR="008C5479" w:rsidRPr="004F4229" w:rsidRDefault="008C5479" w:rsidP="00057085">
            <w:pPr>
              <w:suppressAutoHyphens/>
              <w:jc w:val="left"/>
              <w:rPr>
                <w:rFonts w:eastAsia="SimSun"/>
                <w:bCs/>
                <w:color w:val="000000"/>
                <w:sz w:val="18"/>
                <w:szCs w:val="16"/>
                <w:lang w:eastAsia="en-CA"/>
              </w:rPr>
            </w:pPr>
            <w:r w:rsidRPr="004F4229">
              <w:rPr>
                <w:rFonts w:eastAsia="SimSun"/>
                <w:bCs/>
                <w:color w:val="000000"/>
                <w:sz w:val="18"/>
                <w:szCs w:val="16"/>
                <w:lang w:eastAsia="en-CA"/>
              </w:rPr>
              <w:t>Remaining eligible consumption for HCFC-124 (ODP tonnes)</w:t>
            </w:r>
          </w:p>
        </w:tc>
        <w:tc>
          <w:tcPr>
            <w:tcW w:w="438" w:type="pct"/>
            <w:tcBorders>
              <w:top w:val="single" w:sz="4" w:space="0" w:color="auto"/>
              <w:left w:val="nil"/>
              <w:bottom w:val="single" w:sz="4" w:space="0" w:color="auto"/>
              <w:right w:val="single" w:sz="4" w:space="0" w:color="auto"/>
            </w:tcBorders>
            <w:vAlign w:val="bottom"/>
          </w:tcPr>
          <w:p w14:paraId="381F1B0A"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0.22</w:t>
            </w:r>
          </w:p>
        </w:tc>
      </w:tr>
      <w:tr w:rsidR="008C5479" w:rsidRPr="00606BD8" w14:paraId="5B37C701" w14:textId="77777777" w:rsidTr="00057085">
        <w:trPr>
          <w:trHeight w:val="13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3B5CAD59"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4.6.1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6D72FDDB"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Total phase-out of HCFC-141b in pre-blended polyols agreed to be achieved under this agreement (ODP tonnes)</w:t>
            </w:r>
          </w:p>
        </w:tc>
        <w:tc>
          <w:tcPr>
            <w:tcW w:w="438" w:type="pct"/>
            <w:tcBorders>
              <w:top w:val="single" w:sz="4" w:space="0" w:color="auto"/>
              <w:left w:val="nil"/>
              <w:bottom w:val="single" w:sz="4" w:space="0" w:color="auto"/>
              <w:right w:val="single" w:sz="4" w:space="0" w:color="auto"/>
            </w:tcBorders>
            <w:vAlign w:val="bottom"/>
          </w:tcPr>
          <w:p w14:paraId="6F81A22F"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19.81</w:t>
            </w:r>
          </w:p>
        </w:tc>
      </w:tr>
      <w:tr w:rsidR="008C5479" w:rsidRPr="00606BD8" w14:paraId="180E7DCB" w14:textId="77777777" w:rsidTr="00057085">
        <w:trPr>
          <w:trHeight w:val="207"/>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05DA5ACB"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4.6.2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24D9C0AA"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Phase-out of HCFC-141b in pre-blended polyols to be achieved in previously approved projects (ODP tonnes)</w:t>
            </w:r>
          </w:p>
        </w:tc>
        <w:tc>
          <w:tcPr>
            <w:tcW w:w="438" w:type="pct"/>
            <w:tcBorders>
              <w:top w:val="single" w:sz="4" w:space="0" w:color="auto"/>
              <w:left w:val="nil"/>
              <w:bottom w:val="single" w:sz="4" w:space="0" w:color="auto"/>
              <w:right w:val="single" w:sz="4" w:space="0" w:color="auto"/>
            </w:tcBorders>
            <w:vAlign w:val="bottom"/>
          </w:tcPr>
          <w:p w14:paraId="50C105F6"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n/a</w:t>
            </w:r>
          </w:p>
        </w:tc>
      </w:tr>
      <w:tr w:rsidR="008C5479" w:rsidRPr="00606BD8" w14:paraId="1CCFA46C" w14:textId="77777777" w:rsidTr="00057085">
        <w:trPr>
          <w:trHeight w:val="210"/>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7EFC9CE6" w14:textId="77777777" w:rsidR="008C5479" w:rsidRPr="004F4229" w:rsidRDefault="008C5479" w:rsidP="00057085">
            <w:pPr>
              <w:suppressAutoHyphens/>
              <w:jc w:val="left"/>
              <w:rPr>
                <w:rFonts w:eastAsia="SimSun"/>
                <w:color w:val="000000"/>
                <w:sz w:val="18"/>
                <w:szCs w:val="16"/>
                <w:lang w:eastAsia="en-CA"/>
              </w:rPr>
            </w:pPr>
            <w:r w:rsidRPr="004F4229">
              <w:rPr>
                <w:rFonts w:eastAsia="SimSun"/>
                <w:color w:val="000000"/>
                <w:sz w:val="18"/>
                <w:szCs w:val="16"/>
                <w:lang w:eastAsia="en-CA"/>
              </w:rPr>
              <w:t>4.6.3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C1C20AF" w14:textId="77777777" w:rsidR="008C5479" w:rsidRPr="004F4229" w:rsidRDefault="008C5479" w:rsidP="00057085">
            <w:pPr>
              <w:suppressAutoHyphens/>
              <w:jc w:val="left"/>
              <w:rPr>
                <w:rFonts w:eastAsia="SimSun"/>
                <w:bCs/>
                <w:color w:val="000000"/>
                <w:sz w:val="18"/>
                <w:szCs w:val="16"/>
                <w:lang w:eastAsia="en-CA"/>
              </w:rPr>
            </w:pPr>
            <w:r w:rsidRPr="004F4229">
              <w:rPr>
                <w:rFonts w:eastAsia="SimSun"/>
                <w:bCs/>
                <w:color w:val="000000"/>
                <w:sz w:val="18"/>
                <w:szCs w:val="16"/>
                <w:lang w:eastAsia="en-CA"/>
              </w:rPr>
              <w:t xml:space="preserve">Remaining eligible consumption for </w:t>
            </w:r>
            <w:r w:rsidRPr="004F4229">
              <w:rPr>
                <w:rFonts w:eastAsia="SimSun"/>
                <w:color w:val="000000"/>
                <w:sz w:val="18"/>
                <w:szCs w:val="16"/>
                <w:lang w:eastAsia="en-CA"/>
              </w:rPr>
              <w:t xml:space="preserve">HCFC-141b in pre-blended polyols </w:t>
            </w:r>
            <w:r w:rsidRPr="004F4229">
              <w:rPr>
                <w:rFonts w:eastAsia="SimSun"/>
                <w:bCs/>
                <w:color w:val="000000"/>
                <w:sz w:val="18"/>
                <w:szCs w:val="16"/>
                <w:lang w:eastAsia="en-CA"/>
              </w:rPr>
              <w:t>(ODP tonnes)</w:t>
            </w:r>
          </w:p>
        </w:tc>
        <w:tc>
          <w:tcPr>
            <w:tcW w:w="438" w:type="pct"/>
            <w:tcBorders>
              <w:top w:val="single" w:sz="4" w:space="0" w:color="auto"/>
              <w:left w:val="nil"/>
              <w:bottom w:val="single" w:sz="4" w:space="0" w:color="auto"/>
              <w:right w:val="single" w:sz="4" w:space="0" w:color="auto"/>
            </w:tcBorders>
            <w:vAlign w:val="bottom"/>
          </w:tcPr>
          <w:p w14:paraId="1E1EC09A" w14:textId="77777777" w:rsidR="008C5479" w:rsidRPr="004F4229" w:rsidRDefault="008C5479" w:rsidP="00057085">
            <w:pPr>
              <w:suppressAutoHyphens/>
              <w:jc w:val="right"/>
              <w:rPr>
                <w:rFonts w:eastAsia="SimSun"/>
                <w:color w:val="000000"/>
                <w:sz w:val="18"/>
                <w:szCs w:val="16"/>
                <w:lang w:eastAsia="en-CA"/>
              </w:rPr>
            </w:pPr>
            <w:r w:rsidRPr="004F4229">
              <w:rPr>
                <w:rFonts w:eastAsia="SimSun"/>
                <w:color w:val="000000"/>
                <w:sz w:val="18"/>
                <w:szCs w:val="16"/>
                <w:lang w:eastAsia="en-CA"/>
              </w:rPr>
              <w:t>0.86</w:t>
            </w:r>
          </w:p>
        </w:tc>
      </w:tr>
    </w:tbl>
    <w:p w14:paraId="64E379DB" w14:textId="77777777" w:rsidR="008C5479" w:rsidRPr="00606BD8" w:rsidRDefault="008C5479" w:rsidP="008C5479">
      <w:pPr>
        <w:suppressAutoHyphens/>
        <w:rPr>
          <w:rFonts w:eastAsia="SimSun"/>
          <w:sz w:val="18"/>
          <w:szCs w:val="18"/>
          <w:lang w:eastAsia="ar-SA"/>
        </w:rPr>
      </w:pPr>
      <w:r w:rsidRPr="00606BD8">
        <w:rPr>
          <w:rFonts w:eastAsia="SimSun"/>
          <w:sz w:val="18"/>
          <w:szCs w:val="18"/>
          <w:lang w:eastAsia="ar-SA"/>
        </w:rPr>
        <w:t>*Funding for UNIDO includes the fourth tranche request at US $86,500, plus agency support cost of US $6,487, and the foam project at US $431,719, plus agency support cost of US $30,220.</w:t>
      </w:r>
    </w:p>
    <w:p w14:paraId="05C6B05C" w14:textId="77777777" w:rsidR="008C5479" w:rsidRPr="008C5479" w:rsidRDefault="008C5479" w:rsidP="008C5479">
      <w:pPr>
        <w:suppressAutoHyphens/>
      </w:pPr>
      <w:r w:rsidRPr="00606BD8">
        <w:rPr>
          <w:rFonts w:eastAsia="SimSun"/>
          <w:b/>
          <w:sz w:val="18"/>
          <w:szCs w:val="18"/>
          <w:lang w:eastAsia="ar-SA"/>
        </w:rPr>
        <w:t>**At the 87</w:t>
      </w:r>
      <w:r w:rsidRPr="00606BD8">
        <w:rPr>
          <w:rFonts w:eastAsia="SimSun"/>
          <w:b/>
          <w:sz w:val="18"/>
          <w:szCs w:val="18"/>
          <w:vertAlign w:val="superscript"/>
          <w:lang w:eastAsia="ar-SA"/>
        </w:rPr>
        <w:t>th</w:t>
      </w:r>
      <w:r w:rsidRPr="00606BD8">
        <w:rPr>
          <w:rFonts w:eastAsia="SimSun"/>
          <w:b/>
          <w:sz w:val="18"/>
          <w:szCs w:val="18"/>
          <w:lang w:eastAsia="ar-SA"/>
        </w:rPr>
        <w:t xml:space="preserve"> meeting, UNEP </w:t>
      </w:r>
      <w:r>
        <w:rPr>
          <w:rFonts w:eastAsia="SimSun"/>
          <w:b/>
          <w:sz w:val="18"/>
          <w:szCs w:val="18"/>
          <w:lang w:eastAsia="ar-SA"/>
        </w:rPr>
        <w:t xml:space="preserve">stopped being a </w:t>
      </w:r>
      <w:r w:rsidRPr="004F4229">
        <w:rPr>
          <w:rFonts w:eastAsia="SimSun"/>
          <w:b/>
          <w:sz w:val="18"/>
          <w:szCs w:val="18"/>
          <w:lang w:eastAsia="ar-SA"/>
        </w:rPr>
        <w:t>Cooperating Agency and was requested to transfer to UNIDO the approved funding of US $10,000 for the fifth tranche, plus US</w:t>
      </w:r>
      <w:r>
        <w:rPr>
          <w:rFonts w:eastAsia="SimSun"/>
          <w:b/>
          <w:sz w:val="18"/>
          <w:szCs w:val="18"/>
          <w:lang w:eastAsia="ar-SA"/>
        </w:rPr>
        <w:t> </w:t>
      </w:r>
      <w:r w:rsidRPr="004F4229">
        <w:rPr>
          <w:rFonts w:eastAsia="SimSun"/>
          <w:b/>
          <w:sz w:val="18"/>
          <w:szCs w:val="18"/>
          <w:lang w:eastAsia="ar-SA"/>
        </w:rPr>
        <w:t>$700 of</w:t>
      </w:r>
      <w:r>
        <w:rPr>
          <w:rFonts w:eastAsia="SimSun"/>
          <w:b/>
          <w:sz w:val="18"/>
          <w:szCs w:val="18"/>
          <w:lang w:eastAsia="ar-SA"/>
        </w:rPr>
        <w:t xml:space="preserve"> agency support costs</w:t>
      </w:r>
      <w:r w:rsidRPr="00606BD8">
        <w:rPr>
          <w:rFonts w:eastAsia="SimSun"/>
          <w:b/>
          <w:sz w:val="18"/>
          <w:szCs w:val="18"/>
          <w:lang w:eastAsia="ar-SA"/>
        </w:rPr>
        <w:t>.</w:t>
      </w:r>
    </w:p>
    <w:p w14:paraId="32687F2E" w14:textId="77777777" w:rsidR="00B415BF" w:rsidRDefault="00B415BF" w:rsidP="00B415BF">
      <w:pPr>
        <w:jc w:val="center"/>
        <w:rPr>
          <w:b/>
          <w:lang w:val="en-CA"/>
        </w:rPr>
        <w:sectPr w:rsidR="00B415BF" w:rsidSect="0070646B">
          <w:headerReference w:type="first" r:id="rId31"/>
          <w:pgSz w:w="12240" w:h="15840" w:code="1"/>
          <w:pgMar w:top="720" w:right="1440" w:bottom="864" w:left="1440" w:header="720" w:footer="475" w:gutter="0"/>
          <w:pgNumType w:start="1"/>
          <w:cols w:space="720"/>
          <w:titlePg/>
        </w:sectPr>
      </w:pPr>
    </w:p>
    <w:p w14:paraId="6DE3E5AB" w14:textId="77777777" w:rsidR="008C5479" w:rsidRDefault="008C5479" w:rsidP="008C5479">
      <w:pPr>
        <w:jc w:val="center"/>
        <w:rPr>
          <w:rFonts w:eastAsia="Calibri"/>
          <w:b/>
          <w:bCs/>
        </w:rPr>
      </w:pPr>
      <w:r>
        <w:rPr>
          <w:rFonts w:eastAsia="Calibri"/>
          <w:b/>
          <w:bCs/>
        </w:rPr>
        <w:lastRenderedPageBreak/>
        <w:t>Annex V</w:t>
      </w:r>
      <w:r w:rsidR="00621D13">
        <w:rPr>
          <w:rFonts w:eastAsia="Calibri"/>
          <w:b/>
          <w:bCs/>
        </w:rPr>
        <w:t>I</w:t>
      </w:r>
    </w:p>
    <w:p w14:paraId="5AEEC8C8" w14:textId="77777777" w:rsidR="008C5479" w:rsidRDefault="008C5479" w:rsidP="008C5479">
      <w:pPr>
        <w:jc w:val="center"/>
        <w:rPr>
          <w:rFonts w:eastAsia="Calibri"/>
          <w:b/>
          <w:bCs/>
        </w:rPr>
      </w:pPr>
    </w:p>
    <w:p w14:paraId="15997DA5" w14:textId="77777777" w:rsidR="008C5479" w:rsidRPr="00CB311D" w:rsidRDefault="008C5479" w:rsidP="008C5479">
      <w:pPr>
        <w:spacing w:after="240"/>
        <w:jc w:val="center"/>
        <w:rPr>
          <w:rFonts w:eastAsia="Calibri"/>
          <w:b/>
          <w:bCs/>
        </w:rPr>
      </w:pPr>
      <w:r>
        <w:rPr>
          <w:rFonts w:eastAsia="Calibri"/>
          <w:b/>
          <w:bCs/>
        </w:rPr>
        <w:t xml:space="preserve">UPDATED </w:t>
      </w:r>
      <w:r w:rsidRPr="00CB311D">
        <w:rPr>
          <w:rFonts w:eastAsia="Calibri"/>
          <w:b/>
          <w:bCs/>
        </w:rPr>
        <w:t>AGREEMENT BETWEEN THE GOVERNMENT OF ECUADOR AND THE</w:t>
      </w:r>
      <w:r>
        <w:rPr>
          <w:rFonts w:eastAsia="Calibri"/>
          <w:b/>
          <w:bCs/>
        </w:rPr>
        <w:t> </w:t>
      </w:r>
      <w:r w:rsidRPr="00CB311D">
        <w:rPr>
          <w:rFonts w:eastAsia="Calibri"/>
          <w:b/>
          <w:bCs/>
        </w:rPr>
        <w:t>EXECUTIVE COMMITTEE OF THE MULTILATERAL FUND FOR THE REDUCTION IN CONSUMPTION OF HYDROCHLOROFLUOROCARBONS IN ACCORDANCE WITH STAGE II OF THE HCFC PHASE-OUT MANAGEMENT PLAN</w:t>
      </w:r>
      <w:r>
        <w:rPr>
          <w:rFonts w:eastAsia="Calibri"/>
          <w:b/>
          <w:bCs/>
        </w:rPr>
        <w:t xml:space="preserve"> </w:t>
      </w:r>
    </w:p>
    <w:p w14:paraId="3C75E661" w14:textId="77777777" w:rsidR="008C5479" w:rsidRPr="00CB311D" w:rsidRDefault="008C5479" w:rsidP="008C5479">
      <w:pPr>
        <w:spacing w:after="240"/>
        <w:rPr>
          <w:rFonts w:eastAsia="Calibri"/>
          <w:b/>
          <w:bCs/>
        </w:rPr>
      </w:pPr>
      <w:r w:rsidRPr="00CB311D">
        <w:rPr>
          <w:rFonts w:eastAsia="Calibri"/>
          <w:b/>
          <w:bCs/>
        </w:rPr>
        <w:t>Purpose</w:t>
      </w:r>
    </w:p>
    <w:p w14:paraId="1213DD00" w14:textId="77777777" w:rsidR="008C5479" w:rsidRPr="00D906B4" w:rsidRDefault="008C5479" w:rsidP="008C5479">
      <w:pPr>
        <w:pStyle w:val="Heading1"/>
        <w:numPr>
          <w:ilvl w:val="0"/>
          <w:numId w:val="25"/>
        </w:numPr>
        <w:rPr>
          <w:rFonts w:eastAsia="Calibri"/>
        </w:rPr>
      </w:pPr>
      <w:r w:rsidRPr="00D906B4">
        <w:rPr>
          <w:rFonts w:eastAsia="Calibri"/>
        </w:rPr>
        <w:t>This Agreement represents the understanding of the Government of Ecuador (the “Country”) and the Executive Committee with respect to the reduction of controlled use of the ozone</w:t>
      </w:r>
      <w:r w:rsidRPr="00D906B4">
        <w:rPr>
          <w:rFonts w:eastAsia="Calibri"/>
        </w:rPr>
        <w:noBreakHyphen/>
        <w:t>depleting substances (ODS) set out in Appendix 1-A (“The Substances”) to a sustained level of 0 ODP tonnes by 1 January 2030 in compliance with Montreal Protocol schedule.</w:t>
      </w:r>
    </w:p>
    <w:p w14:paraId="1F120099" w14:textId="77777777" w:rsidR="008C5479" w:rsidRPr="00D906B4" w:rsidRDefault="008C5479" w:rsidP="008C5479">
      <w:pPr>
        <w:pStyle w:val="Heading1"/>
        <w:rPr>
          <w:rFonts w:eastAsia="Calibri"/>
        </w:rPr>
      </w:pPr>
      <w:r w:rsidRPr="00CB311D">
        <w:rPr>
          <w:rFonts w:eastAsia="Calibri"/>
        </w:rPr>
        <w:t>The Country agrees to meet the annual consumption limits of the Substances as set out in row 1.2 of Appendix 2</w:t>
      </w:r>
      <w:r w:rsidRPr="00CB311D">
        <w:rPr>
          <w:rFonts w:eastAsia="Calibri"/>
        </w:rPr>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 , 4.2.3, 4.3.3, 4.4.3 and 4.5.3 (remaining consumption eligible for funding).</w:t>
      </w:r>
    </w:p>
    <w:p w14:paraId="10ADBEE2" w14:textId="77777777" w:rsidR="008C5479" w:rsidRPr="00D906B4" w:rsidRDefault="008C5479" w:rsidP="008C5479">
      <w:pPr>
        <w:pStyle w:val="Heading1"/>
        <w:rPr>
          <w:rFonts w:eastAsia="Calibri"/>
        </w:rPr>
      </w:pPr>
      <w:r w:rsidRPr="00CB311D">
        <w:rPr>
          <w:rFonts w:eastAsia="Calibri"/>
        </w:rPr>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14:paraId="74809AA5" w14:textId="77777777" w:rsidR="008C5479" w:rsidRPr="00D906B4" w:rsidRDefault="008C5479" w:rsidP="008C5479">
      <w:pPr>
        <w:pStyle w:val="Heading1"/>
        <w:rPr>
          <w:rFonts w:eastAsia="Calibri"/>
        </w:rPr>
      </w:pPr>
      <w:r w:rsidRPr="00CB311D">
        <w:rPr>
          <w:rFonts w:eastAsia="Calibri"/>
        </w:rPr>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w:t>
      </w:r>
      <w:r>
        <w:rPr>
          <w:rFonts w:eastAsia="Calibri"/>
        </w:rPr>
        <w:t>nt. The aforementioned verif</w:t>
      </w:r>
      <w:r w:rsidRPr="00CB311D">
        <w:rPr>
          <w:rFonts w:eastAsia="Calibri"/>
        </w:rPr>
        <w:t>ication will be commissioned by the relevant bilateral or implementing agency.</w:t>
      </w:r>
    </w:p>
    <w:p w14:paraId="04B9B524" w14:textId="77777777" w:rsidR="008C5479" w:rsidRPr="00CB311D" w:rsidRDefault="008C5479" w:rsidP="008C5479">
      <w:pPr>
        <w:spacing w:after="240"/>
        <w:rPr>
          <w:rFonts w:eastAsia="Calibri"/>
          <w:b/>
          <w:bCs/>
        </w:rPr>
      </w:pPr>
      <w:r w:rsidRPr="00CB311D">
        <w:rPr>
          <w:rFonts w:eastAsia="Calibri"/>
          <w:b/>
          <w:bCs/>
        </w:rPr>
        <w:t>Conditions for funding release</w:t>
      </w:r>
    </w:p>
    <w:p w14:paraId="6366C9AB" w14:textId="77777777" w:rsidR="008C5479" w:rsidRPr="00CB311D" w:rsidRDefault="008C5479" w:rsidP="008C5479">
      <w:pPr>
        <w:pStyle w:val="Heading1"/>
        <w:rPr>
          <w:rFonts w:eastAsia="Calibri"/>
        </w:rPr>
      </w:pPr>
      <w:r w:rsidRPr="00CB311D">
        <w:rPr>
          <w:rFonts w:eastAsia="Calibri"/>
        </w:rPr>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14:paraId="795389AC" w14:textId="77777777" w:rsidR="008C5479" w:rsidRPr="00CB311D" w:rsidRDefault="008C5479" w:rsidP="008C5479">
      <w:pPr>
        <w:pStyle w:val="Heading2"/>
        <w:rPr>
          <w:rFonts w:eastAsia="Calibri"/>
        </w:rPr>
      </w:pPr>
      <w:r w:rsidRPr="00CB311D">
        <w:rPr>
          <w:rFonts w:eastAsia="Calibri"/>
        </w:rPr>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14:paraId="14D5828C" w14:textId="77777777" w:rsidR="008C5479" w:rsidRPr="00CB311D" w:rsidRDefault="008C5479" w:rsidP="008C5479">
      <w:pPr>
        <w:pStyle w:val="Heading2"/>
        <w:rPr>
          <w:rFonts w:eastAsia="Calibri"/>
        </w:rPr>
      </w:pPr>
      <w:r w:rsidRPr="00CB311D">
        <w:rPr>
          <w:rFonts w:eastAsia="Calibri"/>
        </w:rPr>
        <w:t>That the meeting of these Targets has been independently verified for all relevant years, unless the Executive Committee decided that such verification would not be required;</w:t>
      </w:r>
    </w:p>
    <w:p w14:paraId="5DFE0076" w14:textId="77777777" w:rsidR="008C5479" w:rsidRPr="00CB311D" w:rsidRDefault="008C5479" w:rsidP="008C5479">
      <w:pPr>
        <w:pStyle w:val="Heading2"/>
        <w:rPr>
          <w:rFonts w:eastAsia="Calibri"/>
        </w:rPr>
      </w:pPr>
      <w:r w:rsidRPr="00CB311D">
        <w:rPr>
          <w:rFonts w:eastAsia="Calibri"/>
        </w:rPr>
        <w:t xml:space="preserve">That the Country had submitted a Tranche Implementation Report in the form of Appendix 4-A (“Format of Tranche Implementation Reports and Plans”) covering each previous calendar year; that it had achieved a significant level of implementation of </w:t>
      </w:r>
      <w:r w:rsidRPr="00CB311D">
        <w:rPr>
          <w:rFonts w:eastAsia="Calibri"/>
        </w:rPr>
        <w:lastRenderedPageBreak/>
        <w:t>activities initiated with previously approved tranches; and that the rate of disbursement of funding available from the previously approved tranche was more than 20 per cent; and</w:t>
      </w:r>
    </w:p>
    <w:p w14:paraId="74649345" w14:textId="77777777" w:rsidR="008C5479" w:rsidRPr="00CB311D" w:rsidRDefault="008C5479" w:rsidP="008C5479">
      <w:pPr>
        <w:pStyle w:val="Heading2"/>
        <w:rPr>
          <w:rFonts w:eastAsia="Calibri"/>
        </w:rPr>
      </w:pPr>
      <w:r w:rsidRPr="00CB311D">
        <w:rPr>
          <w:rFonts w:eastAsia="Calibri"/>
        </w:rPr>
        <w:t>That the Country has submitted a Tranche Implementation Plan in the form of Appendix 4</w:t>
      </w:r>
      <w:r w:rsidRPr="00CB311D">
        <w:rPr>
          <w:rFonts w:eastAsia="Calibri"/>
        </w:rPr>
        <w:noBreakHyphen/>
        <w:t>A covering each calendar year until and including the year for which the funding schedule foresees the submission of the next tranche or, in case of the final tranche, until completion of all activities foreseen.</w:t>
      </w:r>
    </w:p>
    <w:p w14:paraId="5172A731" w14:textId="77777777" w:rsidR="008C5479" w:rsidRPr="00CB311D" w:rsidRDefault="008C5479" w:rsidP="008C5479">
      <w:pPr>
        <w:spacing w:after="240"/>
        <w:rPr>
          <w:rFonts w:eastAsia="Calibri"/>
          <w:b/>
          <w:bCs/>
        </w:rPr>
      </w:pPr>
      <w:r w:rsidRPr="00CB311D">
        <w:rPr>
          <w:rFonts w:eastAsia="Calibri"/>
          <w:b/>
          <w:bCs/>
        </w:rPr>
        <w:t>Monitoring</w:t>
      </w:r>
    </w:p>
    <w:p w14:paraId="3684D6A5" w14:textId="77777777" w:rsidR="008C5479" w:rsidRPr="00CB311D" w:rsidRDefault="008C5479" w:rsidP="008C5479">
      <w:pPr>
        <w:pStyle w:val="Heading1"/>
        <w:rPr>
          <w:rFonts w:eastAsia="Calibri"/>
        </w:rPr>
      </w:pPr>
      <w:r w:rsidRPr="00CB311D">
        <w:rPr>
          <w:rFonts w:eastAsia="Calibri"/>
        </w:rPr>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14:paraId="212B5B99" w14:textId="77777777" w:rsidR="008C5479" w:rsidRDefault="008C5479" w:rsidP="008C5479">
      <w:pPr>
        <w:spacing w:after="240"/>
        <w:rPr>
          <w:rFonts w:eastAsia="Calibri"/>
          <w:b/>
          <w:bCs/>
        </w:rPr>
      </w:pPr>
      <w:r w:rsidRPr="00CB311D">
        <w:rPr>
          <w:rFonts w:eastAsia="Calibri"/>
          <w:b/>
          <w:bCs/>
        </w:rPr>
        <w:t>Flexibility in the reallocation of funds</w:t>
      </w:r>
    </w:p>
    <w:p w14:paraId="1765C664" w14:textId="77777777" w:rsidR="008C5479" w:rsidRPr="00D906B4" w:rsidRDefault="008C5479" w:rsidP="008C5479">
      <w:pPr>
        <w:pStyle w:val="Heading1"/>
        <w:rPr>
          <w:rFonts w:eastAsia="Calibri"/>
          <w:b/>
          <w:bCs/>
        </w:rPr>
      </w:pPr>
      <w:r w:rsidRPr="00CB311D">
        <w:rPr>
          <w:rFonts w:eastAsia="Calibri"/>
        </w:rPr>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14:paraId="36789A95" w14:textId="77777777" w:rsidR="008C5479" w:rsidRPr="00CB311D" w:rsidRDefault="008C5479" w:rsidP="008C5479">
      <w:pPr>
        <w:pStyle w:val="Heading2"/>
        <w:rPr>
          <w:rFonts w:eastAsia="Calibri"/>
        </w:rPr>
      </w:pPr>
      <w:r w:rsidRPr="00CB311D">
        <w:rPr>
          <w:rFonts w:eastAsia="Calibri"/>
        </w:rPr>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14:paraId="4BCF1F12" w14:textId="77777777" w:rsidR="008C5479" w:rsidRPr="00CB311D" w:rsidRDefault="008C5479" w:rsidP="008C5479">
      <w:pPr>
        <w:pStyle w:val="Heading3"/>
        <w:rPr>
          <w:rFonts w:eastAsia="Calibri"/>
        </w:rPr>
      </w:pPr>
      <w:r w:rsidRPr="00CB311D">
        <w:rPr>
          <w:rFonts w:eastAsia="Calibri"/>
        </w:rPr>
        <w:t xml:space="preserve">Issues potentially concerning the rules and policies of the Multilateral Fund; </w:t>
      </w:r>
    </w:p>
    <w:p w14:paraId="63E7C051" w14:textId="77777777" w:rsidR="008C5479" w:rsidRPr="00CB311D" w:rsidRDefault="008C5479" w:rsidP="008C5479">
      <w:pPr>
        <w:pStyle w:val="Heading3"/>
        <w:rPr>
          <w:rFonts w:eastAsia="Calibri"/>
        </w:rPr>
      </w:pPr>
      <w:r w:rsidRPr="00CB311D">
        <w:rPr>
          <w:rFonts w:eastAsia="Calibri"/>
        </w:rPr>
        <w:t xml:space="preserve">Changes which would modify any clause of this Agreement; </w:t>
      </w:r>
    </w:p>
    <w:p w14:paraId="4CC9C7E7" w14:textId="77777777" w:rsidR="008C5479" w:rsidRPr="00CB311D" w:rsidRDefault="008C5479" w:rsidP="008C5479">
      <w:pPr>
        <w:pStyle w:val="Heading3"/>
        <w:rPr>
          <w:rFonts w:eastAsia="Calibri"/>
        </w:rPr>
      </w:pPr>
      <w:r w:rsidRPr="00CB311D">
        <w:rPr>
          <w:rFonts w:eastAsia="Calibri"/>
        </w:rPr>
        <w:t>Changes in the annual levels of funding allocated to individual bilateral or implementing agencies for the different tranches;</w:t>
      </w:r>
    </w:p>
    <w:p w14:paraId="7406D902" w14:textId="77777777" w:rsidR="008C5479" w:rsidRPr="00CB311D" w:rsidRDefault="008C5479" w:rsidP="008C5479">
      <w:pPr>
        <w:pStyle w:val="Heading3"/>
        <w:rPr>
          <w:rFonts w:eastAsia="Calibri"/>
        </w:rPr>
      </w:pPr>
      <w:r w:rsidRPr="00CB311D">
        <w:rPr>
          <w:rFonts w:eastAsia="Calibri"/>
        </w:rPr>
        <w:t>Provision of funding for activities not included in the current endorsed Tranche Implementation Plan, or removal of an activity in the Tranche Implementation Plan, with a cost greater than 30 per cent of the total cost of the last approved tranche; and</w:t>
      </w:r>
    </w:p>
    <w:p w14:paraId="45C017BD" w14:textId="77777777" w:rsidR="008C5479" w:rsidRPr="00D906B4" w:rsidRDefault="008C5479" w:rsidP="008C5479">
      <w:pPr>
        <w:pStyle w:val="Heading3"/>
        <w:rPr>
          <w:rFonts w:eastAsia="Calibri"/>
        </w:rPr>
      </w:pPr>
      <w:r w:rsidRPr="00CB311D">
        <w:rPr>
          <w:rFonts w:eastAsia="Calibri"/>
        </w:rPr>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14:paraId="755B8ACB" w14:textId="77777777" w:rsidR="008C5479" w:rsidRPr="00D906B4" w:rsidRDefault="008C5479" w:rsidP="008C5479">
      <w:pPr>
        <w:pStyle w:val="Heading2"/>
        <w:rPr>
          <w:rFonts w:eastAsia="Calibri"/>
        </w:rPr>
      </w:pPr>
      <w:r w:rsidRPr="00CB311D">
        <w:rPr>
          <w:rFonts w:eastAsia="Calibri"/>
        </w:rPr>
        <w:t>Reallocations not categorized as major changes may be incorporated in the approved Tranche Implementation Plan, under implementation at the time, and reported to the Executive Committee in the subsequent Tranche Implementation Report;</w:t>
      </w:r>
    </w:p>
    <w:p w14:paraId="53E8857B" w14:textId="77777777" w:rsidR="008C5479" w:rsidRPr="00CB311D" w:rsidRDefault="008C5479" w:rsidP="008C5479">
      <w:pPr>
        <w:pStyle w:val="Heading2"/>
        <w:rPr>
          <w:rFonts w:eastAsia="Calibri"/>
        </w:rPr>
      </w:pPr>
      <w:r w:rsidRPr="00CB311D">
        <w:rPr>
          <w:rFonts w:eastAsia="Calibri"/>
        </w:rPr>
        <w:t>Any enterprise to be converted to non-HCFC technology included in the Plan and that would be found to be ineligible under the policies of the Multilateral Fund (i.e., due to foreign ownership or establishment post the 21 September 2007 cut-off date), would not receive financial assistance. This information would be reported as part of the Tranche Implementation Plan;</w:t>
      </w:r>
    </w:p>
    <w:p w14:paraId="1A55A3B7" w14:textId="77777777" w:rsidR="008C5479" w:rsidRPr="00D906B4" w:rsidRDefault="008C5479" w:rsidP="008C5479">
      <w:pPr>
        <w:pStyle w:val="Heading2"/>
        <w:rPr>
          <w:rFonts w:eastAsia="Calibri"/>
        </w:rPr>
      </w:pPr>
      <w:r w:rsidRPr="00CB311D">
        <w:rPr>
          <w:rFonts w:eastAsia="Calibri"/>
        </w:rPr>
        <w:lastRenderedPageBreak/>
        <w:t>The Country commits to examining the possibility of using pre-blended systems with low</w:t>
      </w:r>
      <w:r w:rsidRPr="00CB311D">
        <w:rPr>
          <w:rFonts w:eastAsia="Calibri"/>
        </w:rPr>
        <w:noBreakHyphen/>
        <w:t xml:space="preserve">global warming potential blowing agents instead of blending them in-house, for those foam enterprises covered under the Plan, should this be technically viable, economically feasible and acceptable to the enterprises; </w:t>
      </w:r>
    </w:p>
    <w:p w14:paraId="627669C3" w14:textId="77777777" w:rsidR="008C5479" w:rsidRPr="00D906B4" w:rsidRDefault="008C5479" w:rsidP="008C5479">
      <w:pPr>
        <w:pStyle w:val="Heading2"/>
        <w:rPr>
          <w:rFonts w:eastAsia="Calibri"/>
        </w:rPr>
      </w:pPr>
      <w:r w:rsidRPr="00CB311D">
        <w:rPr>
          <w:rFonts w:eastAsia="Calibri"/>
        </w:rPr>
        <w:t>The Country agrees, in cases where HFC technologies have been chosen as an alternative to HCFCs, and taking into account national circumstances related to health and safety: to monitor the availability of substitutes and alternatives that further minimize impacts on the climate; to consider, in the review of regulations standards and incentives adequate provisions that encourage introduction of such alternatives; and to consider the potential for adoption of cost-effective alternatives that minimize the climate impact in the implementation of the HPMP, as appropriate, and inform the Executive Committee on the progress accordingly in tranche implementation reports; and</w:t>
      </w:r>
    </w:p>
    <w:p w14:paraId="73C44636" w14:textId="77777777" w:rsidR="008C5479" w:rsidRPr="00D906B4" w:rsidRDefault="008C5479" w:rsidP="008C5479">
      <w:pPr>
        <w:pStyle w:val="Heading2"/>
        <w:rPr>
          <w:rFonts w:eastAsia="Calibri"/>
        </w:rPr>
      </w:pPr>
      <w:r w:rsidRPr="00CB311D">
        <w:rPr>
          <w:rFonts w:eastAsia="Calibri"/>
        </w:rPr>
        <w:t>Any remaining funds held by the bilateral or implementing agencies or the Country under the Plan will be returned to the Multilateral Fund upon completion of the last tranche foreseen under this Agreement.</w:t>
      </w:r>
    </w:p>
    <w:p w14:paraId="4BC686CB" w14:textId="77777777" w:rsidR="008C5479" w:rsidRPr="00CB311D" w:rsidRDefault="008C5479" w:rsidP="008C5479">
      <w:pPr>
        <w:pStyle w:val="NoSpacing"/>
        <w:spacing w:after="240"/>
        <w:rPr>
          <w:rFonts w:eastAsia="Calibri"/>
          <w:b/>
          <w:lang w:val="en-US"/>
        </w:rPr>
      </w:pPr>
      <w:r w:rsidRPr="00CB311D">
        <w:rPr>
          <w:rFonts w:eastAsia="Calibri"/>
          <w:b/>
          <w:lang w:val="en-US"/>
        </w:rPr>
        <w:t>Considerations for the refrigeration servicing sector</w:t>
      </w:r>
    </w:p>
    <w:p w14:paraId="1A2DF948" w14:textId="77777777" w:rsidR="008C5479" w:rsidRPr="00CB311D" w:rsidRDefault="008C5479" w:rsidP="008C5479">
      <w:pPr>
        <w:pStyle w:val="Heading1"/>
        <w:rPr>
          <w:rFonts w:eastAsia="Calibri"/>
        </w:rPr>
      </w:pPr>
      <w:r w:rsidRPr="00CB311D">
        <w:rPr>
          <w:rFonts w:eastAsia="Calibri"/>
        </w:rPr>
        <w:t>Specific attention will be paid to the execution of the activities in the refrigeration servicing sector included in the Plan, in particular:</w:t>
      </w:r>
    </w:p>
    <w:p w14:paraId="70C10955" w14:textId="77777777" w:rsidR="008C5479" w:rsidRPr="00D906B4" w:rsidRDefault="008C5479" w:rsidP="008C5479">
      <w:pPr>
        <w:pStyle w:val="Heading2"/>
        <w:rPr>
          <w:rFonts w:eastAsia="Calibri"/>
        </w:rPr>
      </w:pPr>
      <w:r w:rsidRPr="00CB311D">
        <w:rPr>
          <w:rFonts w:eastAsia="Calibri"/>
        </w:rPr>
        <w:t>The Country would use the flexibility available under this Agreement to address specific needs that might arise during project implementation; and</w:t>
      </w:r>
    </w:p>
    <w:p w14:paraId="388FFB57" w14:textId="77777777" w:rsidR="008C5479" w:rsidRPr="00D906B4" w:rsidRDefault="008C5479" w:rsidP="008C5479">
      <w:pPr>
        <w:pStyle w:val="Heading2"/>
        <w:rPr>
          <w:rFonts w:eastAsia="Calibri"/>
        </w:rPr>
      </w:pPr>
      <w:r w:rsidRPr="00CB311D">
        <w:rPr>
          <w:rFonts w:eastAsia="Calibri"/>
        </w:rPr>
        <w:t>The Country and relevant bilateral and/or implementing agencies would take into consideration relevant decisions on the refrigeration servicing sector during the implementation of the Plan.</w:t>
      </w:r>
    </w:p>
    <w:p w14:paraId="06A9FD05" w14:textId="77777777" w:rsidR="008C5479" w:rsidRPr="00CB311D" w:rsidRDefault="008C5479" w:rsidP="008C5479">
      <w:pPr>
        <w:pStyle w:val="NoSpacing"/>
        <w:spacing w:after="240"/>
        <w:rPr>
          <w:rFonts w:eastAsia="Calibri"/>
          <w:b/>
          <w:lang w:val="en-US"/>
        </w:rPr>
      </w:pPr>
      <w:r w:rsidRPr="00CB311D">
        <w:rPr>
          <w:rFonts w:eastAsia="Calibri"/>
          <w:b/>
          <w:lang w:val="en-US"/>
        </w:rPr>
        <w:t>Bilateral and implementing agencies</w:t>
      </w:r>
    </w:p>
    <w:p w14:paraId="425C5613" w14:textId="77777777" w:rsidR="008C5479" w:rsidRPr="00D906B4" w:rsidRDefault="008C5479" w:rsidP="008C5479">
      <w:pPr>
        <w:pStyle w:val="Heading1"/>
        <w:rPr>
          <w:rFonts w:eastAsia="Calibri"/>
        </w:rPr>
      </w:pPr>
      <w:r w:rsidRPr="00CB311D">
        <w:rPr>
          <w:rFonts w:eastAsia="Calibri"/>
        </w:rPr>
        <w:t>The Country agrees to assume overall responsibility for the management and implementation of this Agreement and of all activities undertaken by it or on its behalf to fulfil the obligations under this Agreement. UNIDO has agreed to be the lead implementing agency (the “Lead IA”) in respect of the Country’s activities under this Agreement. The Country agrees to evaluations, which might be carried out under the monitoring and evaluation work programmes of the Multilateral Fund or under the evaluation programme of the Lead IA taking part in this Agreement.</w:t>
      </w:r>
    </w:p>
    <w:p w14:paraId="6B5EE5A6" w14:textId="77777777" w:rsidR="008C5479" w:rsidRPr="00D64FF2" w:rsidRDefault="008C5479" w:rsidP="008C5479">
      <w:pPr>
        <w:pStyle w:val="Heading1"/>
        <w:rPr>
          <w:rFonts w:eastAsia="Calibri"/>
        </w:rPr>
      </w:pPr>
      <w:r w:rsidRPr="00CB311D">
        <w:rPr>
          <w:rFonts w:eastAsia="Calibri"/>
        </w:rPr>
        <w:t>The Lead IA will be responsible for ensuring coordinated planning, implementation and reporting of all activities under this Agreement, including but not limited to independent verification as per sub</w:t>
      </w:r>
      <w:r w:rsidRPr="00CB311D">
        <w:rPr>
          <w:rFonts w:eastAsia="Calibri"/>
        </w:rPr>
        <w:noBreakHyphen/>
        <w:t xml:space="preserve">paragraph 5(b). The role of the Lead IA </w:t>
      </w:r>
      <w:r>
        <w:rPr>
          <w:rFonts w:eastAsia="Calibri"/>
        </w:rPr>
        <w:t>is</w:t>
      </w:r>
      <w:r w:rsidRPr="00CB311D">
        <w:rPr>
          <w:rFonts w:eastAsia="Calibri"/>
        </w:rPr>
        <w:t xml:space="preserve"> contained in Appendix 6-A. The Executive Committee agrees; in principle, to provide the Lead IA with the fees set out in row 2.2 of Appendix 2</w:t>
      </w:r>
      <w:r w:rsidRPr="00CB311D">
        <w:rPr>
          <w:rFonts w:eastAsia="Calibri"/>
        </w:rPr>
        <w:noBreakHyphen/>
        <w:t>A.</w:t>
      </w:r>
    </w:p>
    <w:p w14:paraId="329D0DD6" w14:textId="77777777" w:rsidR="008C5479" w:rsidRPr="00CB311D" w:rsidRDefault="008C5479" w:rsidP="008C5479">
      <w:pPr>
        <w:pStyle w:val="NoSpacing"/>
        <w:spacing w:after="240"/>
        <w:rPr>
          <w:rFonts w:eastAsia="Calibri"/>
          <w:b/>
          <w:lang w:val="en-US"/>
        </w:rPr>
      </w:pPr>
      <w:r w:rsidRPr="00CB311D">
        <w:rPr>
          <w:rFonts w:eastAsia="Calibri"/>
          <w:b/>
          <w:lang w:val="en-US"/>
        </w:rPr>
        <w:t>Non-compliance with the Agreement</w:t>
      </w:r>
    </w:p>
    <w:p w14:paraId="4E28A062" w14:textId="77777777" w:rsidR="008C5479" w:rsidRPr="00D64FF2" w:rsidRDefault="008C5479" w:rsidP="008C5479">
      <w:pPr>
        <w:pStyle w:val="Heading1"/>
        <w:rPr>
          <w:rFonts w:eastAsia="Calibri"/>
        </w:rPr>
      </w:pPr>
      <w:r w:rsidRPr="00CB311D">
        <w:rPr>
          <w:rFonts w:eastAsia="Calibri"/>
        </w:rPr>
        <w:t xml:space="preserve">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w:t>
      </w:r>
      <w:r w:rsidRPr="00CB311D">
        <w:rPr>
          <w:rFonts w:eastAsia="Calibri"/>
        </w:rPr>
        <w:lastRenderedPageBreak/>
        <w:t>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14:paraId="079DC10C" w14:textId="77777777" w:rsidR="008C5479" w:rsidRPr="00D64FF2" w:rsidRDefault="008C5479" w:rsidP="008C5479">
      <w:pPr>
        <w:pStyle w:val="Heading1"/>
        <w:rPr>
          <w:rFonts w:eastAsia="Calibri"/>
        </w:rPr>
      </w:pPr>
      <w:r w:rsidRPr="00CB311D">
        <w:rPr>
          <w:rFonts w:eastAsia="Calibri"/>
        </w:rPr>
        <w:t>The Funding of this Agreement will not be modified on the basis of any future Executive Committee decisions that may affect the funding of any other consumption sector projects or any other related activities in the Country.</w:t>
      </w:r>
    </w:p>
    <w:p w14:paraId="4A039CFC" w14:textId="77777777" w:rsidR="008C5479" w:rsidRPr="00D64FF2" w:rsidRDefault="008C5479" w:rsidP="008C5479">
      <w:pPr>
        <w:pStyle w:val="Heading1"/>
        <w:rPr>
          <w:rFonts w:eastAsia="Calibri"/>
        </w:rPr>
      </w:pPr>
      <w:r w:rsidRPr="00CB311D">
        <w:rPr>
          <w:rFonts w:eastAsia="Calibri"/>
        </w:rPr>
        <w:t>The Country will comply with any reasonable request of the Executive Committee</w:t>
      </w:r>
      <w:r>
        <w:rPr>
          <w:rFonts w:eastAsia="Calibri"/>
        </w:rPr>
        <w:t xml:space="preserve"> and </w:t>
      </w:r>
      <w:r w:rsidRPr="00CB311D">
        <w:rPr>
          <w:rFonts w:eastAsia="Calibri"/>
        </w:rPr>
        <w:t>the Lead</w:t>
      </w:r>
      <w:r>
        <w:rPr>
          <w:rFonts w:eastAsia="Calibri"/>
        </w:rPr>
        <w:t> </w:t>
      </w:r>
      <w:r w:rsidRPr="00CB311D">
        <w:rPr>
          <w:rFonts w:eastAsia="Calibri"/>
        </w:rPr>
        <w:t>IA to facilitate implementation of this Agreement. In particular, it will provide the Lead IA with access to the information necessary to verify compliance with this Agreement.</w:t>
      </w:r>
    </w:p>
    <w:p w14:paraId="07AA4F29" w14:textId="77777777" w:rsidR="008C5479" w:rsidRPr="00CB311D" w:rsidRDefault="008C5479" w:rsidP="008C5479">
      <w:pPr>
        <w:pStyle w:val="NoSpacing"/>
        <w:spacing w:after="240"/>
        <w:rPr>
          <w:rFonts w:eastAsia="Calibri"/>
          <w:b/>
          <w:lang w:val="en-US"/>
        </w:rPr>
      </w:pPr>
      <w:r w:rsidRPr="00CB311D">
        <w:rPr>
          <w:rFonts w:eastAsia="Calibri"/>
          <w:b/>
          <w:lang w:val="en-US"/>
        </w:rPr>
        <w:t>Date of completion</w:t>
      </w:r>
    </w:p>
    <w:p w14:paraId="2BAB82AE" w14:textId="77777777" w:rsidR="008C5479" w:rsidRPr="00D64FF2" w:rsidRDefault="008C5479" w:rsidP="008C5479">
      <w:pPr>
        <w:pStyle w:val="Heading1"/>
        <w:rPr>
          <w:rFonts w:eastAsia="Calibri"/>
        </w:rPr>
      </w:pPr>
      <w:r w:rsidRPr="00CB311D">
        <w:rPr>
          <w:rFonts w:eastAsia="Calibri"/>
        </w:rPr>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14:paraId="6DC11C2F" w14:textId="77777777" w:rsidR="008C5479" w:rsidRPr="00CB311D" w:rsidRDefault="008C5479" w:rsidP="008C5479">
      <w:pPr>
        <w:pStyle w:val="NoSpacing"/>
        <w:spacing w:after="240"/>
        <w:rPr>
          <w:rFonts w:eastAsia="Calibri"/>
          <w:b/>
          <w:lang w:val="en-US"/>
        </w:rPr>
      </w:pPr>
      <w:r w:rsidRPr="00CB311D">
        <w:rPr>
          <w:rFonts w:eastAsia="Calibri"/>
          <w:b/>
          <w:lang w:val="en-US"/>
        </w:rPr>
        <w:t>Validity</w:t>
      </w:r>
    </w:p>
    <w:p w14:paraId="24632226" w14:textId="77777777" w:rsidR="008C5479" w:rsidRPr="00CB311D" w:rsidRDefault="008C5479" w:rsidP="008C5479">
      <w:pPr>
        <w:pStyle w:val="Heading1"/>
        <w:rPr>
          <w:rFonts w:eastAsia="Calibri"/>
        </w:rPr>
      </w:pPr>
      <w:r w:rsidRPr="00CB311D">
        <w:rPr>
          <w:rFonts w:eastAsia="Calibri"/>
        </w:rPr>
        <w:t>All of the conditions set out in this Agreement are undertaken solely within the context of the Montreal Protocol and as specified in this Agreement.</w:t>
      </w:r>
      <w:r>
        <w:rPr>
          <w:rFonts w:eastAsia="Calibri"/>
        </w:rPr>
        <w:t xml:space="preserve"> </w:t>
      </w:r>
      <w:r w:rsidRPr="00CB311D">
        <w:rPr>
          <w:rFonts w:eastAsia="Calibri"/>
        </w:rPr>
        <w:t>All terms used in this Agreement have the meaning ascribed to them in the Montreal Protocol unless otherwise defined herein.</w:t>
      </w:r>
    </w:p>
    <w:p w14:paraId="0A21D503" w14:textId="77777777" w:rsidR="008C5479" w:rsidRDefault="008C5479" w:rsidP="008C5479">
      <w:pPr>
        <w:pStyle w:val="Heading1"/>
        <w:rPr>
          <w:rFonts w:eastAsia="Calibri"/>
        </w:rPr>
      </w:pPr>
      <w:r w:rsidRPr="002777D7">
        <w:rPr>
          <w:rFonts w:eastAsia="Calibri"/>
        </w:rPr>
        <w:t>This Agreement may be modified or terminated only by mutual written agreement of the Country and the Executive Committee of the Multilateral Fund.</w:t>
      </w:r>
    </w:p>
    <w:p w14:paraId="4EF59953" w14:textId="77777777" w:rsidR="008C5479" w:rsidRPr="00B51B9D" w:rsidRDefault="008C5479" w:rsidP="008C5479">
      <w:pPr>
        <w:pStyle w:val="Heading1"/>
        <w:rPr>
          <w:rFonts w:eastAsia="Calibri"/>
          <w:b/>
        </w:rPr>
      </w:pPr>
      <w:r w:rsidRPr="00B51B9D">
        <w:rPr>
          <w:rFonts w:eastAsia="Calibri"/>
          <w:b/>
        </w:rPr>
        <w:t>At the 87</w:t>
      </w:r>
      <w:r w:rsidRPr="00B51B9D">
        <w:rPr>
          <w:rFonts w:eastAsia="Calibri"/>
          <w:b/>
          <w:vertAlign w:val="superscript"/>
        </w:rPr>
        <w:t>th</w:t>
      </w:r>
      <w:r w:rsidRPr="00B51B9D">
        <w:rPr>
          <w:rFonts w:eastAsia="Calibri"/>
          <w:b/>
        </w:rPr>
        <w:t xml:space="preserve"> meeting UNEP stopped being the Cooperating Agency in respect of the Country’s activities under this Agreement. Therefore, the responsibilities of UNEP under this Agreement only extend up to the 87</w:t>
      </w:r>
      <w:r w:rsidRPr="00B51B9D">
        <w:rPr>
          <w:rFonts w:eastAsia="Calibri"/>
          <w:b/>
          <w:vertAlign w:val="superscript"/>
        </w:rPr>
        <w:t>th</w:t>
      </w:r>
      <w:r w:rsidRPr="00B51B9D">
        <w:rPr>
          <w:rFonts w:eastAsia="Calibri"/>
          <w:b/>
        </w:rPr>
        <w:t xml:space="preserve"> meeting. This updated Agreement supersedes the Agreement reached between the Government of Ecuador and the Executive Committee at the 86</w:t>
      </w:r>
      <w:r w:rsidRPr="00B51B9D">
        <w:rPr>
          <w:rFonts w:eastAsia="Calibri"/>
          <w:b/>
          <w:vertAlign w:val="superscript"/>
        </w:rPr>
        <w:t>th</w:t>
      </w:r>
      <w:r w:rsidRPr="00B51B9D">
        <w:rPr>
          <w:rFonts w:eastAsia="Calibri"/>
          <w:b/>
        </w:rPr>
        <w:t> meeting of the Executive Committee.</w:t>
      </w:r>
    </w:p>
    <w:p w14:paraId="3F07D8B3" w14:textId="77777777" w:rsidR="008C5479" w:rsidRPr="006D71AE" w:rsidRDefault="008C5479" w:rsidP="008C5479">
      <w:pPr>
        <w:rPr>
          <w:rFonts w:eastAsia="Calibri"/>
        </w:rPr>
      </w:pPr>
    </w:p>
    <w:p w14:paraId="2B1112CF" w14:textId="77777777" w:rsidR="008C5479" w:rsidRPr="00CB311D" w:rsidRDefault="008C5479" w:rsidP="008C5479">
      <w:pPr>
        <w:pStyle w:val="NoSpacing"/>
        <w:spacing w:after="240"/>
        <w:rPr>
          <w:b/>
          <w:bCs/>
          <w:lang w:val="en-US"/>
        </w:rPr>
      </w:pPr>
      <w:r w:rsidRPr="00CB311D">
        <w:rPr>
          <w:b/>
          <w:bCs/>
          <w:lang w:val="en-US"/>
        </w:rPr>
        <w:t>APPENDICES</w:t>
      </w:r>
    </w:p>
    <w:p w14:paraId="490B697D" w14:textId="77777777" w:rsidR="008C5479" w:rsidRPr="00CB311D" w:rsidRDefault="008C5479" w:rsidP="008C5479">
      <w:pPr>
        <w:pStyle w:val="NoSpacing"/>
        <w:rPr>
          <w:b/>
          <w:bCs/>
          <w:lang w:val="en-US"/>
        </w:rPr>
      </w:pPr>
      <w:r w:rsidRPr="00CB311D">
        <w:rPr>
          <w:b/>
          <w:bCs/>
          <w:lang w:val="en-US"/>
        </w:rPr>
        <w:t>APPENDIX 1-A: THE SUBSTANCES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11"/>
        <w:gridCol w:w="1091"/>
        <w:gridCol w:w="2898"/>
      </w:tblGrid>
      <w:tr w:rsidR="008C5479" w:rsidRPr="00D64FF2" w14:paraId="7F411CB3" w14:textId="77777777" w:rsidTr="00057085">
        <w:trPr>
          <w:trHeight w:val="413"/>
          <w:tblHeader/>
        </w:trPr>
        <w:tc>
          <w:tcPr>
            <w:tcW w:w="2291" w:type="pct"/>
            <w:shd w:val="clear" w:color="auto" w:fill="auto"/>
            <w:vAlign w:val="center"/>
          </w:tcPr>
          <w:p w14:paraId="55DAB587" w14:textId="77777777" w:rsidR="008C5479" w:rsidRPr="00D64FF2" w:rsidRDefault="008C5479" w:rsidP="00057085">
            <w:pPr>
              <w:jc w:val="center"/>
              <w:rPr>
                <w:rFonts w:eastAsia="Calibri"/>
                <w:b/>
                <w:bCs/>
                <w:sz w:val="20"/>
                <w:szCs w:val="20"/>
              </w:rPr>
            </w:pPr>
            <w:r w:rsidRPr="00D64FF2">
              <w:rPr>
                <w:rFonts w:eastAsia="Calibri"/>
                <w:b/>
                <w:bCs/>
                <w:sz w:val="20"/>
                <w:szCs w:val="20"/>
              </w:rPr>
              <w:t>Substance</w:t>
            </w:r>
          </w:p>
        </w:tc>
        <w:tc>
          <w:tcPr>
            <w:tcW w:w="547" w:type="pct"/>
            <w:shd w:val="clear" w:color="auto" w:fill="auto"/>
            <w:vAlign w:val="center"/>
          </w:tcPr>
          <w:p w14:paraId="4272E312" w14:textId="77777777" w:rsidR="008C5479" w:rsidRPr="00D64FF2" w:rsidRDefault="008C5479" w:rsidP="00057085">
            <w:pPr>
              <w:jc w:val="center"/>
              <w:rPr>
                <w:rFonts w:eastAsia="Calibri"/>
                <w:b/>
                <w:bCs/>
                <w:sz w:val="20"/>
                <w:szCs w:val="20"/>
              </w:rPr>
            </w:pPr>
            <w:r w:rsidRPr="00D64FF2">
              <w:rPr>
                <w:rFonts w:eastAsia="Calibri"/>
                <w:b/>
                <w:bCs/>
                <w:sz w:val="20"/>
                <w:szCs w:val="20"/>
              </w:rPr>
              <w:t>Annex</w:t>
            </w:r>
          </w:p>
        </w:tc>
        <w:tc>
          <w:tcPr>
            <w:tcW w:w="591" w:type="pct"/>
            <w:shd w:val="clear" w:color="auto" w:fill="auto"/>
            <w:vAlign w:val="center"/>
          </w:tcPr>
          <w:p w14:paraId="4C7DFA03" w14:textId="77777777" w:rsidR="008C5479" w:rsidRPr="00D64FF2" w:rsidRDefault="008C5479" w:rsidP="00057085">
            <w:pPr>
              <w:jc w:val="center"/>
              <w:rPr>
                <w:rFonts w:eastAsia="Calibri"/>
                <w:b/>
                <w:bCs/>
                <w:sz w:val="20"/>
                <w:szCs w:val="20"/>
              </w:rPr>
            </w:pPr>
            <w:r w:rsidRPr="00D64FF2">
              <w:rPr>
                <w:rFonts w:eastAsia="Calibri"/>
                <w:b/>
                <w:bCs/>
                <w:sz w:val="20"/>
                <w:szCs w:val="20"/>
              </w:rPr>
              <w:t>Group</w:t>
            </w:r>
          </w:p>
        </w:tc>
        <w:tc>
          <w:tcPr>
            <w:tcW w:w="1570" w:type="pct"/>
            <w:shd w:val="clear" w:color="auto" w:fill="auto"/>
            <w:vAlign w:val="center"/>
          </w:tcPr>
          <w:p w14:paraId="17ED2214" w14:textId="77777777" w:rsidR="008C5479" w:rsidRPr="00D64FF2" w:rsidRDefault="008C5479" w:rsidP="00057085">
            <w:pPr>
              <w:jc w:val="center"/>
              <w:rPr>
                <w:rFonts w:eastAsia="Calibri"/>
                <w:b/>
                <w:bCs/>
                <w:sz w:val="20"/>
                <w:szCs w:val="20"/>
              </w:rPr>
            </w:pPr>
            <w:r w:rsidRPr="00D64FF2">
              <w:rPr>
                <w:rFonts w:eastAsia="Calibri"/>
                <w:b/>
                <w:bCs/>
                <w:sz w:val="20"/>
                <w:szCs w:val="20"/>
              </w:rPr>
              <w:t>Starting point for aggregate reductions in consumption (ODP tonnes)</w:t>
            </w:r>
          </w:p>
        </w:tc>
      </w:tr>
      <w:tr w:rsidR="008C5479" w:rsidRPr="00D64FF2" w14:paraId="07BCAE12" w14:textId="77777777" w:rsidTr="00057085">
        <w:tc>
          <w:tcPr>
            <w:tcW w:w="2291" w:type="pct"/>
            <w:shd w:val="clear" w:color="auto" w:fill="auto"/>
          </w:tcPr>
          <w:p w14:paraId="7FF6EB25" w14:textId="77777777" w:rsidR="008C5479" w:rsidRPr="00D64FF2" w:rsidRDefault="008C5479" w:rsidP="00057085">
            <w:pPr>
              <w:rPr>
                <w:rFonts w:eastAsia="Calibri"/>
                <w:sz w:val="20"/>
                <w:szCs w:val="20"/>
              </w:rPr>
            </w:pPr>
            <w:r w:rsidRPr="00D64FF2">
              <w:rPr>
                <w:rFonts w:eastAsia="Calibri"/>
                <w:sz w:val="20"/>
                <w:szCs w:val="20"/>
              </w:rPr>
              <w:t>HCFC-22</w:t>
            </w:r>
          </w:p>
        </w:tc>
        <w:tc>
          <w:tcPr>
            <w:tcW w:w="547" w:type="pct"/>
            <w:shd w:val="clear" w:color="auto" w:fill="auto"/>
          </w:tcPr>
          <w:p w14:paraId="3EA7EED7" w14:textId="77777777" w:rsidR="008C5479" w:rsidRPr="00D64FF2" w:rsidRDefault="008C5479" w:rsidP="00057085">
            <w:pPr>
              <w:jc w:val="center"/>
              <w:rPr>
                <w:rFonts w:eastAsia="Calibri"/>
                <w:sz w:val="20"/>
                <w:szCs w:val="20"/>
              </w:rPr>
            </w:pPr>
            <w:r w:rsidRPr="00D64FF2">
              <w:rPr>
                <w:rFonts w:eastAsia="Calibri"/>
                <w:sz w:val="20"/>
                <w:szCs w:val="20"/>
              </w:rPr>
              <w:t>C</w:t>
            </w:r>
          </w:p>
        </w:tc>
        <w:tc>
          <w:tcPr>
            <w:tcW w:w="591" w:type="pct"/>
            <w:shd w:val="clear" w:color="auto" w:fill="auto"/>
          </w:tcPr>
          <w:p w14:paraId="4B828672" w14:textId="77777777" w:rsidR="008C5479" w:rsidRPr="00D64FF2" w:rsidRDefault="008C5479" w:rsidP="00057085">
            <w:pPr>
              <w:jc w:val="center"/>
              <w:rPr>
                <w:rFonts w:eastAsia="Calibri"/>
                <w:sz w:val="20"/>
                <w:szCs w:val="20"/>
              </w:rPr>
            </w:pPr>
            <w:r w:rsidRPr="00D64FF2">
              <w:rPr>
                <w:rFonts w:eastAsia="Calibri"/>
                <w:sz w:val="20"/>
                <w:szCs w:val="20"/>
              </w:rPr>
              <w:t>I</w:t>
            </w:r>
          </w:p>
        </w:tc>
        <w:tc>
          <w:tcPr>
            <w:tcW w:w="1570" w:type="pct"/>
            <w:shd w:val="clear" w:color="auto" w:fill="auto"/>
          </w:tcPr>
          <w:p w14:paraId="696CA32C" w14:textId="77777777" w:rsidR="008C5479" w:rsidRPr="00D64FF2" w:rsidRDefault="008C5479" w:rsidP="00057085">
            <w:pPr>
              <w:jc w:val="center"/>
              <w:rPr>
                <w:rFonts w:eastAsia="Calibri"/>
                <w:sz w:val="20"/>
                <w:szCs w:val="20"/>
              </w:rPr>
            </w:pPr>
            <w:r w:rsidRPr="00D64FF2">
              <w:rPr>
                <w:rFonts w:eastAsia="Calibri"/>
                <w:sz w:val="20"/>
                <w:szCs w:val="20"/>
              </w:rPr>
              <w:t>21.02</w:t>
            </w:r>
          </w:p>
        </w:tc>
      </w:tr>
      <w:tr w:rsidR="008C5479" w:rsidRPr="00D64FF2" w14:paraId="1FA8C98F" w14:textId="77777777" w:rsidTr="00057085">
        <w:tblPrEx>
          <w:tblLook w:val="0000" w:firstRow="0" w:lastRow="0" w:firstColumn="0" w:lastColumn="0" w:noHBand="0" w:noVBand="0"/>
        </w:tblPrEx>
        <w:tc>
          <w:tcPr>
            <w:tcW w:w="2291" w:type="pct"/>
            <w:shd w:val="clear" w:color="auto" w:fill="auto"/>
          </w:tcPr>
          <w:p w14:paraId="6C6EAF45" w14:textId="77777777" w:rsidR="008C5479" w:rsidRPr="00D64FF2" w:rsidRDefault="008C5479" w:rsidP="00057085">
            <w:pPr>
              <w:rPr>
                <w:rFonts w:eastAsia="Calibri"/>
                <w:sz w:val="20"/>
                <w:szCs w:val="20"/>
              </w:rPr>
            </w:pPr>
            <w:r w:rsidRPr="00D64FF2">
              <w:rPr>
                <w:rFonts w:eastAsia="Calibri"/>
                <w:sz w:val="20"/>
                <w:szCs w:val="20"/>
              </w:rPr>
              <w:t>HCFC-123</w:t>
            </w:r>
          </w:p>
        </w:tc>
        <w:tc>
          <w:tcPr>
            <w:tcW w:w="547" w:type="pct"/>
            <w:shd w:val="clear" w:color="auto" w:fill="auto"/>
          </w:tcPr>
          <w:p w14:paraId="6D46D5E3" w14:textId="77777777" w:rsidR="008C5479" w:rsidRPr="00D64FF2" w:rsidRDefault="008C5479" w:rsidP="00057085">
            <w:pPr>
              <w:jc w:val="center"/>
              <w:rPr>
                <w:rFonts w:eastAsia="Calibri"/>
                <w:sz w:val="20"/>
                <w:szCs w:val="20"/>
              </w:rPr>
            </w:pPr>
            <w:r w:rsidRPr="00D64FF2">
              <w:rPr>
                <w:rFonts w:eastAsia="Calibri"/>
                <w:sz w:val="20"/>
                <w:szCs w:val="20"/>
              </w:rPr>
              <w:t>C</w:t>
            </w:r>
          </w:p>
        </w:tc>
        <w:tc>
          <w:tcPr>
            <w:tcW w:w="591" w:type="pct"/>
            <w:shd w:val="clear" w:color="auto" w:fill="auto"/>
          </w:tcPr>
          <w:p w14:paraId="51884DFD" w14:textId="77777777" w:rsidR="008C5479" w:rsidRPr="00D64FF2" w:rsidRDefault="008C5479" w:rsidP="00057085">
            <w:pPr>
              <w:jc w:val="center"/>
              <w:rPr>
                <w:rFonts w:eastAsia="Calibri"/>
                <w:sz w:val="20"/>
                <w:szCs w:val="20"/>
              </w:rPr>
            </w:pPr>
            <w:r w:rsidRPr="00D64FF2">
              <w:rPr>
                <w:rFonts w:eastAsia="Calibri"/>
                <w:sz w:val="20"/>
                <w:szCs w:val="20"/>
              </w:rPr>
              <w:t>I</w:t>
            </w:r>
          </w:p>
        </w:tc>
        <w:tc>
          <w:tcPr>
            <w:tcW w:w="1570" w:type="pct"/>
            <w:shd w:val="clear" w:color="auto" w:fill="auto"/>
          </w:tcPr>
          <w:p w14:paraId="7524CBBB" w14:textId="77777777" w:rsidR="008C5479" w:rsidRPr="00D64FF2" w:rsidRDefault="008C5479" w:rsidP="00057085">
            <w:pPr>
              <w:jc w:val="center"/>
              <w:rPr>
                <w:rFonts w:eastAsia="Calibri"/>
                <w:sz w:val="20"/>
                <w:szCs w:val="20"/>
              </w:rPr>
            </w:pPr>
            <w:r w:rsidRPr="00D64FF2">
              <w:rPr>
                <w:rFonts w:eastAsia="Calibri"/>
                <w:sz w:val="20"/>
                <w:szCs w:val="20"/>
              </w:rPr>
              <w:t>0.18</w:t>
            </w:r>
          </w:p>
        </w:tc>
      </w:tr>
      <w:tr w:rsidR="008C5479" w:rsidRPr="00D64FF2" w14:paraId="3B00247F" w14:textId="77777777" w:rsidTr="00057085">
        <w:tblPrEx>
          <w:tblLook w:val="0000" w:firstRow="0" w:lastRow="0" w:firstColumn="0" w:lastColumn="0" w:noHBand="0" w:noVBand="0"/>
        </w:tblPrEx>
        <w:tc>
          <w:tcPr>
            <w:tcW w:w="2291" w:type="pct"/>
            <w:shd w:val="clear" w:color="auto" w:fill="auto"/>
          </w:tcPr>
          <w:p w14:paraId="294939E8" w14:textId="77777777" w:rsidR="008C5479" w:rsidRPr="00D64FF2" w:rsidRDefault="008C5479" w:rsidP="00057085">
            <w:pPr>
              <w:rPr>
                <w:rFonts w:eastAsia="Calibri"/>
                <w:sz w:val="20"/>
                <w:szCs w:val="20"/>
              </w:rPr>
            </w:pPr>
            <w:r w:rsidRPr="00D64FF2">
              <w:rPr>
                <w:rFonts w:eastAsia="Calibri"/>
                <w:sz w:val="20"/>
                <w:szCs w:val="20"/>
              </w:rPr>
              <w:t>HCFC-124</w:t>
            </w:r>
          </w:p>
        </w:tc>
        <w:tc>
          <w:tcPr>
            <w:tcW w:w="547" w:type="pct"/>
            <w:shd w:val="clear" w:color="auto" w:fill="auto"/>
          </w:tcPr>
          <w:p w14:paraId="793F53A4" w14:textId="77777777" w:rsidR="008C5479" w:rsidRPr="00D64FF2" w:rsidRDefault="008C5479" w:rsidP="00057085">
            <w:pPr>
              <w:jc w:val="center"/>
              <w:rPr>
                <w:rFonts w:eastAsia="Calibri"/>
                <w:sz w:val="20"/>
                <w:szCs w:val="20"/>
              </w:rPr>
            </w:pPr>
            <w:r w:rsidRPr="00D64FF2">
              <w:rPr>
                <w:rFonts w:eastAsia="Calibri"/>
                <w:sz w:val="20"/>
                <w:szCs w:val="20"/>
              </w:rPr>
              <w:t>C</w:t>
            </w:r>
          </w:p>
        </w:tc>
        <w:tc>
          <w:tcPr>
            <w:tcW w:w="591" w:type="pct"/>
            <w:shd w:val="clear" w:color="auto" w:fill="auto"/>
          </w:tcPr>
          <w:p w14:paraId="0D78BD08" w14:textId="77777777" w:rsidR="008C5479" w:rsidRPr="00D64FF2" w:rsidRDefault="008C5479" w:rsidP="00057085">
            <w:pPr>
              <w:jc w:val="center"/>
              <w:rPr>
                <w:rFonts w:eastAsia="Calibri"/>
                <w:sz w:val="20"/>
                <w:szCs w:val="20"/>
              </w:rPr>
            </w:pPr>
            <w:r w:rsidRPr="00D64FF2">
              <w:rPr>
                <w:rFonts w:eastAsia="Calibri"/>
                <w:sz w:val="20"/>
                <w:szCs w:val="20"/>
              </w:rPr>
              <w:t>I</w:t>
            </w:r>
          </w:p>
        </w:tc>
        <w:tc>
          <w:tcPr>
            <w:tcW w:w="1570" w:type="pct"/>
            <w:shd w:val="clear" w:color="auto" w:fill="auto"/>
          </w:tcPr>
          <w:p w14:paraId="6BF89885" w14:textId="77777777" w:rsidR="008C5479" w:rsidRPr="00D64FF2" w:rsidRDefault="008C5479" w:rsidP="00057085">
            <w:pPr>
              <w:jc w:val="center"/>
              <w:rPr>
                <w:rFonts w:eastAsia="Calibri"/>
                <w:sz w:val="20"/>
                <w:szCs w:val="20"/>
              </w:rPr>
            </w:pPr>
            <w:r w:rsidRPr="00D64FF2">
              <w:rPr>
                <w:rFonts w:eastAsia="Calibri"/>
                <w:sz w:val="20"/>
                <w:szCs w:val="20"/>
              </w:rPr>
              <w:t>0.22</w:t>
            </w:r>
          </w:p>
        </w:tc>
      </w:tr>
      <w:tr w:rsidR="008C5479" w:rsidRPr="00D64FF2" w14:paraId="69691B87" w14:textId="77777777" w:rsidTr="00057085">
        <w:tblPrEx>
          <w:tblLook w:val="0000" w:firstRow="0" w:lastRow="0" w:firstColumn="0" w:lastColumn="0" w:noHBand="0" w:noVBand="0"/>
        </w:tblPrEx>
        <w:tc>
          <w:tcPr>
            <w:tcW w:w="2291" w:type="pct"/>
            <w:shd w:val="clear" w:color="auto" w:fill="auto"/>
          </w:tcPr>
          <w:p w14:paraId="0F84F17C" w14:textId="77777777" w:rsidR="008C5479" w:rsidRPr="00D64FF2" w:rsidRDefault="008C5479" w:rsidP="00057085">
            <w:pPr>
              <w:rPr>
                <w:rFonts w:eastAsia="Calibri"/>
                <w:sz w:val="20"/>
                <w:szCs w:val="20"/>
              </w:rPr>
            </w:pPr>
            <w:r w:rsidRPr="00D64FF2">
              <w:rPr>
                <w:rFonts w:eastAsia="Calibri"/>
                <w:sz w:val="20"/>
                <w:szCs w:val="20"/>
              </w:rPr>
              <w:t>HCFC-141b</w:t>
            </w:r>
          </w:p>
        </w:tc>
        <w:tc>
          <w:tcPr>
            <w:tcW w:w="547" w:type="pct"/>
            <w:shd w:val="clear" w:color="auto" w:fill="auto"/>
          </w:tcPr>
          <w:p w14:paraId="7A30D140" w14:textId="77777777" w:rsidR="008C5479" w:rsidRPr="00D64FF2" w:rsidRDefault="008C5479" w:rsidP="00057085">
            <w:pPr>
              <w:jc w:val="center"/>
              <w:rPr>
                <w:rFonts w:eastAsia="Calibri"/>
                <w:sz w:val="20"/>
                <w:szCs w:val="20"/>
              </w:rPr>
            </w:pPr>
            <w:r w:rsidRPr="00D64FF2">
              <w:rPr>
                <w:rFonts w:eastAsia="Calibri"/>
                <w:sz w:val="20"/>
                <w:szCs w:val="20"/>
              </w:rPr>
              <w:t>C</w:t>
            </w:r>
          </w:p>
        </w:tc>
        <w:tc>
          <w:tcPr>
            <w:tcW w:w="591" w:type="pct"/>
            <w:shd w:val="clear" w:color="auto" w:fill="auto"/>
          </w:tcPr>
          <w:p w14:paraId="3DD86EB9" w14:textId="77777777" w:rsidR="008C5479" w:rsidRPr="00D64FF2" w:rsidRDefault="008C5479" w:rsidP="00057085">
            <w:pPr>
              <w:jc w:val="center"/>
              <w:rPr>
                <w:rFonts w:eastAsia="Calibri"/>
                <w:sz w:val="20"/>
                <w:szCs w:val="20"/>
              </w:rPr>
            </w:pPr>
            <w:r w:rsidRPr="00D64FF2">
              <w:rPr>
                <w:rFonts w:eastAsia="Calibri"/>
                <w:sz w:val="20"/>
                <w:szCs w:val="20"/>
              </w:rPr>
              <w:t>I</w:t>
            </w:r>
          </w:p>
        </w:tc>
        <w:tc>
          <w:tcPr>
            <w:tcW w:w="1570" w:type="pct"/>
            <w:shd w:val="clear" w:color="auto" w:fill="auto"/>
          </w:tcPr>
          <w:p w14:paraId="331C8D65" w14:textId="77777777" w:rsidR="008C5479" w:rsidRPr="00D64FF2" w:rsidRDefault="008C5479" w:rsidP="00057085">
            <w:pPr>
              <w:jc w:val="center"/>
              <w:rPr>
                <w:rFonts w:eastAsia="Calibri"/>
                <w:sz w:val="20"/>
                <w:szCs w:val="20"/>
              </w:rPr>
            </w:pPr>
            <w:r w:rsidRPr="00D64FF2">
              <w:rPr>
                <w:rFonts w:eastAsia="Calibri"/>
                <w:sz w:val="20"/>
                <w:szCs w:val="20"/>
              </w:rPr>
              <w:t>0.86</w:t>
            </w:r>
          </w:p>
        </w:tc>
      </w:tr>
      <w:tr w:rsidR="008C5479" w:rsidRPr="00D64FF2" w14:paraId="010D9A8D" w14:textId="77777777" w:rsidTr="00057085">
        <w:tblPrEx>
          <w:tblLook w:val="0000" w:firstRow="0" w:lastRow="0" w:firstColumn="0" w:lastColumn="0" w:noHBand="0" w:noVBand="0"/>
        </w:tblPrEx>
        <w:tc>
          <w:tcPr>
            <w:tcW w:w="2291" w:type="pct"/>
            <w:shd w:val="clear" w:color="auto" w:fill="auto"/>
          </w:tcPr>
          <w:p w14:paraId="005200F5" w14:textId="77777777" w:rsidR="008C5479" w:rsidRPr="00D64FF2" w:rsidRDefault="008C5479" w:rsidP="00057085">
            <w:pPr>
              <w:rPr>
                <w:rFonts w:eastAsia="Calibri"/>
                <w:sz w:val="20"/>
                <w:szCs w:val="20"/>
              </w:rPr>
            </w:pPr>
            <w:r w:rsidRPr="00D64FF2">
              <w:rPr>
                <w:rFonts w:eastAsia="Calibri"/>
                <w:sz w:val="20"/>
                <w:szCs w:val="20"/>
              </w:rPr>
              <w:t>HCFC-142b</w:t>
            </w:r>
          </w:p>
        </w:tc>
        <w:tc>
          <w:tcPr>
            <w:tcW w:w="547" w:type="pct"/>
            <w:shd w:val="clear" w:color="auto" w:fill="auto"/>
          </w:tcPr>
          <w:p w14:paraId="64FB7498" w14:textId="77777777" w:rsidR="008C5479" w:rsidRPr="00D64FF2" w:rsidRDefault="008C5479" w:rsidP="00057085">
            <w:pPr>
              <w:jc w:val="center"/>
              <w:rPr>
                <w:rFonts w:eastAsia="Calibri"/>
                <w:sz w:val="20"/>
                <w:szCs w:val="20"/>
              </w:rPr>
            </w:pPr>
            <w:r w:rsidRPr="00D64FF2">
              <w:rPr>
                <w:rFonts w:eastAsia="Calibri"/>
                <w:sz w:val="20"/>
                <w:szCs w:val="20"/>
              </w:rPr>
              <w:t>C</w:t>
            </w:r>
          </w:p>
        </w:tc>
        <w:tc>
          <w:tcPr>
            <w:tcW w:w="591" w:type="pct"/>
            <w:shd w:val="clear" w:color="auto" w:fill="auto"/>
          </w:tcPr>
          <w:p w14:paraId="1DB4D0E6" w14:textId="77777777" w:rsidR="008C5479" w:rsidRPr="00D64FF2" w:rsidRDefault="008C5479" w:rsidP="00057085">
            <w:pPr>
              <w:jc w:val="center"/>
              <w:rPr>
                <w:rFonts w:eastAsia="Calibri"/>
                <w:sz w:val="20"/>
                <w:szCs w:val="20"/>
              </w:rPr>
            </w:pPr>
            <w:r w:rsidRPr="00D64FF2">
              <w:rPr>
                <w:rFonts w:eastAsia="Calibri"/>
                <w:sz w:val="20"/>
                <w:szCs w:val="20"/>
              </w:rPr>
              <w:t>I</w:t>
            </w:r>
          </w:p>
        </w:tc>
        <w:tc>
          <w:tcPr>
            <w:tcW w:w="1570" w:type="pct"/>
            <w:shd w:val="clear" w:color="auto" w:fill="auto"/>
          </w:tcPr>
          <w:p w14:paraId="3CBEDC13" w14:textId="77777777" w:rsidR="008C5479" w:rsidRPr="00D64FF2" w:rsidRDefault="008C5479" w:rsidP="00057085">
            <w:pPr>
              <w:jc w:val="center"/>
              <w:rPr>
                <w:rFonts w:eastAsia="Calibri"/>
                <w:sz w:val="20"/>
                <w:szCs w:val="20"/>
              </w:rPr>
            </w:pPr>
            <w:r w:rsidRPr="00D64FF2">
              <w:rPr>
                <w:rFonts w:eastAsia="Calibri"/>
                <w:sz w:val="20"/>
                <w:szCs w:val="20"/>
              </w:rPr>
              <w:t>1.20</w:t>
            </w:r>
          </w:p>
        </w:tc>
      </w:tr>
      <w:tr w:rsidR="008C5479" w:rsidRPr="00D64FF2" w14:paraId="401845FF" w14:textId="77777777" w:rsidTr="00057085">
        <w:tblPrEx>
          <w:tblLook w:val="0000" w:firstRow="0" w:lastRow="0" w:firstColumn="0" w:lastColumn="0" w:noHBand="0" w:noVBand="0"/>
        </w:tblPrEx>
        <w:tc>
          <w:tcPr>
            <w:tcW w:w="2291" w:type="pct"/>
            <w:shd w:val="clear" w:color="auto" w:fill="auto"/>
          </w:tcPr>
          <w:p w14:paraId="01EEB7F1" w14:textId="77777777" w:rsidR="008C5479" w:rsidRPr="00D64FF2" w:rsidRDefault="008C5479" w:rsidP="00057085">
            <w:pPr>
              <w:rPr>
                <w:rFonts w:eastAsia="Calibri"/>
                <w:sz w:val="20"/>
                <w:szCs w:val="20"/>
              </w:rPr>
            </w:pPr>
            <w:r w:rsidRPr="00D64FF2">
              <w:rPr>
                <w:rFonts w:eastAsia="Calibri"/>
                <w:sz w:val="20"/>
                <w:szCs w:val="20"/>
              </w:rPr>
              <w:t>HCFC-225</w:t>
            </w:r>
          </w:p>
        </w:tc>
        <w:tc>
          <w:tcPr>
            <w:tcW w:w="547" w:type="pct"/>
            <w:shd w:val="clear" w:color="auto" w:fill="auto"/>
          </w:tcPr>
          <w:p w14:paraId="3E134C2E" w14:textId="77777777" w:rsidR="008C5479" w:rsidRPr="00D64FF2" w:rsidRDefault="008C5479" w:rsidP="00057085">
            <w:pPr>
              <w:jc w:val="center"/>
              <w:rPr>
                <w:rFonts w:eastAsia="Calibri"/>
                <w:sz w:val="20"/>
                <w:szCs w:val="20"/>
              </w:rPr>
            </w:pPr>
          </w:p>
        </w:tc>
        <w:tc>
          <w:tcPr>
            <w:tcW w:w="591" w:type="pct"/>
            <w:shd w:val="clear" w:color="auto" w:fill="auto"/>
          </w:tcPr>
          <w:p w14:paraId="055E4576" w14:textId="77777777" w:rsidR="008C5479" w:rsidRPr="00D64FF2" w:rsidRDefault="008C5479" w:rsidP="00057085">
            <w:pPr>
              <w:jc w:val="center"/>
              <w:rPr>
                <w:rFonts w:eastAsia="Calibri"/>
                <w:sz w:val="20"/>
                <w:szCs w:val="20"/>
              </w:rPr>
            </w:pPr>
          </w:p>
        </w:tc>
        <w:tc>
          <w:tcPr>
            <w:tcW w:w="1570" w:type="pct"/>
            <w:shd w:val="clear" w:color="auto" w:fill="auto"/>
          </w:tcPr>
          <w:p w14:paraId="0C9B6256" w14:textId="77777777" w:rsidR="008C5479" w:rsidRPr="00D64FF2" w:rsidRDefault="008C5479" w:rsidP="00057085">
            <w:pPr>
              <w:jc w:val="center"/>
              <w:rPr>
                <w:rFonts w:eastAsia="Calibri"/>
                <w:sz w:val="20"/>
                <w:szCs w:val="20"/>
              </w:rPr>
            </w:pPr>
            <w:r w:rsidRPr="00D64FF2">
              <w:rPr>
                <w:rFonts w:eastAsia="Calibri"/>
                <w:sz w:val="20"/>
                <w:szCs w:val="20"/>
              </w:rPr>
              <w:t>0.00</w:t>
            </w:r>
          </w:p>
        </w:tc>
      </w:tr>
      <w:tr w:rsidR="008C5479" w:rsidRPr="00D64FF2" w14:paraId="0C50D2AC" w14:textId="77777777" w:rsidTr="00057085">
        <w:tblPrEx>
          <w:tblLook w:val="0000" w:firstRow="0" w:lastRow="0" w:firstColumn="0" w:lastColumn="0" w:noHBand="0" w:noVBand="0"/>
        </w:tblPrEx>
        <w:tc>
          <w:tcPr>
            <w:tcW w:w="2291" w:type="pct"/>
            <w:shd w:val="clear" w:color="auto" w:fill="auto"/>
          </w:tcPr>
          <w:p w14:paraId="7E422FC9" w14:textId="77777777" w:rsidR="008C5479" w:rsidRPr="00D64FF2" w:rsidRDefault="008C5479" w:rsidP="00057085">
            <w:pPr>
              <w:rPr>
                <w:rFonts w:eastAsia="Calibri"/>
                <w:sz w:val="20"/>
                <w:szCs w:val="20"/>
              </w:rPr>
            </w:pPr>
            <w:r w:rsidRPr="00D64FF2">
              <w:rPr>
                <w:rFonts w:eastAsia="Calibri"/>
                <w:sz w:val="20"/>
                <w:szCs w:val="20"/>
              </w:rPr>
              <w:t>Sub-total</w:t>
            </w:r>
          </w:p>
        </w:tc>
        <w:tc>
          <w:tcPr>
            <w:tcW w:w="547" w:type="pct"/>
            <w:shd w:val="clear" w:color="auto" w:fill="auto"/>
          </w:tcPr>
          <w:p w14:paraId="4C301E4A" w14:textId="77777777" w:rsidR="008C5479" w:rsidRPr="00D64FF2" w:rsidRDefault="008C5479" w:rsidP="00057085">
            <w:pPr>
              <w:jc w:val="center"/>
              <w:rPr>
                <w:rFonts w:eastAsia="Calibri"/>
                <w:sz w:val="20"/>
                <w:szCs w:val="20"/>
              </w:rPr>
            </w:pPr>
          </w:p>
        </w:tc>
        <w:tc>
          <w:tcPr>
            <w:tcW w:w="591" w:type="pct"/>
            <w:shd w:val="clear" w:color="auto" w:fill="auto"/>
          </w:tcPr>
          <w:p w14:paraId="6D06E8DA" w14:textId="77777777" w:rsidR="008C5479" w:rsidRPr="00D64FF2" w:rsidRDefault="008C5479" w:rsidP="00057085">
            <w:pPr>
              <w:jc w:val="center"/>
              <w:rPr>
                <w:rFonts w:eastAsia="Calibri"/>
                <w:sz w:val="20"/>
                <w:szCs w:val="20"/>
              </w:rPr>
            </w:pPr>
          </w:p>
        </w:tc>
        <w:tc>
          <w:tcPr>
            <w:tcW w:w="1570" w:type="pct"/>
            <w:shd w:val="clear" w:color="auto" w:fill="auto"/>
          </w:tcPr>
          <w:p w14:paraId="3D1FE995" w14:textId="77777777" w:rsidR="008C5479" w:rsidRPr="00D64FF2" w:rsidRDefault="008C5479" w:rsidP="00057085">
            <w:pPr>
              <w:jc w:val="center"/>
              <w:rPr>
                <w:rFonts w:eastAsia="Calibri"/>
                <w:sz w:val="20"/>
                <w:szCs w:val="20"/>
              </w:rPr>
            </w:pPr>
            <w:r w:rsidRPr="00D64FF2">
              <w:rPr>
                <w:rFonts w:eastAsia="Calibri"/>
                <w:sz w:val="20"/>
                <w:szCs w:val="20"/>
              </w:rPr>
              <w:t>23.49</w:t>
            </w:r>
          </w:p>
        </w:tc>
      </w:tr>
      <w:tr w:rsidR="008C5479" w:rsidRPr="00D64FF2" w14:paraId="5A1458F9" w14:textId="77777777" w:rsidTr="00057085">
        <w:tblPrEx>
          <w:tblLook w:val="0000" w:firstRow="0" w:lastRow="0" w:firstColumn="0" w:lastColumn="0" w:noHBand="0" w:noVBand="0"/>
        </w:tblPrEx>
        <w:tc>
          <w:tcPr>
            <w:tcW w:w="2291" w:type="pct"/>
            <w:shd w:val="clear" w:color="auto" w:fill="auto"/>
          </w:tcPr>
          <w:p w14:paraId="13AEC649" w14:textId="77777777" w:rsidR="008C5479" w:rsidRPr="00D64FF2" w:rsidRDefault="008C5479" w:rsidP="00057085">
            <w:pPr>
              <w:rPr>
                <w:rFonts w:eastAsia="Calibri"/>
                <w:sz w:val="20"/>
                <w:szCs w:val="20"/>
              </w:rPr>
            </w:pPr>
            <w:r w:rsidRPr="00D64FF2">
              <w:rPr>
                <w:rFonts w:eastAsia="Calibri"/>
                <w:sz w:val="20"/>
                <w:szCs w:val="20"/>
              </w:rPr>
              <w:lastRenderedPageBreak/>
              <w:t>HCFC-141b contained in imported pre-blended polyols</w:t>
            </w:r>
          </w:p>
        </w:tc>
        <w:tc>
          <w:tcPr>
            <w:tcW w:w="547" w:type="pct"/>
            <w:shd w:val="clear" w:color="auto" w:fill="auto"/>
          </w:tcPr>
          <w:p w14:paraId="32F9A208" w14:textId="77777777" w:rsidR="008C5479" w:rsidRPr="00D64FF2" w:rsidRDefault="008C5479" w:rsidP="00057085">
            <w:pPr>
              <w:jc w:val="center"/>
              <w:rPr>
                <w:rFonts w:eastAsia="Calibri"/>
                <w:sz w:val="20"/>
                <w:szCs w:val="20"/>
              </w:rPr>
            </w:pPr>
            <w:r w:rsidRPr="00D64FF2">
              <w:rPr>
                <w:rFonts w:eastAsia="Calibri"/>
                <w:sz w:val="20"/>
                <w:szCs w:val="20"/>
              </w:rPr>
              <w:t>C</w:t>
            </w:r>
          </w:p>
        </w:tc>
        <w:tc>
          <w:tcPr>
            <w:tcW w:w="591" w:type="pct"/>
            <w:shd w:val="clear" w:color="auto" w:fill="auto"/>
          </w:tcPr>
          <w:p w14:paraId="2DC9D9A2" w14:textId="77777777" w:rsidR="008C5479" w:rsidRPr="00D64FF2" w:rsidRDefault="008C5479" w:rsidP="00057085">
            <w:pPr>
              <w:jc w:val="center"/>
              <w:rPr>
                <w:rFonts w:eastAsia="Calibri"/>
                <w:sz w:val="20"/>
                <w:szCs w:val="20"/>
              </w:rPr>
            </w:pPr>
            <w:r w:rsidRPr="00D64FF2">
              <w:rPr>
                <w:rFonts w:eastAsia="Calibri"/>
                <w:sz w:val="20"/>
                <w:szCs w:val="20"/>
              </w:rPr>
              <w:t>I</w:t>
            </w:r>
          </w:p>
        </w:tc>
        <w:tc>
          <w:tcPr>
            <w:tcW w:w="1570" w:type="pct"/>
            <w:shd w:val="clear" w:color="auto" w:fill="auto"/>
          </w:tcPr>
          <w:p w14:paraId="33AEF5B1" w14:textId="77777777" w:rsidR="008C5479" w:rsidRPr="00D64FF2" w:rsidRDefault="008C5479" w:rsidP="00057085">
            <w:pPr>
              <w:jc w:val="center"/>
              <w:rPr>
                <w:rFonts w:eastAsia="Calibri"/>
                <w:sz w:val="20"/>
                <w:szCs w:val="20"/>
              </w:rPr>
            </w:pPr>
            <w:r w:rsidRPr="00D64FF2">
              <w:rPr>
                <w:rFonts w:eastAsia="Calibri"/>
                <w:sz w:val="20"/>
                <w:szCs w:val="20"/>
              </w:rPr>
              <w:t>20.67</w:t>
            </w:r>
          </w:p>
        </w:tc>
      </w:tr>
      <w:tr w:rsidR="008C5479" w:rsidRPr="00D64FF2" w14:paraId="107DD689" w14:textId="77777777" w:rsidTr="00057085">
        <w:tc>
          <w:tcPr>
            <w:tcW w:w="2291" w:type="pct"/>
            <w:shd w:val="clear" w:color="auto" w:fill="auto"/>
          </w:tcPr>
          <w:p w14:paraId="59A621D8" w14:textId="77777777" w:rsidR="008C5479" w:rsidRPr="00D64FF2" w:rsidRDefault="008C5479" w:rsidP="00057085">
            <w:pPr>
              <w:rPr>
                <w:b/>
                <w:bCs/>
                <w:sz w:val="20"/>
                <w:szCs w:val="20"/>
              </w:rPr>
            </w:pPr>
            <w:r w:rsidRPr="00D64FF2">
              <w:rPr>
                <w:b/>
                <w:bCs/>
                <w:sz w:val="20"/>
                <w:szCs w:val="20"/>
              </w:rPr>
              <w:t>Total</w:t>
            </w:r>
          </w:p>
        </w:tc>
        <w:tc>
          <w:tcPr>
            <w:tcW w:w="547" w:type="pct"/>
            <w:shd w:val="clear" w:color="auto" w:fill="auto"/>
          </w:tcPr>
          <w:p w14:paraId="556D500E" w14:textId="77777777" w:rsidR="008C5479" w:rsidRPr="00D64FF2" w:rsidRDefault="008C5479" w:rsidP="00057085">
            <w:pPr>
              <w:jc w:val="center"/>
              <w:rPr>
                <w:b/>
                <w:bCs/>
                <w:sz w:val="20"/>
                <w:szCs w:val="20"/>
              </w:rPr>
            </w:pPr>
            <w:r w:rsidRPr="00D64FF2">
              <w:rPr>
                <w:b/>
                <w:bCs/>
                <w:sz w:val="20"/>
                <w:szCs w:val="20"/>
              </w:rPr>
              <w:t>C</w:t>
            </w:r>
          </w:p>
        </w:tc>
        <w:tc>
          <w:tcPr>
            <w:tcW w:w="591" w:type="pct"/>
            <w:shd w:val="clear" w:color="auto" w:fill="auto"/>
          </w:tcPr>
          <w:p w14:paraId="5DA51B33" w14:textId="77777777" w:rsidR="008C5479" w:rsidRPr="00D64FF2" w:rsidRDefault="008C5479" w:rsidP="00057085">
            <w:pPr>
              <w:jc w:val="center"/>
              <w:rPr>
                <w:b/>
                <w:bCs/>
                <w:sz w:val="20"/>
                <w:szCs w:val="20"/>
              </w:rPr>
            </w:pPr>
            <w:r w:rsidRPr="00D64FF2">
              <w:rPr>
                <w:b/>
                <w:bCs/>
                <w:sz w:val="20"/>
                <w:szCs w:val="20"/>
              </w:rPr>
              <w:t>I</w:t>
            </w:r>
          </w:p>
        </w:tc>
        <w:tc>
          <w:tcPr>
            <w:tcW w:w="1570" w:type="pct"/>
            <w:shd w:val="clear" w:color="auto" w:fill="auto"/>
          </w:tcPr>
          <w:p w14:paraId="221165DF" w14:textId="77777777" w:rsidR="008C5479" w:rsidRPr="00D64FF2" w:rsidRDefault="008C5479" w:rsidP="00057085">
            <w:pPr>
              <w:jc w:val="center"/>
              <w:rPr>
                <w:b/>
                <w:bCs/>
                <w:sz w:val="20"/>
                <w:szCs w:val="20"/>
              </w:rPr>
            </w:pPr>
            <w:r w:rsidRPr="00D64FF2">
              <w:rPr>
                <w:b/>
                <w:bCs/>
                <w:sz w:val="20"/>
                <w:szCs w:val="20"/>
              </w:rPr>
              <w:t>44.16</w:t>
            </w:r>
          </w:p>
        </w:tc>
      </w:tr>
    </w:tbl>
    <w:p w14:paraId="469BF3ED" w14:textId="77777777" w:rsidR="008C5479" w:rsidRPr="00CB311D" w:rsidRDefault="008C5479" w:rsidP="008C5479">
      <w:pPr>
        <w:spacing w:after="160" w:line="259" w:lineRule="auto"/>
        <w:jc w:val="left"/>
        <w:rPr>
          <w:rFonts w:eastAsia="Calibri"/>
          <w:b/>
          <w:sz w:val="16"/>
          <w:szCs w:val="16"/>
        </w:rPr>
      </w:pPr>
    </w:p>
    <w:p w14:paraId="67E9A0BD" w14:textId="77777777" w:rsidR="008C5479" w:rsidRPr="00CB311D" w:rsidRDefault="008C5479" w:rsidP="008C5479">
      <w:pPr>
        <w:pStyle w:val="NoSpacing"/>
        <w:spacing w:after="240"/>
        <w:rPr>
          <w:rFonts w:eastAsia="Calibri"/>
          <w:b/>
          <w:bCs/>
          <w:lang w:val="en-US"/>
        </w:rPr>
      </w:pPr>
      <w:r w:rsidRPr="00CB311D">
        <w:rPr>
          <w:rFonts w:eastAsia="Calibri"/>
          <w:b/>
          <w:bCs/>
          <w:lang w:val="en-US"/>
        </w:rPr>
        <w:t>APPENDIX 2-A: THE TARGETS, AND FUNDING</w:t>
      </w:r>
    </w:p>
    <w:tbl>
      <w:tblPr>
        <w:tblW w:w="0" w:type="auto"/>
        <w:jc w:val="center"/>
        <w:tblLook w:val="04A0" w:firstRow="1" w:lastRow="0" w:firstColumn="1" w:lastColumn="0" w:noHBand="0" w:noVBand="1"/>
      </w:tblPr>
      <w:tblGrid>
        <w:gridCol w:w="577"/>
        <w:gridCol w:w="2467"/>
        <w:gridCol w:w="801"/>
        <w:gridCol w:w="722"/>
        <w:gridCol w:w="801"/>
        <w:gridCol w:w="722"/>
        <w:gridCol w:w="801"/>
        <w:gridCol w:w="722"/>
        <w:gridCol w:w="801"/>
        <w:gridCol w:w="936"/>
      </w:tblGrid>
      <w:tr w:rsidR="008C5479" w:rsidRPr="00CB311D" w14:paraId="0487EAE3" w14:textId="77777777" w:rsidTr="00057085">
        <w:trPr>
          <w:trHeight w:val="9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8641B"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Row</w:t>
            </w:r>
          </w:p>
        </w:tc>
        <w:tc>
          <w:tcPr>
            <w:tcW w:w="0" w:type="auto"/>
            <w:tcBorders>
              <w:top w:val="single" w:sz="4" w:space="0" w:color="auto"/>
              <w:left w:val="nil"/>
              <w:bottom w:val="single" w:sz="4" w:space="0" w:color="auto"/>
              <w:right w:val="single" w:sz="4" w:space="0" w:color="auto"/>
            </w:tcBorders>
            <w:shd w:val="clear" w:color="auto" w:fill="auto"/>
            <w:hideMark/>
          </w:tcPr>
          <w:p w14:paraId="0AB51370"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Particulars</w:t>
            </w:r>
          </w:p>
        </w:tc>
        <w:tc>
          <w:tcPr>
            <w:tcW w:w="0" w:type="auto"/>
            <w:tcBorders>
              <w:top w:val="single" w:sz="4" w:space="0" w:color="auto"/>
              <w:left w:val="nil"/>
              <w:bottom w:val="single" w:sz="4" w:space="0" w:color="auto"/>
              <w:right w:val="single" w:sz="4" w:space="0" w:color="auto"/>
            </w:tcBorders>
            <w:shd w:val="clear" w:color="auto" w:fill="auto"/>
            <w:hideMark/>
          </w:tcPr>
          <w:p w14:paraId="5FB768EE"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2020</w:t>
            </w:r>
          </w:p>
          <w:p w14:paraId="1A4169F9" w14:textId="77777777" w:rsidR="008C5479" w:rsidRPr="00FE04FE" w:rsidRDefault="008C5479" w:rsidP="00057085">
            <w:pPr>
              <w:keepNext/>
              <w:keepLines/>
              <w:jc w:val="center"/>
              <w:rPr>
                <w:b/>
                <w:bCs/>
                <w:color w:val="000000"/>
                <w:sz w:val="18"/>
                <w:szCs w:val="18"/>
                <w:lang w:eastAsia="en-CA"/>
              </w:rPr>
            </w:pPr>
          </w:p>
        </w:tc>
        <w:tc>
          <w:tcPr>
            <w:tcW w:w="0" w:type="auto"/>
            <w:tcBorders>
              <w:top w:val="single" w:sz="4" w:space="0" w:color="auto"/>
              <w:left w:val="nil"/>
              <w:bottom w:val="single" w:sz="4" w:space="0" w:color="auto"/>
              <w:right w:val="single" w:sz="4" w:space="0" w:color="auto"/>
            </w:tcBorders>
            <w:shd w:val="clear" w:color="auto" w:fill="auto"/>
          </w:tcPr>
          <w:p w14:paraId="5A8B446E"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2021-2023</w:t>
            </w:r>
          </w:p>
        </w:tc>
        <w:tc>
          <w:tcPr>
            <w:tcW w:w="0" w:type="auto"/>
            <w:tcBorders>
              <w:top w:val="single" w:sz="4" w:space="0" w:color="auto"/>
              <w:left w:val="nil"/>
              <w:bottom w:val="single" w:sz="4" w:space="0" w:color="auto"/>
              <w:right w:val="single" w:sz="4" w:space="0" w:color="auto"/>
            </w:tcBorders>
            <w:shd w:val="clear" w:color="auto" w:fill="auto"/>
            <w:hideMark/>
          </w:tcPr>
          <w:p w14:paraId="2BCD1B09"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2024</w:t>
            </w:r>
          </w:p>
        </w:tc>
        <w:tc>
          <w:tcPr>
            <w:tcW w:w="0" w:type="auto"/>
            <w:tcBorders>
              <w:top w:val="single" w:sz="4" w:space="0" w:color="auto"/>
              <w:left w:val="nil"/>
              <w:bottom w:val="single" w:sz="4" w:space="0" w:color="auto"/>
              <w:right w:val="single" w:sz="4" w:space="0" w:color="auto"/>
            </w:tcBorders>
            <w:shd w:val="clear" w:color="auto" w:fill="auto"/>
            <w:hideMark/>
          </w:tcPr>
          <w:p w14:paraId="7692F166"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2025-2026</w:t>
            </w:r>
          </w:p>
        </w:tc>
        <w:tc>
          <w:tcPr>
            <w:tcW w:w="0" w:type="auto"/>
            <w:tcBorders>
              <w:top w:val="single" w:sz="4" w:space="0" w:color="auto"/>
              <w:left w:val="nil"/>
              <w:bottom w:val="single" w:sz="4" w:space="0" w:color="auto"/>
              <w:right w:val="single" w:sz="4" w:space="0" w:color="auto"/>
            </w:tcBorders>
            <w:shd w:val="clear" w:color="auto" w:fill="auto"/>
            <w:hideMark/>
          </w:tcPr>
          <w:p w14:paraId="7E43BAAE"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2027</w:t>
            </w:r>
          </w:p>
        </w:tc>
        <w:tc>
          <w:tcPr>
            <w:tcW w:w="0" w:type="auto"/>
            <w:tcBorders>
              <w:top w:val="single" w:sz="4" w:space="0" w:color="auto"/>
              <w:left w:val="nil"/>
              <w:bottom w:val="single" w:sz="4" w:space="0" w:color="auto"/>
              <w:right w:val="single" w:sz="4" w:space="0" w:color="auto"/>
            </w:tcBorders>
            <w:shd w:val="clear" w:color="auto" w:fill="auto"/>
            <w:hideMark/>
          </w:tcPr>
          <w:p w14:paraId="075DA352"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2028-2029</w:t>
            </w:r>
          </w:p>
        </w:tc>
        <w:tc>
          <w:tcPr>
            <w:tcW w:w="0" w:type="auto"/>
            <w:tcBorders>
              <w:top w:val="single" w:sz="4" w:space="0" w:color="auto"/>
              <w:left w:val="nil"/>
              <w:bottom w:val="single" w:sz="4" w:space="0" w:color="auto"/>
              <w:right w:val="single" w:sz="4" w:space="0" w:color="auto"/>
            </w:tcBorders>
          </w:tcPr>
          <w:p w14:paraId="2E4F28E1"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FFA09" w14:textId="77777777" w:rsidR="008C5479" w:rsidRPr="00FE04FE" w:rsidRDefault="008C5479" w:rsidP="00057085">
            <w:pPr>
              <w:keepNext/>
              <w:keepLines/>
              <w:jc w:val="center"/>
              <w:rPr>
                <w:b/>
                <w:bCs/>
                <w:color w:val="000000"/>
                <w:sz w:val="18"/>
                <w:szCs w:val="18"/>
                <w:lang w:eastAsia="en-CA"/>
              </w:rPr>
            </w:pPr>
            <w:r w:rsidRPr="00FE04FE">
              <w:rPr>
                <w:b/>
                <w:bCs/>
                <w:color w:val="000000"/>
                <w:sz w:val="18"/>
                <w:szCs w:val="18"/>
                <w:lang w:eastAsia="en-CA"/>
              </w:rPr>
              <w:t>Total</w:t>
            </w:r>
          </w:p>
        </w:tc>
      </w:tr>
      <w:tr w:rsidR="008C5479" w:rsidRPr="00CB311D" w14:paraId="161B1D28" w14:textId="77777777" w:rsidTr="00057085">
        <w:trPr>
          <w:trHeight w:val="408"/>
          <w:jc w:val="center"/>
        </w:trPr>
        <w:tc>
          <w:tcPr>
            <w:tcW w:w="0" w:type="auto"/>
            <w:tcBorders>
              <w:top w:val="nil"/>
              <w:left w:val="single" w:sz="4" w:space="0" w:color="auto"/>
              <w:bottom w:val="single" w:sz="4" w:space="0" w:color="auto"/>
              <w:right w:val="single" w:sz="4" w:space="0" w:color="auto"/>
            </w:tcBorders>
            <w:shd w:val="clear" w:color="auto" w:fill="auto"/>
            <w:hideMark/>
          </w:tcPr>
          <w:p w14:paraId="6D4AC21B" w14:textId="77777777" w:rsidR="008C5479" w:rsidRPr="00FE04FE" w:rsidRDefault="008C5479" w:rsidP="00057085">
            <w:pPr>
              <w:keepNext/>
              <w:keepLines/>
              <w:rPr>
                <w:color w:val="000000"/>
                <w:sz w:val="18"/>
                <w:szCs w:val="18"/>
                <w:lang w:eastAsia="en-CA"/>
              </w:rPr>
            </w:pPr>
            <w:r w:rsidRPr="00FE04FE">
              <w:rPr>
                <w:color w:val="000000"/>
                <w:sz w:val="18"/>
                <w:szCs w:val="18"/>
                <w:lang w:eastAsia="en-CA"/>
              </w:rPr>
              <w:t>1.1</w:t>
            </w:r>
          </w:p>
        </w:tc>
        <w:tc>
          <w:tcPr>
            <w:tcW w:w="0" w:type="auto"/>
            <w:tcBorders>
              <w:top w:val="nil"/>
              <w:left w:val="nil"/>
              <w:bottom w:val="single" w:sz="4" w:space="0" w:color="auto"/>
              <w:right w:val="single" w:sz="4" w:space="0" w:color="auto"/>
            </w:tcBorders>
            <w:shd w:val="clear" w:color="auto" w:fill="auto"/>
            <w:hideMark/>
          </w:tcPr>
          <w:p w14:paraId="68057620" w14:textId="77777777" w:rsidR="008C5479" w:rsidRPr="00FE04FE" w:rsidRDefault="008C5479" w:rsidP="00057085">
            <w:pPr>
              <w:keepNext/>
              <w:keepLines/>
              <w:rPr>
                <w:color w:val="000000"/>
                <w:sz w:val="18"/>
                <w:szCs w:val="18"/>
                <w:lang w:eastAsia="en-CA"/>
              </w:rPr>
            </w:pPr>
            <w:r w:rsidRPr="00FE04FE">
              <w:rPr>
                <w:color w:val="000000"/>
                <w:sz w:val="18"/>
                <w:szCs w:val="18"/>
                <w:lang w:eastAsia="en-CA"/>
              </w:rPr>
              <w:t>Montreal Protocol reduction schedule of Annex C, Group I substances (ODP tonnes)</w:t>
            </w:r>
          </w:p>
        </w:tc>
        <w:tc>
          <w:tcPr>
            <w:tcW w:w="0" w:type="auto"/>
            <w:tcBorders>
              <w:top w:val="nil"/>
              <w:left w:val="nil"/>
              <w:bottom w:val="single" w:sz="4" w:space="0" w:color="auto"/>
              <w:right w:val="single" w:sz="4" w:space="0" w:color="auto"/>
            </w:tcBorders>
            <w:shd w:val="clear" w:color="auto" w:fill="FFFFFF" w:themeFill="background1"/>
          </w:tcPr>
          <w:p w14:paraId="34918E41" w14:textId="77777777" w:rsidR="008C5479" w:rsidRPr="00FE04FE" w:rsidRDefault="008C5479" w:rsidP="00057085">
            <w:pPr>
              <w:keepNext/>
              <w:keepLines/>
              <w:jc w:val="right"/>
              <w:rPr>
                <w:color w:val="000000"/>
                <w:sz w:val="18"/>
                <w:szCs w:val="18"/>
                <w:lang w:eastAsia="en-CA"/>
              </w:rPr>
            </w:pPr>
            <w:r w:rsidRPr="00FE04FE">
              <w:rPr>
                <w:sz w:val="18"/>
                <w:szCs w:val="18"/>
              </w:rPr>
              <w:t>15.27</w:t>
            </w:r>
          </w:p>
        </w:tc>
        <w:tc>
          <w:tcPr>
            <w:tcW w:w="0" w:type="auto"/>
            <w:tcBorders>
              <w:top w:val="nil"/>
              <w:left w:val="nil"/>
              <w:bottom w:val="single" w:sz="4" w:space="0" w:color="auto"/>
              <w:right w:val="single" w:sz="4" w:space="0" w:color="auto"/>
            </w:tcBorders>
            <w:shd w:val="clear" w:color="auto" w:fill="FFFFFF" w:themeFill="background1"/>
          </w:tcPr>
          <w:p w14:paraId="4F0B2B47" w14:textId="77777777" w:rsidR="008C5479" w:rsidRPr="00FE04FE" w:rsidRDefault="008C5479" w:rsidP="00057085">
            <w:pPr>
              <w:keepNext/>
              <w:keepLines/>
              <w:jc w:val="right"/>
              <w:rPr>
                <w:color w:val="000000"/>
                <w:sz w:val="18"/>
                <w:szCs w:val="18"/>
                <w:lang w:eastAsia="en-CA"/>
              </w:rPr>
            </w:pPr>
            <w:r w:rsidRPr="00FE04FE">
              <w:rPr>
                <w:sz w:val="18"/>
                <w:szCs w:val="18"/>
              </w:rPr>
              <w:t>15.27</w:t>
            </w:r>
          </w:p>
        </w:tc>
        <w:tc>
          <w:tcPr>
            <w:tcW w:w="0" w:type="auto"/>
            <w:tcBorders>
              <w:top w:val="nil"/>
              <w:left w:val="nil"/>
              <w:bottom w:val="single" w:sz="4" w:space="0" w:color="auto"/>
              <w:right w:val="single" w:sz="4" w:space="0" w:color="auto"/>
            </w:tcBorders>
            <w:shd w:val="clear" w:color="auto" w:fill="FFFFFF" w:themeFill="background1"/>
          </w:tcPr>
          <w:p w14:paraId="7A88308F" w14:textId="77777777" w:rsidR="008C5479" w:rsidRPr="00FE04FE" w:rsidRDefault="008C5479" w:rsidP="00057085">
            <w:pPr>
              <w:keepNext/>
              <w:keepLines/>
              <w:jc w:val="right"/>
              <w:rPr>
                <w:color w:val="000000"/>
                <w:sz w:val="18"/>
                <w:szCs w:val="18"/>
                <w:lang w:eastAsia="en-CA"/>
              </w:rPr>
            </w:pPr>
            <w:r w:rsidRPr="00FE04FE">
              <w:rPr>
                <w:sz w:val="18"/>
                <w:szCs w:val="18"/>
              </w:rPr>
              <w:t>15.27</w:t>
            </w:r>
          </w:p>
        </w:tc>
        <w:tc>
          <w:tcPr>
            <w:tcW w:w="0" w:type="auto"/>
            <w:tcBorders>
              <w:top w:val="nil"/>
              <w:left w:val="nil"/>
              <w:bottom w:val="single" w:sz="4" w:space="0" w:color="auto"/>
              <w:right w:val="single" w:sz="4" w:space="0" w:color="auto"/>
            </w:tcBorders>
            <w:shd w:val="clear" w:color="auto" w:fill="FFFFFF" w:themeFill="background1"/>
          </w:tcPr>
          <w:p w14:paraId="55BBE21F" w14:textId="77777777" w:rsidR="008C5479" w:rsidRPr="00FE04FE" w:rsidRDefault="008C5479" w:rsidP="00057085">
            <w:pPr>
              <w:keepNext/>
              <w:keepLines/>
              <w:jc w:val="right"/>
              <w:rPr>
                <w:color w:val="000000"/>
                <w:sz w:val="18"/>
                <w:szCs w:val="18"/>
                <w:lang w:eastAsia="en-CA"/>
              </w:rPr>
            </w:pPr>
            <w:r w:rsidRPr="00FE04FE">
              <w:rPr>
                <w:sz w:val="18"/>
                <w:szCs w:val="18"/>
              </w:rPr>
              <w:t>7.63</w:t>
            </w:r>
          </w:p>
        </w:tc>
        <w:tc>
          <w:tcPr>
            <w:tcW w:w="0" w:type="auto"/>
            <w:tcBorders>
              <w:top w:val="nil"/>
              <w:left w:val="nil"/>
              <w:bottom w:val="single" w:sz="4" w:space="0" w:color="auto"/>
              <w:right w:val="single" w:sz="4" w:space="0" w:color="auto"/>
            </w:tcBorders>
            <w:shd w:val="clear" w:color="auto" w:fill="FFFFFF" w:themeFill="background1"/>
          </w:tcPr>
          <w:p w14:paraId="23DEA8FD" w14:textId="77777777" w:rsidR="008C5479" w:rsidRPr="00FE04FE" w:rsidRDefault="008C5479" w:rsidP="00057085">
            <w:pPr>
              <w:keepNext/>
              <w:keepLines/>
              <w:jc w:val="right"/>
              <w:rPr>
                <w:color w:val="000000"/>
                <w:sz w:val="18"/>
                <w:szCs w:val="18"/>
                <w:lang w:eastAsia="en-CA"/>
              </w:rPr>
            </w:pPr>
            <w:r w:rsidRPr="00FE04FE">
              <w:rPr>
                <w:sz w:val="18"/>
                <w:szCs w:val="18"/>
              </w:rPr>
              <w:t>7.63</w:t>
            </w:r>
          </w:p>
        </w:tc>
        <w:tc>
          <w:tcPr>
            <w:tcW w:w="0" w:type="auto"/>
            <w:tcBorders>
              <w:top w:val="nil"/>
              <w:left w:val="nil"/>
              <w:bottom w:val="single" w:sz="4" w:space="0" w:color="auto"/>
              <w:right w:val="single" w:sz="4" w:space="0" w:color="auto"/>
            </w:tcBorders>
            <w:shd w:val="clear" w:color="auto" w:fill="FFFFFF" w:themeFill="background1"/>
          </w:tcPr>
          <w:p w14:paraId="3005B0B4" w14:textId="77777777" w:rsidR="008C5479" w:rsidRPr="00FE04FE" w:rsidRDefault="008C5479" w:rsidP="00057085">
            <w:pPr>
              <w:keepNext/>
              <w:keepLines/>
              <w:jc w:val="right"/>
              <w:rPr>
                <w:color w:val="000000"/>
                <w:sz w:val="18"/>
                <w:szCs w:val="18"/>
                <w:lang w:eastAsia="en-CA"/>
              </w:rPr>
            </w:pPr>
            <w:r w:rsidRPr="00FE04FE">
              <w:rPr>
                <w:sz w:val="18"/>
                <w:szCs w:val="18"/>
              </w:rPr>
              <w:t>7.63</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6558A51B" w14:textId="77777777" w:rsidR="008C5479" w:rsidRPr="00FE04FE" w:rsidRDefault="008C5479" w:rsidP="00057085">
            <w:pPr>
              <w:keepNext/>
              <w:keepLines/>
              <w:jc w:val="right"/>
              <w:rPr>
                <w:color w:val="000000"/>
                <w:sz w:val="18"/>
                <w:szCs w:val="18"/>
                <w:lang w:eastAsia="en-CA"/>
              </w:rPr>
            </w:pPr>
            <w:r w:rsidRPr="00FE04FE">
              <w:rPr>
                <w:color w:val="000000"/>
                <w:sz w:val="18"/>
                <w:szCs w:val="18"/>
                <w:lang w:eastAsia="en-CA"/>
              </w:rPr>
              <w:t>0</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4C2F419" w14:textId="77777777" w:rsidR="008C5479" w:rsidRPr="00FE04FE" w:rsidRDefault="008C5479" w:rsidP="00057085">
            <w:pPr>
              <w:keepNext/>
              <w:keepLines/>
              <w:jc w:val="right"/>
              <w:rPr>
                <w:color w:val="000000"/>
                <w:sz w:val="18"/>
                <w:szCs w:val="18"/>
                <w:lang w:eastAsia="en-CA"/>
              </w:rPr>
            </w:pPr>
            <w:r w:rsidRPr="00FE04FE">
              <w:rPr>
                <w:color w:val="000000"/>
                <w:sz w:val="18"/>
                <w:szCs w:val="18"/>
                <w:lang w:eastAsia="en-CA"/>
              </w:rPr>
              <w:t>n/a</w:t>
            </w:r>
          </w:p>
        </w:tc>
      </w:tr>
      <w:tr w:rsidR="008C5479" w:rsidRPr="00CB311D" w14:paraId="1BB32F3D" w14:textId="77777777" w:rsidTr="00057085">
        <w:trPr>
          <w:trHeight w:val="408"/>
          <w:jc w:val="center"/>
        </w:trPr>
        <w:tc>
          <w:tcPr>
            <w:tcW w:w="0" w:type="auto"/>
            <w:tcBorders>
              <w:top w:val="nil"/>
              <w:left w:val="single" w:sz="4" w:space="0" w:color="auto"/>
              <w:bottom w:val="single" w:sz="4" w:space="0" w:color="auto"/>
              <w:right w:val="single" w:sz="4" w:space="0" w:color="auto"/>
            </w:tcBorders>
            <w:shd w:val="clear" w:color="auto" w:fill="auto"/>
            <w:hideMark/>
          </w:tcPr>
          <w:p w14:paraId="293A323E" w14:textId="77777777" w:rsidR="008C5479" w:rsidRPr="00FE04FE" w:rsidRDefault="008C5479" w:rsidP="00057085">
            <w:pPr>
              <w:rPr>
                <w:color w:val="000000"/>
                <w:sz w:val="18"/>
                <w:szCs w:val="18"/>
                <w:lang w:eastAsia="en-CA"/>
              </w:rPr>
            </w:pPr>
            <w:r w:rsidRPr="00FE04FE">
              <w:rPr>
                <w:color w:val="000000"/>
                <w:sz w:val="18"/>
                <w:szCs w:val="18"/>
                <w:lang w:eastAsia="en-CA"/>
              </w:rPr>
              <w:t>1.2</w:t>
            </w:r>
          </w:p>
        </w:tc>
        <w:tc>
          <w:tcPr>
            <w:tcW w:w="0" w:type="auto"/>
            <w:tcBorders>
              <w:top w:val="nil"/>
              <w:left w:val="nil"/>
              <w:bottom w:val="single" w:sz="4" w:space="0" w:color="auto"/>
              <w:right w:val="single" w:sz="4" w:space="0" w:color="auto"/>
            </w:tcBorders>
            <w:shd w:val="clear" w:color="auto" w:fill="auto"/>
            <w:hideMark/>
          </w:tcPr>
          <w:p w14:paraId="38A63C88" w14:textId="77777777" w:rsidR="008C5479" w:rsidRPr="00FE04FE" w:rsidRDefault="008C5479" w:rsidP="00057085">
            <w:pPr>
              <w:rPr>
                <w:color w:val="000000"/>
                <w:sz w:val="18"/>
                <w:szCs w:val="18"/>
                <w:lang w:eastAsia="en-CA"/>
              </w:rPr>
            </w:pPr>
            <w:r w:rsidRPr="00FE04FE">
              <w:rPr>
                <w:color w:val="000000"/>
                <w:sz w:val="18"/>
                <w:szCs w:val="18"/>
                <w:lang w:eastAsia="en-CA"/>
              </w:rPr>
              <w:t>Maximum allowable total consumption of Annex C, Group I substances (ODP tonnes)</w:t>
            </w:r>
          </w:p>
        </w:tc>
        <w:tc>
          <w:tcPr>
            <w:tcW w:w="0" w:type="auto"/>
            <w:tcBorders>
              <w:top w:val="nil"/>
              <w:left w:val="nil"/>
              <w:bottom w:val="single" w:sz="4" w:space="0" w:color="auto"/>
              <w:right w:val="single" w:sz="4" w:space="0" w:color="auto"/>
            </w:tcBorders>
            <w:shd w:val="clear" w:color="auto" w:fill="FFFFFF" w:themeFill="background1"/>
          </w:tcPr>
          <w:p w14:paraId="5C6CF63C" w14:textId="77777777" w:rsidR="008C5479" w:rsidRPr="00FE04FE" w:rsidRDefault="008C5479" w:rsidP="00057085">
            <w:pPr>
              <w:jc w:val="right"/>
              <w:rPr>
                <w:color w:val="000000"/>
                <w:sz w:val="18"/>
                <w:szCs w:val="18"/>
                <w:lang w:eastAsia="en-CA"/>
              </w:rPr>
            </w:pPr>
            <w:r w:rsidRPr="00FE04FE">
              <w:rPr>
                <w:sz w:val="18"/>
                <w:szCs w:val="18"/>
              </w:rPr>
              <w:t>15.27</w:t>
            </w:r>
          </w:p>
        </w:tc>
        <w:tc>
          <w:tcPr>
            <w:tcW w:w="0" w:type="auto"/>
            <w:tcBorders>
              <w:top w:val="nil"/>
              <w:left w:val="nil"/>
              <w:bottom w:val="single" w:sz="4" w:space="0" w:color="auto"/>
              <w:right w:val="single" w:sz="4" w:space="0" w:color="auto"/>
            </w:tcBorders>
            <w:shd w:val="clear" w:color="auto" w:fill="FFFFFF" w:themeFill="background1"/>
          </w:tcPr>
          <w:p w14:paraId="5B2F4AEA" w14:textId="77777777" w:rsidR="008C5479" w:rsidRPr="00FE04FE" w:rsidRDefault="008C5479" w:rsidP="00057085">
            <w:pPr>
              <w:jc w:val="right"/>
              <w:rPr>
                <w:color w:val="000000"/>
                <w:sz w:val="18"/>
                <w:szCs w:val="18"/>
                <w:lang w:eastAsia="en-CA"/>
              </w:rPr>
            </w:pPr>
            <w:r w:rsidRPr="00FE04FE">
              <w:rPr>
                <w:sz w:val="18"/>
                <w:szCs w:val="18"/>
              </w:rPr>
              <w:t>15.27</w:t>
            </w:r>
          </w:p>
        </w:tc>
        <w:tc>
          <w:tcPr>
            <w:tcW w:w="0" w:type="auto"/>
            <w:tcBorders>
              <w:top w:val="nil"/>
              <w:left w:val="nil"/>
              <w:bottom w:val="single" w:sz="4" w:space="0" w:color="auto"/>
              <w:right w:val="single" w:sz="4" w:space="0" w:color="auto"/>
            </w:tcBorders>
            <w:shd w:val="clear" w:color="auto" w:fill="FFFFFF" w:themeFill="background1"/>
          </w:tcPr>
          <w:p w14:paraId="4059DB29" w14:textId="77777777" w:rsidR="008C5479" w:rsidRPr="00FE04FE" w:rsidRDefault="008C5479" w:rsidP="00057085">
            <w:pPr>
              <w:jc w:val="right"/>
              <w:rPr>
                <w:color w:val="000000"/>
                <w:sz w:val="18"/>
                <w:szCs w:val="18"/>
                <w:lang w:eastAsia="en-CA"/>
              </w:rPr>
            </w:pPr>
            <w:r w:rsidRPr="00FE04FE">
              <w:rPr>
                <w:sz w:val="18"/>
                <w:szCs w:val="18"/>
              </w:rPr>
              <w:t>15.27</w:t>
            </w:r>
          </w:p>
        </w:tc>
        <w:tc>
          <w:tcPr>
            <w:tcW w:w="0" w:type="auto"/>
            <w:tcBorders>
              <w:top w:val="nil"/>
              <w:left w:val="nil"/>
              <w:bottom w:val="single" w:sz="4" w:space="0" w:color="auto"/>
              <w:right w:val="single" w:sz="4" w:space="0" w:color="auto"/>
            </w:tcBorders>
            <w:shd w:val="clear" w:color="auto" w:fill="FFFFFF" w:themeFill="background1"/>
          </w:tcPr>
          <w:p w14:paraId="523979CD" w14:textId="77777777" w:rsidR="008C5479" w:rsidRPr="00FE04FE" w:rsidRDefault="008C5479" w:rsidP="00057085">
            <w:pPr>
              <w:jc w:val="right"/>
              <w:rPr>
                <w:color w:val="000000"/>
                <w:sz w:val="18"/>
                <w:szCs w:val="18"/>
                <w:lang w:eastAsia="en-CA"/>
              </w:rPr>
            </w:pPr>
            <w:r w:rsidRPr="00FE04FE">
              <w:rPr>
                <w:sz w:val="18"/>
                <w:szCs w:val="18"/>
              </w:rPr>
              <w:t>7.63</w:t>
            </w:r>
          </w:p>
        </w:tc>
        <w:tc>
          <w:tcPr>
            <w:tcW w:w="0" w:type="auto"/>
            <w:tcBorders>
              <w:top w:val="nil"/>
              <w:left w:val="nil"/>
              <w:bottom w:val="single" w:sz="4" w:space="0" w:color="auto"/>
              <w:right w:val="single" w:sz="4" w:space="0" w:color="auto"/>
            </w:tcBorders>
            <w:shd w:val="clear" w:color="auto" w:fill="FFFFFF" w:themeFill="background1"/>
          </w:tcPr>
          <w:p w14:paraId="02029960" w14:textId="77777777" w:rsidR="008C5479" w:rsidRPr="00FE04FE" w:rsidRDefault="008C5479" w:rsidP="00057085">
            <w:pPr>
              <w:jc w:val="right"/>
              <w:rPr>
                <w:color w:val="000000"/>
                <w:sz w:val="18"/>
                <w:szCs w:val="18"/>
                <w:lang w:eastAsia="en-CA"/>
              </w:rPr>
            </w:pPr>
            <w:r w:rsidRPr="00FE04FE">
              <w:rPr>
                <w:sz w:val="18"/>
                <w:szCs w:val="18"/>
              </w:rPr>
              <w:t>7.63</w:t>
            </w:r>
          </w:p>
        </w:tc>
        <w:tc>
          <w:tcPr>
            <w:tcW w:w="0" w:type="auto"/>
            <w:tcBorders>
              <w:top w:val="nil"/>
              <w:left w:val="nil"/>
              <w:bottom w:val="single" w:sz="4" w:space="0" w:color="auto"/>
              <w:right w:val="single" w:sz="4" w:space="0" w:color="auto"/>
            </w:tcBorders>
            <w:shd w:val="clear" w:color="auto" w:fill="FFFFFF" w:themeFill="background1"/>
          </w:tcPr>
          <w:p w14:paraId="38C29A91" w14:textId="77777777" w:rsidR="008C5479" w:rsidRPr="00FE04FE" w:rsidRDefault="008C5479" w:rsidP="00057085">
            <w:pPr>
              <w:jc w:val="right"/>
              <w:rPr>
                <w:color w:val="000000"/>
                <w:sz w:val="18"/>
                <w:szCs w:val="18"/>
                <w:lang w:eastAsia="en-CA"/>
              </w:rPr>
            </w:pPr>
            <w:r w:rsidRPr="00FE04FE">
              <w:rPr>
                <w:sz w:val="18"/>
                <w:szCs w:val="18"/>
              </w:rPr>
              <w:t>7.63</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1CB08A57"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3BB7F808" w14:textId="77777777" w:rsidR="008C5479" w:rsidRPr="00FE04FE" w:rsidRDefault="008C5479" w:rsidP="00057085">
            <w:pPr>
              <w:jc w:val="right"/>
              <w:rPr>
                <w:color w:val="000000"/>
                <w:sz w:val="18"/>
                <w:szCs w:val="18"/>
                <w:lang w:eastAsia="en-CA"/>
              </w:rPr>
            </w:pPr>
            <w:r w:rsidRPr="00FE04FE">
              <w:rPr>
                <w:color w:val="000000"/>
                <w:sz w:val="18"/>
                <w:szCs w:val="18"/>
                <w:lang w:eastAsia="en-CA"/>
              </w:rPr>
              <w:t>n/a</w:t>
            </w:r>
          </w:p>
        </w:tc>
      </w:tr>
      <w:tr w:rsidR="008C5479" w:rsidRPr="00CB311D" w14:paraId="780D4243" w14:textId="77777777" w:rsidTr="00057085">
        <w:trPr>
          <w:trHeight w:val="116"/>
          <w:jc w:val="center"/>
        </w:trPr>
        <w:tc>
          <w:tcPr>
            <w:tcW w:w="0" w:type="auto"/>
            <w:tcBorders>
              <w:top w:val="nil"/>
              <w:left w:val="single" w:sz="4" w:space="0" w:color="auto"/>
              <w:bottom w:val="single" w:sz="4" w:space="0" w:color="auto"/>
              <w:right w:val="single" w:sz="4" w:space="0" w:color="auto"/>
            </w:tcBorders>
            <w:shd w:val="clear" w:color="auto" w:fill="auto"/>
            <w:hideMark/>
          </w:tcPr>
          <w:p w14:paraId="4427F2F4" w14:textId="77777777" w:rsidR="008C5479" w:rsidRPr="00FE04FE" w:rsidRDefault="008C5479" w:rsidP="00057085">
            <w:pPr>
              <w:rPr>
                <w:color w:val="000000"/>
                <w:sz w:val="18"/>
                <w:szCs w:val="18"/>
                <w:lang w:eastAsia="en-CA"/>
              </w:rPr>
            </w:pPr>
            <w:r w:rsidRPr="00FE04FE">
              <w:rPr>
                <w:color w:val="000000"/>
                <w:sz w:val="18"/>
                <w:szCs w:val="18"/>
                <w:lang w:eastAsia="en-CA"/>
              </w:rPr>
              <w:t>2.1</w:t>
            </w:r>
          </w:p>
        </w:tc>
        <w:tc>
          <w:tcPr>
            <w:tcW w:w="0" w:type="auto"/>
            <w:tcBorders>
              <w:top w:val="nil"/>
              <w:left w:val="nil"/>
              <w:bottom w:val="single" w:sz="4" w:space="0" w:color="auto"/>
              <w:right w:val="single" w:sz="4" w:space="0" w:color="auto"/>
            </w:tcBorders>
            <w:shd w:val="clear" w:color="auto" w:fill="auto"/>
            <w:hideMark/>
          </w:tcPr>
          <w:p w14:paraId="4BA05288" w14:textId="77777777" w:rsidR="008C5479" w:rsidRPr="00FE04FE" w:rsidRDefault="008C5479" w:rsidP="00057085">
            <w:pPr>
              <w:rPr>
                <w:color w:val="000000"/>
                <w:sz w:val="18"/>
                <w:szCs w:val="18"/>
                <w:lang w:eastAsia="en-CA"/>
              </w:rPr>
            </w:pPr>
            <w:r w:rsidRPr="00FE04FE">
              <w:rPr>
                <w:color w:val="000000"/>
                <w:sz w:val="18"/>
                <w:szCs w:val="18"/>
                <w:lang w:eastAsia="en-CA"/>
              </w:rPr>
              <w:t>Lead IA (UNIDO) agreed funding (US $)</w:t>
            </w:r>
          </w:p>
        </w:tc>
        <w:tc>
          <w:tcPr>
            <w:tcW w:w="0" w:type="auto"/>
            <w:tcBorders>
              <w:top w:val="single" w:sz="4" w:space="0" w:color="auto"/>
              <w:left w:val="nil"/>
              <w:bottom w:val="single" w:sz="4" w:space="0" w:color="auto"/>
              <w:right w:val="single" w:sz="4" w:space="0" w:color="auto"/>
            </w:tcBorders>
            <w:shd w:val="clear" w:color="auto" w:fill="auto"/>
            <w:vAlign w:val="center"/>
          </w:tcPr>
          <w:p w14:paraId="608B07B7" w14:textId="77777777" w:rsidR="008C5479" w:rsidRPr="00967DAF" w:rsidRDefault="008C5479" w:rsidP="00057085">
            <w:pPr>
              <w:rPr>
                <w:color w:val="000000"/>
                <w:sz w:val="18"/>
                <w:szCs w:val="18"/>
                <w:lang w:eastAsia="en-CA"/>
              </w:rPr>
            </w:pPr>
            <w:r w:rsidRPr="00CB4BDE">
              <w:rPr>
                <w:b/>
                <w:color w:val="000000"/>
                <w:sz w:val="18"/>
                <w:szCs w:val="18"/>
              </w:rPr>
              <w:t>292,750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3EF4A" w14:textId="77777777" w:rsidR="008C5479" w:rsidRPr="00967DAF" w:rsidRDefault="008C5479" w:rsidP="00057085">
            <w:pPr>
              <w:jc w:val="right"/>
              <w:rPr>
                <w:color w:val="000000"/>
                <w:sz w:val="18"/>
                <w:szCs w:val="18"/>
                <w:lang w:eastAsia="en-CA"/>
              </w:rPr>
            </w:pPr>
            <w:r w:rsidRPr="00967DAF">
              <w:rPr>
                <w:color w:val="000000"/>
                <w:sz w:val="18"/>
                <w:szCs w:val="18"/>
                <w:lang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EFD4BC" w14:textId="77777777" w:rsidR="008C5479" w:rsidRPr="00967DAF" w:rsidRDefault="008C5479" w:rsidP="00057085">
            <w:pPr>
              <w:jc w:val="right"/>
              <w:rPr>
                <w:color w:val="000000"/>
                <w:sz w:val="18"/>
                <w:szCs w:val="18"/>
                <w:lang w:eastAsia="en-CA"/>
              </w:rPr>
            </w:pPr>
            <w:r w:rsidRPr="00CB4BDE">
              <w:rPr>
                <w:b/>
                <w:color w:val="000000"/>
                <w:sz w:val="18"/>
                <w:szCs w:val="18"/>
              </w:rPr>
              <w:t>407,250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0E487" w14:textId="77777777" w:rsidR="008C5479" w:rsidRPr="00967DAF" w:rsidRDefault="008C5479" w:rsidP="00057085">
            <w:pPr>
              <w:jc w:val="right"/>
              <w:rPr>
                <w:color w:val="000000"/>
                <w:sz w:val="18"/>
                <w:szCs w:val="18"/>
                <w:lang w:eastAsia="en-CA"/>
              </w:rPr>
            </w:pPr>
            <w:r w:rsidRPr="00967DAF">
              <w:rPr>
                <w:color w:val="000000"/>
                <w:sz w:val="18"/>
                <w:szCs w:val="18"/>
                <w:lang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BB34E" w14:textId="77777777" w:rsidR="008C5479" w:rsidRPr="00CB4BDE" w:rsidRDefault="008C5479" w:rsidP="00057085">
            <w:pPr>
              <w:jc w:val="right"/>
              <w:rPr>
                <w:b/>
                <w:color w:val="000000"/>
                <w:sz w:val="18"/>
                <w:szCs w:val="18"/>
                <w:lang w:eastAsia="en-CA"/>
              </w:rPr>
            </w:pPr>
            <w:r w:rsidRPr="00CB4BDE">
              <w:rPr>
                <w:b/>
                <w:color w:val="000000"/>
                <w:sz w:val="18"/>
                <w:szCs w:val="18"/>
              </w:rPr>
              <w:t>255,500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AB43E" w14:textId="77777777" w:rsidR="008C5479" w:rsidRPr="00967DAF" w:rsidRDefault="008C5479" w:rsidP="00057085">
            <w:pPr>
              <w:jc w:val="right"/>
              <w:rPr>
                <w:color w:val="000000"/>
                <w:sz w:val="18"/>
                <w:szCs w:val="18"/>
                <w:lang w:eastAsia="en-CA"/>
              </w:rPr>
            </w:pPr>
            <w:r w:rsidRPr="00967DAF">
              <w:rPr>
                <w:color w:val="000000"/>
                <w:sz w:val="18"/>
                <w:szCs w:val="18"/>
                <w:lang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18092" w14:textId="77777777" w:rsidR="008C5479" w:rsidRPr="00CB4BDE" w:rsidRDefault="008C5479" w:rsidP="00057085">
            <w:pPr>
              <w:ind w:hanging="117"/>
              <w:jc w:val="right"/>
              <w:rPr>
                <w:b/>
                <w:color w:val="000000"/>
                <w:sz w:val="18"/>
                <w:szCs w:val="18"/>
                <w:lang w:eastAsia="en-CA"/>
              </w:rPr>
            </w:pPr>
            <w:r w:rsidRPr="00CB4BDE">
              <w:rPr>
                <w:b/>
                <w:color w:val="000000"/>
                <w:sz w:val="18"/>
                <w:szCs w:val="18"/>
              </w:rPr>
              <w:t>214,500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E36E9" w14:textId="77777777" w:rsidR="008C5479" w:rsidRPr="00CB4BDE" w:rsidRDefault="008C5479" w:rsidP="00057085">
            <w:pPr>
              <w:ind w:right="-16" w:hanging="122"/>
              <w:jc w:val="right"/>
              <w:rPr>
                <w:b/>
                <w:color w:val="000000"/>
                <w:sz w:val="18"/>
                <w:szCs w:val="18"/>
                <w:lang w:eastAsia="en-CA"/>
              </w:rPr>
            </w:pPr>
            <w:r w:rsidRPr="00CB4BDE">
              <w:rPr>
                <w:b/>
                <w:color w:val="000000"/>
                <w:sz w:val="18"/>
                <w:szCs w:val="18"/>
              </w:rPr>
              <w:t>1,170,000</w:t>
            </w:r>
          </w:p>
        </w:tc>
      </w:tr>
      <w:tr w:rsidR="008C5479" w:rsidRPr="00CB311D" w14:paraId="26106948" w14:textId="77777777" w:rsidTr="00057085">
        <w:trPr>
          <w:trHeight w:val="56"/>
          <w:jc w:val="center"/>
        </w:trPr>
        <w:tc>
          <w:tcPr>
            <w:tcW w:w="0" w:type="auto"/>
            <w:tcBorders>
              <w:top w:val="nil"/>
              <w:left w:val="single" w:sz="4" w:space="0" w:color="auto"/>
              <w:bottom w:val="single" w:sz="4" w:space="0" w:color="auto"/>
              <w:right w:val="single" w:sz="4" w:space="0" w:color="auto"/>
            </w:tcBorders>
            <w:shd w:val="clear" w:color="auto" w:fill="auto"/>
            <w:hideMark/>
          </w:tcPr>
          <w:p w14:paraId="2FB3F855" w14:textId="77777777" w:rsidR="008C5479" w:rsidRPr="00FE04FE" w:rsidRDefault="008C5479" w:rsidP="00057085">
            <w:pPr>
              <w:rPr>
                <w:color w:val="000000"/>
                <w:sz w:val="18"/>
                <w:szCs w:val="18"/>
                <w:lang w:eastAsia="en-CA"/>
              </w:rPr>
            </w:pPr>
            <w:r w:rsidRPr="00FE04FE">
              <w:rPr>
                <w:color w:val="000000"/>
                <w:sz w:val="18"/>
                <w:szCs w:val="18"/>
                <w:lang w:eastAsia="en-CA"/>
              </w:rPr>
              <w:t>2.2</w:t>
            </w:r>
          </w:p>
        </w:tc>
        <w:tc>
          <w:tcPr>
            <w:tcW w:w="0" w:type="auto"/>
            <w:tcBorders>
              <w:top w:val="nil"/>
              <w:left w:val="nil"/>
              <w:bottom w:val="single" w:sz="4" w:space="0" w:color="auto"/>
              <w:right w:val="single" w:sz="4" w:space="0" w:color="auto"/>
            </w:tcBorders>
            <w:shd w:val="clear" w:color="auto" w:fill="auto"/>
            <w:hideMark/>
          </w:tcPr>
          <w:p w14:paraId="264A8F40" w14:textId="77777777" w:rsidR="008C5479" w:rsidRPr="00FE04FE" w:rsidRDefault="008C5479" w:rsidP="00057085">
            <w:pPr>
              <w:rPr>
                <w:color w:val="000000"/>
                <w:sz w:val="18"/>
                <w:szCs w:val="18"/>
                <w:lang w:eastAsia="en-CA"/>
              </w:rPr>
            </w:pPr>
            <w:r w:rsidRPr="00FE04FE">
              <w:rPr>
                <w:color w:val="000000"/>
                <w:sz w:val="18"/>
                <w:szCs w:val="18"/>
                <w:lang w:eastAsia="en-CA"/>
              </w:rPr>
              <w:t>Support costs for Lead IA (US $)</w:t>
            </w:r>
          </w:p>
        </w:tc>
        <w:tc>
          <w:tcPr>
            <w:tcW w:w="0" w:type="auto"/>
            <w:tcBorders>
              <w:top w:val="single" w:sz="4" w:space="0" w:color="auto"/>
              <w:left w:val="nil"/>
              <w:bottom w:val="single" w:sz="4" w:space="0" w:color="auto"/>
              <w:right w:val="single" w:sz="4" w:space="0" w:color="auto"/>
            </w:tcBorders>
            <w:shd w:val="clear" w:color="auto" w:fill="auto"/>
            <w:vAlign w:val="center"/>
          </w:tcPr>
          <w:p w14:paraId="156650D6" w14:textId="77777777" w:rsidR="008C5479" w:rsidRPr="00CB4BDE" w:rsidRDefault="008C5479" w:rsidP="00057085">
            <w:pPr>
              <w:jc w:val="right"/>
              <w:rPr>
                <w:b/>
                <w:color w:val="000000"/>
                <w:sz w:val="18"/>
                <w:szCs w:val="18"/>
                <w:lang w:eastAsia="en-CA"/>
              </w:rPr>
            </w:pPr>
            <w:r w:rsidRPr="00CB4BDE">
              <w:rPr>
                <w:b/>
                <w:color w:val="000000"/>
                <w:sz w:val="18"/>
                <w:szCs w:val="18"/>
              </w:rPr>
              <w:t>20,493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7D944" w14:textId="77777777" w:rsidR="008C5479" w:rsidRPr="00967DAF" w:rsidRDefault="008C5479" w:rsidP="00057085">
            <w:pPr>
              <w:jc w:val="right"/>
              <w:rPr>
                <w:color w:val="000000"/>
                <w:sz w:val="18"/>
                <w:szCs w:val="18"/>
                <w:lang w:eastAsia="en-CA"/>
              </w:rPr>
            </w:pPr>
            <w:r w:rsidRPr="00967DAF">
              <w:rPr>
                <w:color w:val="000000"/>
                <w:sz w:val="18"/>
                <w:szCs w:val="18"/>
                <w:lang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96D009" w14:textId="77777777" w:rsidR="008C5479" w:rsidRPr="00CB4BDE" w:rsidRDefault="008C5479" w:rsidP="00057085">
            <w:pPr>
              <w:jc w:val="right"/>
              <w:rPr>
                <w:b/>
                <w:color w:val="000000"/>
                <w:sz w:val="18"/>
                <w:szCs w:val="18"/>
                <w:lang w:eastAsia="en-CA"/>
              </w:rPr>
            </w:pPr>
            <w:r w:rsidRPr="00CB4BDE">
              <w:rPr>
                <w:b/>
                <w:color w:val="000000"/>
                <w:sz w:val="18"/>
                <w:szCs w:val="18"/>
              </w:rPr>
              <w:t>28,507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7A3F1" w14:textId="77777777" w:rsidR="008C5479" w:rsidRPr="00967DAF" w:rsidRDefault="008C5479" w:rsidP="00057085">
            <w:pPr>
              <w:jc w:val="right"/>
              <w:rPr>
                <w:color w:val="000000"/>
                <w:sz w:val="18"/>
                <w:szCs w:val="18"/>
                <w:lang w:eastAsia="en-CA"/>
              </w:rPr>
            </w:pPr>
            <w:r w:rsidRPr="00967DAF">
              <w:rPr>
                <w:color w:val="000000"/>
                <w:sz w:val="18"/>
                <w:szCs w:val="18"/>
                <w:lang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910A4" w14:textId="77777777" w:rsidR="008C5479" w:rsidRPr="00CB4BDE" w:rsidRDefault="008C5479" w:rsidP="00057085">
            <w:pPr>
              <w:jc w:val="right"/>
              <w:rPr>
                <w:b/>
                <w:color w:val="000000"/>
                <w:sz w:val="18"/>
                <w:szCs w:val="18"/>
                <w:lang w:eastAsia="en-CA"/>
              </w:rPr>
            </w:pPr>
            <w:r w:rsidRPr="00CB4BDE">
              <w:rPr>
                <w:b/>
                <w:color w:val="000000"/>
                <w:sz w:val="18"/>
                <w:szCs w:val="18"/>
              </w:rPr>
              <w:t>17,885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05759" w14:textId="77777777" w:rsidR="008C5479" w:rsidRPr="00967DAF" w:rsidRDefault="008C5479" w:rsidP="00057085">
            <w:pPr>
              <w:jc w:val="right"/>
              <w:rPr>
                <w:color w:val="000000"/>
                <w:sz w:val="18"/>
                <w:szCs w:val="18"/>
                <w:lang w:eastAsia="en-CA"/>
              </w:rPr>
            </w:pPr>
            <w:r w:rsidRPr="00967DAF">
              <w:rPr>
                <w:color w:val="000000"/>
                <w:sz w:val="18"/>
                <w:szCs w:val="18"/>
                <w:lang w:eastAsia="en-CA"/>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3ADCD" w14:textId="77777777" w:rsidR="008C5479" w:rsidRPr="00CB4BDE" w:rsidRDefault="008C5479" w:rsidP="00057085">
            <w:pPr>
              <w:jc w:val="right"/>
              <w:rPr>
                <w:b/>
                <w:color w:val="000000"/>
                <w:sz w:val="18"/>
                <w:szCs w:val="18"/>
                <w:lang w:eastAsia="en-CA"/>
              </w:rPr>
            </w:pPr>
            <w:r w:rsidRPr="00CB4BDE">
              <w:rPr>
                <w:b/>
                <w:color w:val="000000"/>
                <w:sz w:val="18"/>
                <w:szCs w:val="18"/>
              </w:rPr>
              <w:t>15,015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6F5B5B" w14:textId="77777777" w:rsidR="008C5479" w:rsidRPr="00CB4BDE" w:rsidRDefault="008C5479" w:rsidP="00057085">
            <w:pPr>
              <w:jc w:val="right"/>
              <w:rPr>
                <w:b/>
                <w:color w:val="000000"/>
                <w:sz w:val="18"/>
                <w:szCs w:val="18"/>
                <w:lang w:eastAsia="en-CA"/>
              </w:rPr>
            </w:pPr>
            <w:r w:rsidRPr="00CB4BDE">
              <w:rPr>
                <w:b/>
                <w:color w:val="000000"/>
                <w:sz w:val="18"/>
                <w:szCs w:val="18"/>
              </w:rPr>
              <w:t>81,900</w:t>
            </w:r>
          </w:p>
        </w:tc>
      </w:tr>
      <w:tr w:rsidR="008C5479" w:rsidRPr="00CB311D" w14:paraId="03927D05" w14:textId="77777777" w:rsidTr="00057085">
        <w:trPr>
          <w:trHeight w:val="62"/>
          <w:jc w:val="center"/>
        </w:trPr>
        <w:tc>
          <w:tcPr>
            <w:tcW w:w="0" w:type="auto"/>
            <w:tcBorders>
              <w:top w:val="nil"/>
              <w:left w:val="single" w:sz="4" w:space="0" w:color="auto"/>
              <w:bottom w:val="single" w:sz="4" w:space="0" w:color="auto"/>
              <w:right w:val="single" w:sz="4" w:space="0" w:color="auto"/>
            </w:tcBorders>
            <w:shd w:val="clear" w:color="auto" w:fill="auto"/>
            <w:hideMark/>
          </w:tcPr>
          <w:p w14:paraId="5EA3C3F9" w14:textId="77777777" w:rsidR="008C5479" w:rsidRPr="00FE04FE" w:rsidRDefault="008C5479" w:rsidP="00057085">
            <w:pPr>
              <w:rPr>
                <w:color w:val="000000"/>
                <w:sz w:val="18"/>
                <w:szCs w:val="18"/>
                <w:lang w:eastAsia="en-CA"/>
              </w:rPr>
            </w:pPr>
            <w:r w:rsidRPr="00FE04FE">
              <w:rPr>
                <w:color w:val="000000"/>
                <w:sz w:val="18"/>
                <w:szCs w:val="18"/>
                <w:lang w:eastAsia="en-CA"/>
              </w:rPr>
              <w:t>3.1</w:t>
            </w:r>
          </w:p>
        </w:tc>
        <w:tc>
          <w:tcPr>
            <w:tcW w:w="0" w:type="auto"/>
            <w:tcBorders>
              <w:top w:val="nil"/>
              <w:left w:val="nil"/>
              <w:bottom w:val="single" w:sz="4" w:space="0" w:color="auto"/>
              <w:right w:val="single" w:sz="4" w:space="0" w:color="auto"/>
            </w:tcBorders>
            <w:shd w:val="clear" w:color="auto" w:fill="auto"/>
            <w:hideMark/>
          </w:tcPr>
          <w:p w14:paraId="4BA218F9" w14:textId="77777777" w:rsidR="008C5479" w:rsidRPr="00FE04FE" w:rsidRDefault="008C5479" w:rsidP="00057085">
            <w:pPr>
              <w:rPr>
                <w:color w:val="000000"/>
                <w:sz w:val="18"/>
                <w:szCs w:val="18"/>
                <w:lang w:eastAsia="en-CA"/>
              </w:rPr>
            </w:pPr>
            <w:r w:rsidRPr="00FE04FE">
              <w:rPr>
                <w:color w:val="000000"/>
                <w:sz w:val="18"/>
                <w:szCs w:val="18"/>
                <w:lang w:eastAsia="en-CA"/>
              </w:rPr>
              <w:t>Total agreed funding (US $)</w:t>
            </w:r>
          </w:p>
        </w:tc>
        <w:tc>
          <w:tcPr>
            <w:tcW w:w="0" w:type="auto"/>
            <w:tcBorders>
              <w:top w:val="single" w:sz="4" w:space="0" w:color="auto"/>
              <w:left w:val="nil"/>
              <w:bottom w:val="single" w:sz="4" w:space="0" w:color="auto"/>
              <w:right w:val="single" w:sz="4" w:space="0" w:color="auto"/>
            </w:tcBorders>
            <w:shd w:val="clear" w:color="auto" w:fill="auto"/>
            <w:vAlign w:val="center"/>
          </w:tcPr>
          <w:p w14:paraId="24A4E96B" w14:textId="77777777" w:rsidR="008C5479" w:rsidRPr="00967DAF" w:rsidRDefault="008C5479" w:rsidP="00057085">
            <w:pPr>
              <w:jc w:val="right"/>
              <w:rPr>
                <w:color w:val="000000"/>
                <w:sz w:val="18"/>
                <w:szCs w:val="18"/>
                <w:lang w:eastAsia="en-CA"/>
              </w:rPr>
            </w:pPr>
            <w:r w:rsidRPr="00967DAF">
              <w:rPr>
                <w:color w:val="000000"/>
                <w:sz w:val="18"/>
                <w:szCs w:val="18"/>
              </w:rPr>
              <w:t>292,750</w:t>
            </w:r>
          </w:p>
        </w:tc>
        <w:tc>
          <w:tcPr>
            <w:tcW w:w="0" w:type="auto"/>
            <w:tcBorders>
              <w:top w:val="single" w:sz="4" w:space="0" w:color="auto"/>
              <w:left w:val="nil"/>
              <w:bottom w:val="single" w:sz="4" w:space="0" w:color="auto"/>
              <w:right w:val="single" w:sz="4" w:space="0" w:color="auto"/>
            </w:tcBorders>
            <w:shd w:val="clear" w:color="auto" w:fill="auto"/>
          </w:tcPr>
          <w:p w14:paraId="659B62FE"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1531A229" w14:textId="77777777" w:rsidR="008C5479" w:rsidRPr="00967DAF" w:rsidRDefault="008C5479" w:rsidP="00057085">
            <w:pPr>
              <w:jc w:val="right"/>
              <w:rPr>
                <w:color w:val="000000"/>
                <w:sz w:val="18"/>
                <w:szCs w:val="18"/>
                <w:lang w:eastAsia="en-CA"/>
              </w:rPr>
            </w:pPr>
            <w:r w:rsidRPr="00967DAF">
              <w:rPr>
                <w:color w:val="000000"/>
                <w:sz w:val="18"/>
                <w:szCs w:val="18"/>
              </w:rPr>
              <w:t>407,250</w:t>
            </w:r>
          </w:p>
        </w:tc>
        <w:tc>
          <w:tcPr>
            <w:tcW w:w="0" w:type="auto"/>
            <w:tcBorders>
              <w:top w:val="single" w:sz="4" w:space="0" w:color="auto"/>
              <w:left w:val="nil"/>
              <w:bottom w:val="single" w:sz="4" w:space="0" w:color="auto"/>
              <w:right w:val="single" w:sz="4" w:space="0" w:color="auto"/>
            </w:tcBorders>
            <w:shd w:val="clear" w:color="auto" w:fill="auto"/>
          </w:tcPr>
          <w:p w14:paraId="2C26CA59"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2D8ECC" w14:textId="77777777" w:rsidR="008C5479" w:rsidRPr="00967DAF" w:rsidRDefault="008C5479" w:rsidP="00057085">
            <w:pPr>
              <w:jc w:val="right"/>
              <w:rPr>
                <w:color w:val="000000"/>
                <w:sz w:val="18"/>
                <w:szCs w:val="18"/>
                <w:lang w:eastAsia="en-CA"/>
              </w:rPr>
            </w:pPr>
            <w:r w:rsidRPr="00967DAF">
              <w:rPr>
                <w:color w:val="000000"/>
                <w:sz w:val="18"/>
                <w:szCs w:val="18"/>
              </w:rPr>
              <w:t>255,500</w:t>
            </w:r>
          </w:p>
        </w:tc>
        <w:tc>
          <w:tcPr>
            <w:tcW w:w="0" w:type="auto"/>
            <w:tcBorders>
              <w:top w:val="single" w:sz="4" w:space="0" w:color="auto"/>
              <w:left w:val="nil"/>
              <w:bottom w:val="single" w:sz="4" w:space="0" w:color="auto"/>
              <w:right w:val="single" w:sz="4" w:space="0" w:color="auto"/>
            </w:tcBorders>
            <w:shd w:val="clear" w:color="auto" w:fill="auto"/>
          </w:tcPr>
          <w:p w14:paraId="59CC197A"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5FA3058" w14:textId="77777777" w:rsidR="008C5479" w:rsidRPr="00967DAF" w:rsidRDefault="008C5479" w:rsidP="00057085">
            <w:pPr>
              <w:jc w:val="right"/>
              <w:rPr>
                <w:color w:val="000000"/>
                <w:sz w:val="18"/>
                <w:szCs w:val="18"/>
                <w:lang w:eastAsia="en-CA"/>
              </w:rPr>
            </w:pPr>
            <w:r w:rsidRPr="00967DAF">
              <w:rPr>
                <w:color w:val="000000"/>
                <w:sz w:val="18"/>
                <w:szCs w:val="18"/>
              </w:rPr>
              <w:t>214,500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D5D55" w14:textId="77777777" w:rsidR="008C5479" w:rsidRPr="00967DAF" w:rsidRDefault="008C5479" w:rsidP="00057085">
            <w:pPr>
              <w:jc w:val="right"/>
              <w:rPr>
                <w:color w:val="000000"/>
                <w:sz w:val="18"/>
                <w:szCs w:val="18"/>
                <w:lang w:eastAsia="en-CA"/>
              </w:rPr>
            </w:pPr>
            <w:r w:rsidRPr="00967DAF">
              <w:rPr>
                <w:color w:val="000000"/>
                <w:sz w:val="18"/>
                <w:szCs w:val="18"/>
              </w:rPr>
              <w:t>1,170,000</w:t>
            </w:r>
          </w:p>
        </w:tc>
      </w:tr>
      <w:tr w:rsidR="008C5479" w:rsidRPr="00CB311D" w14:paraId="6F1DA3F0" w14:textId="77777777" w:rsidTr="00057085">
        <w:trPr>
          <w:trHeight w:val="62"/>
          <w:jc w:val="center"/>
        </w:trPr>
        <w:tc>
          <w:tcPr>
            <w:tcW w:w="0" w:type="auto"/>
            <w:tcBorders>
              <w:top w:val="nil"/>
              <w:left w:val="single" w:sz="4" w:space="0" w:color="auto"/>
              <w:bottom w:val="single" w:sz="4" w:space="0" w:color="auto"/>
              <w:right w:val="single" w:sz="4" w:space="0" w:color="auto"/>
            </w:tcBorders>
            <w:shd w:val="clear" w:color="auto" w:fill="auto"/>
            <w:hideMark/>
          </w:tcPr>
          <w:p w14:paraId="25D2D4F3" w14:textId="77777777" w:rsidR="008C5479" w:rsidRPr="00FE04FE" w:rsidRDefault="008C5479" w:rsidP="00057085">
            <w:pPr>
              <w:rPr>
                <w:color w:val="000000"/>
                <w:sz w:val="18"/>
                <w:szCs w:val="18"/>
                <w:lang w:eastAsia="en-CA"/>
              </w:rPr>
            </w:pPr>
            <w:r w:rsidRPr="00FE04FE">
              <w:rPr>
                <w:color w:val="000000"/>
                <w:sz w:val="18"/>
                <w:szCs w:val="18"/>
                <w:lang w:eastAsia="en-CA"/>
              </w:rPr>
              <w:t>3.2</w:t>
            </w:r>
          </w:p>
        </w:tc>
        <w:tc>
          <w:tcPr>
            <w:tcW w:w="0" w:type="auto"/>
            <w:tcBorders>
              <w:top w:val="nil"/>
              <w:left w:val="nil"/>
              <w:bottom w:val="single" w:sz="4" w:space="0" w:color="auto"/>
              <w:right w:val="single" w:sz="4" w:space="0" w:color="auto"/>
            </w:tcBorders>
            <w:shd w:val="clear" w:color="auto" w:fill="auto"/>
            <w:hideMark/>
          </w:tcPr>
          <w:p w14:paraId="24404798" w14:textId="77777777" w:rsidR="008C5479" w:rsidRPr="00FE04FE" w:rsidRDefault="008C5479" w:rsidP="00057085">
            <w:pPr>
              <w:rPr>
                <w:color w:val="000000"/>
                <w:sz w:val="18"/>
                <w:szCs w:val="18"/>
                <w:lang w:eastAsia="en-CA"/>
              </w:rPr>
            </w:pPr>
            <w:r w:rsidRPr="00FE04FE">
              <w:rPr>
                <w:color w:val="000000"/>
                <w:sz w:val="18"/>
                <w:szCs w:val="18"/>
                <w:lang w:eastAsia="en-CA"/>
              </w:rPr>
              <w:t>Total support costs (US $)</w:t>
            </w:r>
          </w:p>
        </w:tc>
        <w:tc>
          <w:tcPr>
            <w:tcW w:w="0" w:type="auto"/>
            <w:tcBorders>
              <w:top w:val="single" w:sz="4" w:space="0" w:color="auto"/>
              <w:left w:val="nil"/>
              <w:bottom w:val="single" w:sz="4" w:space="0" w:color="auto"/>
              <w:right w:val="single" w:sz="4" w:space="0" w:color="auto"/>
            </w:tcBorders>
            <w:shd w:val="clear" w:color="auto" w:fill="auto"/>
            <w:vAlign w:val="center"/>
          </w:tcPr>
          <w:p w14:paraId="5107597A" w14:textId="77777777" w:rsidR="008C5479" w:rsidRPr="00CB4BDE" w:rsidRDefault="008C5479" w:rsidP="00057085">
            <w:pPr>
              <w:jc w:val="right"/>
              <w:rPr>
                <w:b/>
                <w:color w:val="000000"/>
                <w:sz w:val="18"/>
                <w:szCs w:val="18"/>
                <w:lang w:eastAsia="en-CA"/>
              </w:rPr>
            </w:pPr>
            <w:r w:rsidRPr="00CB4BDE">
              <w:rPr>
                <w:b/>
                <w:color w:val="000000"/>
                <w:sz w:val="18"/>
                <w:szCs w:val="18"/>
              </w:rPr>
              <w:t>20,493</w:t>
            </w:r>
          </w:p>
        </w:tc>
        <w:tc>
          <w:tcPr>
            <w:tcW w:w="0" w:type="auto"/>
            <w:tcBorders>
              <w:top w:val="single" w:sz="4" w:space="0" w:color="auto"/>
              <w:left w:val="nil"/>
              <w:bottom w:val="single" w:sz="4" w:space="0" w:color="auto"/>
              <w:right w:val="single" w:sz="4" w:space="0" w:color="auto"/>
            </w:tcBorders>
            <w:shd w:val="clear" w:color="auto" w:fill="auto"/>
          </w:tcPr>
          <w:p w14:paraId="22006D32"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569E2C5" w14:textId="77777777" w:rsidR="008C5479" w:rsidRPr="00CB4BDE" w:rsidRDefault="008C5479" w:rsidP="00057085">
            <w:pPr>
              <w:jc w:val="right"/>
              <w:rPr>
                <w:b/>
                <w:color w:val="000000"/>
                <w:sz w:val="18"/>
                <w:szCs w:val="18"/>
                <w:lang w:eastAsia="en-CA"/>
              </w:rPr>
            </w:pPr>
            <w:r w:rsidRPr="00CB4BDE">
              <w:rPr>
                <w:b/>
                <w:color w:val="000000"/>
                <w:sz w:val="18"/>
                <w:szCs w:val="18"/>
              </w:rPr>
              <w:t>28,507</w:t>
            </w:r>
          </w:p>
        </w:tc>
        <w:tc>
          <w:tcPr>
            <w:tcW w:w="0" w:type="auto"/>
            <w:tcBorders>
              <w:top w:val="single" w:sz="4" w:space="0" w:color="auto"/>
              <w:left w:val="nil"/>
              <w:bottom w:val="single" w:sz="4" w:space="0" w:color="auto"/>
              <w:right w:val="single" w:sz="4" w:space="0" w:color="auto"/>
            </w:tcBorders>
            <w:shd w:val="clear" w:color="auto" w:fill="auto"/>
          </w:tcPr>
          <w:p w14:paraId="4A2D5D9B"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96CEC6F" w14:textId="77777777" w:rsidR="008C5479" w:rsidRPr="00CB4BDE" w:rsidRDefault="008C5479" w:rsidP="00057085">
            <w:pPr>
              <w:jc w:val="right"/>
              <w:rPr>
                <w:b/>
                <w:color w:val="000000"/>
                <w:sz w:val="18"/>
                <w:szCs w:val="18"/>
                <w:lang w:eastAsia="en-CA"/>
              </w:rPr>
            </w:pPr>
            <w:r w:rsidRPr="00CB4BDE">
              <w:rPr>
                <w:b/>
                <w:color w:val="000000"/>
                <w:sz w:val="18"/>
                <w:szCs w:val="18"/>
              </w:rPr>
              <w:t>17,885</w:t>
            </w:r>
          </w:p>
        </w:tc>
        <w:tc>
          <w:tcPr>
            <w:tcW w:w="0" w:type="auto"/>
            <w:tcBorders>
              <w:top w:val="single" w:sz="4" w:space="0" w:color="auto"/>
              <w:left w:val="nil"/>
              <w:bottom w:val="single" w:sz="4" w:space="0" w:color="auto"/>
              <w:right w:val="single" w:sz="4" w:space="0" w:color="auto"/>
            </w:tcBorders>
            <w:shd w:val="clear" w:color="auto" w:fill="auto"/>
          </w:tcPr>
          <w:p w14:paraId="72B73217"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9099F67" w14:textId="77777777" w:rsidR="008C5479" w:rsidRPr="00CB4BDE" w:rsidRDefault="008C5479" w:rsidP="00057085">
            <w:pPr>
              <w:jc w:val="right"/>
              <w:rPr>
                <w:b/>
                <w:color w:val="000000"/>
                <w:sz w:val="18"/>
                <w:szCs w:val="18"/>
                <w:lang w:eastAsia="en-CA"/>
              </w:rPr>
            </w:pPr>
            <w:r w:rsidRPr="00CB4BDE">
              <w:rPr>
                <w:b/>
                <w:color w:val="000000"/>
                <w:sz w:val="18"/>
                <w:szCs w:val="18"/>
              </w:rPr>
              <w:t>15,015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526C9" w14:textId="77777777" w:rsidR="008C5479" w:rsidRPr="00CB4BDE" w:rsidRDefault="008C5479" w:rsidP="00057085">
            <w:pPr>
              <w:jc w:val="right"/>
              <w:rPr>
                <w:b/>
                <w:color w:val="000000"/>
                <w:sz w:val="18"/>
                <w:szCs w:val="18"/>
                <w:lang w:eastAsia="en-CA"/>
              </w:rPr>
            </w:pPr>
            <w:r w:rsidRPr="00CB4BDE">
              <w:rPr>
                <w:b/>
                <w:color w:val="000000"/>
                <w:sz w:val="18"/>
                <w:szCs w:val="18"/>
              </w:rPr>
              <w:t>81,900</w:t>
            </w:r>
          </w:p>
        </w:tc>
      </w:tr>
      <w:tr w:rsidR="008C5479" w:rsidRPr="00CB311D" w14:paraId="49F866C4" w14:textId="77777777" w:rsidTr="00057085">
        <w:trPr>
          <w:trHeight w:val="53"/>
          <w:jc w:val="center"/>
        </w:trPr>
        <w:tc>
          <w:tcPr>
            <w:tcW w:w="0" w:type="auto"/>
            <w:tcBorders>
              <w:top w:val="nil"/>
              <w:left w:val="single" w:sz="4" w:space="0" w:color="auto"/>
              <w:bottom w:val="single" w:sz="4" w:space="0" w:color="auto"/>
              <w:right w:val="single" w:sz="4" w:space="0" w:color="auto"/>
            </w:tcBorders>
            <w:shd w:val="clear" w:color="auto" w:fill="auto"/>
            <w:hideMark/>
          </w:tcPr>
          <w:p w14:paraId="5F2733DC" w14:textId="77777777" w:rsidR="008C5479" w:rsidRPr="00FE04FE" w:rsidRDefault="008C5479" w:rsidP="00057085">
            <w:pPr>
              <w:rPr>
                <w:color w:val="000000"/>
                <w:sz w:val="18"/>
                <w:szCs w:val="18"/>
                <w:lang w:eastAsia="en-CA"/>
              </w:rPr>
            </w:pPr>
            <w:r w:rsidRPr="00FE04FE">
              <w:rPr>
                <w:color w:val="000000"/>
                <w:sz w:val="18"/>
                <w:szCs w:val="18"/>
                <w:lang w:eastAsia="en-CA"/>
              </w:rPr>
              <w:t>3.3</w:t>
            </w:r>
          </w:p>
        </w:tc>
        <w:tc>
          <w:tcPr>
            <w:tcW w:w="0" w:type="auto"/>
            <w:tcBorders>
              <w:top w:val="nil"/>
              <w:left w:val="nil"/>
              <w:bottom w:val="single" w:sz="4" w:space="0" w:color="auto"/>
              <w:right w:val="single" w:sz="4" w:space="0" w:color="auto"/>
            </w:tcBorders>
            <w:shd w:val="clear" w:color="auto" w:fill="auto"/>
            <w:hideMark/>
          </w:tcPr>
          <w:p w14:paraId="7DFD6618" w14:textId="77777777" w:rsidR="008C5479" w:rsidRPr="00FE04FE" w:rsidRDefault="008C5479" w:rsidP="00057085">
            <w:pPr>
              <w:rPr>
                <w:color w:val="000000"/>
                <w:sz w:val="18"/>
                <w:szCs w:val="18"/>
                <w:lang w:eastAsia="en-CA"/>
              </w:rPr>
            </w:pPr>
            <w:r w:rsidRPr="00FE04FE">
              <w:rPr>
                <w:color w:val="000000"/>
                <w:sz w:val="18"/>
                <w:szCs w:val="18"/>
                <w:lang w:eastAsia="en-CA"/>
              </w:rPr>
              <w:t>Total agreed costs (US $)</w:t>
            </w:r>
          </w:p>
        </w:tc>
        <w:tc>
          <w:tcPr>
            <w:tcW w:w="0" w:type="auto"/>
            <w:tcBorders>
              <w:top w:val="single" w:sz="4" w:space="0" w:color="auto"/>
              <w:left w:val="nil"/>
              <w:bottom w:val="single" w:sz="4" w:space="0" w:color="auto"/>
              <w:right w:val="single" w:sz="4" w:space="0" w:color="auto"/>
            </w:tcBorders>
            <w:shd w:val="clear" w:color="auto" w:fill="auto"/>
            <w:vAlign w:val="center"/>
          </w:tcPr>
          <w:p w14:paraId="7D42AB7D" w14:textId="77777777" w:rsidR="008C5479" w:rsidRPr="00CB4BDE" w:rsidRDefault="008C5479" w:rsidP="00057085">
            <w:pPr>
              <w:jc w:val="right"/>
              <w:rPr>
                <w:b/>
                <w:color w:val="000000"/>
                <w:sz w:val="18"/>
                <w:szCs w:val="18"/>
                <w:lang w:eastAsia="en-CA"/>
              </w:rPr>
            </w:pPr>
            <w:r w:rsidRPr="00CB4BDE">
              <w:rPr>
                <w:b/>
                <w:color w:val="000000"/>
                <w:sz w:val="18"/>
                <w:szCs w:val="18"/>
              </w:rPr>
              <w:t>313,243</w:t>
            </w:r>
          </w:p>
        </w:tc>
        <w:tc>
          <w:tcPr>
            <w:tcW w:w="0" w:type="auto"/>
            <w:tcBorders>
              <w:top w:val="single" w:sz="4" w:space="0" w:color="auto"/>
              <w:left w:val="nil"/>
              <w:bottom w:val="single" w:sz="4" w:space="0" w:color="auto"/>
              <w:right w:val="single" w:sz="4" w:space="0" w:color="auto"/>
            </w:tcBorders>
            <w:shd w:val="clear" w:color="auto" w:fill="auto"/>
          </w:tcPr>
          <w:p w14:paraId="01B9D585"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411393" w14:textId="77777777" w:rsidR="008C5479" w:rsidRPr="00CB4BDE" w:rsidRDefault="008C5479" w:rsidP="00057085">
            <w:pPr>
              <w:jc w:val="right"/>
              <w:rPr>
                <w:b/>
                <w:color w:val="000000"/>
                <w:sz w:val="18"/>
                <w:szCs w:val="18"/>
                <w:lang w:eastAsia="en-CA"/>
              </w:rPr>
            </w:pPr>
            <w:r w:rsidRPr="00CB4BDE">
              <w:rPr>
                <w:b/>
                <w:color w:val="000000"/>
                <w:sz w:val="18"/>
                <w:szCs w:val="18"/>
              </w:rPr>
              <w:t>435,757</w:t>
            </w:r>
          </w:p>
        </w:tc>
        <w:tc>
          <w:tcPr>
            <w:tcW w:w="0" w:type="auto"/>
            <w:tcBorders>
              <w:top w:val="single" w:sz="4" w:space="0" w:color="auto"/>
              <w:left w:val="nil"/>
              <w:bottom w:val="single" w:sz="4" w:space="0" w:color="auto"/>
              <w:right w:val="single" w:sz="4" w:space="0" w:color="auto"/>
            </w:tcBorders>
            <w:shd w:val="clear" w:color="auto" w:fill="auto"/>
          </w:tcPr>
          <w:p w14:paraId="4898DA73"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B015BC6" w14:textId="77777777" w:rsidR="008C5479" w:rsidRPr="00CB4BDE" w:rsidRDefault="008C5479" w:rsidP="00057085">
            <w:pPr>
              <w:jc w:val="right"/>
              <w:rPr>
                <w:b/>
                <w:color w:val="000000"/>
                <w:sz w:val="18"/>
                <w:szCs w:val="18"/>
                <w:lang w:eastAsia="en-CA"/>
              </w:rPr>
            </w:pPr>
            <w:r w:rsidRPr="00CB4BDE">
              <w:rPr>
                <w:b/>
                <w:color w:val="000000"/>
                <w:sz w:val="18"/>
                <w:szCs w:val="18"/>
              </w:rPr>
              <w:t>273,385</w:t>
            </w:r>
          </w:p>
        </w:tc>
        <w:tc>
          <w:tcPr>
            <w:tcW w:w="0" w:type="auto"/>
            <w:tcBorders>
              <w:top w:val="single" w:sz="4" w:space="0" w:color="auto"/>
              <w:left w:val="nil"/>
              <w:bottom w:val="single" w:sz="4" w:space="0" w:color="auto"/>
              <w:right w:val="single" w:sz="4" w:space="0" w:color="auto"/>
            </w:tcBorders>
            <w:shd w:val="clear" w:color="auto" w:fill="auto"/>
          </w:tcPr>
          <w:p w14:paraId="6E2A8747" w14:textId="77777777" w:rsidR="008C5479" w:rsidRPr="00967DAF" w:rsidRDefault="008C5479" w:rsidP="00057085">
            <w:pPr>
              <w:jc w:val="right"/>
              <w:rPr>
                <w:color w:val="000000"/>
                <w:sz w:val="18"/>
                <w:szCs w:val="18"/>
                <w:lang w:eastAsia="en-CA"/>
              </w:rPr>
            </w:pPr>
            <w:r>
              <w:rPr>
                <w:color w:val="000000"/>
                <w:sz w:val="18"/>
                <w:szCs w:val="18"/>
                <w:lang w:eastAsia="en-CA"/>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094B284" w14:textId="77777777" w:rsidR="008C5479" w:rsidRPr="00CB4BDE" w:rsidRDefault="008C5479" w:rsidP="00057085">
            <w:pPr>
              <w:jc w:val="right"/>
              <w:rPr>
                <w:b/>
                <w:color w:val="000000"/>
                <w:sz w:val="18"/>
                <w:szCs w:val="18"/>
                <w:lang w:eastAsia="en-CA"/>
              </w:rPr>
            </w:pPr>
            <w:r w:rsidRPr="00CB4BDE">
              <w:rPr>
                <w:b/>
                <w:color w:val="000000"/>
                <w:sz w:val="18"/>
                <w:szCs w:val="18"/>
              </w:rPr>
              <w:t>229,515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15862" w14:textId="77777777" w:rsidR="008C5479" w:rsidRPr="00CB4BDE" w:rsidRDefault="008C5479" w:rsidP="00057085">
            <w:pPr>
              <w:jc w:val="right"/>
              <w:rPr>
                <w:b/>
                <w:color w:val="000000"/>
                <w:sz w:val="18"/>
                <w:szCs w:val="18"/>
                <w:lang w:eastAsia="en-CA"/>
              </w:rPr>
            </w:pPr>
            <w:r w:rsidRPr="00CB4BDE">
              <w:rPr>
                <w:b/>
                <w:color w:val="000000"/>
                <w:sz w:val="18"/>
                <w:szCs w:val="18"/>
              </w:rPr>
              <w:t>1,251,900</w:t>
            </w:r>
          </w:p>
        </w:tc>
      </w:tr>
      <w:tr w:rsidR="008C5479" w:rsidRPr="00CB311D" w14:paraId="473EF397" w14:textId="77777777" w:rsidTr="00057085">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B4BC3" w14:textId="77777777" w:rsidR="008C5479" w:rsidRPr="00FE04FE" w:rsidRDefault="008C5479" w:rsidP="00057085">
            <w:pPr>
              <w:rPr>
                <w:color w:val="000000"/>
                <w:sz w:val="18"/>
                <w:szCs w:val="18"/>
                <w:lang w:eastAsia="en-CA"/>
              </w:rPr>
            </w:pPr>
            <w:r w:rsidRPr="00FE04FE">
              <w:rPr>
                <w:color w:val="000000"/>
                <w:sz w:val="18"/>
                <w:szCs w:val="18"/>
                <w:lang w:eastAsia="en-CA"/>
              </w:rPr>
              <w:t>4.1.1</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4FE65A85" w14:textId="77777777" w:rsidR="008C5479" w:rsidRPr="00967DAF" w:rsidRDefault="008C5479" w:rsidP="00057085">
            <w:pPr>
              <w:jc w:val="left"/>
              <w:rPr>
                <w:color w:val="000000"/>
                <w:sz w:val="18"/>
                <w:szCs w:val="18"/>
                <w:lang w:eastAsia="en-CA"/>
              </w:rPr>
            </w:pPr>
            <w:r w:rsidRPr="00967DAF">
              <w:rPr>
                <w:color w:val="000000"/>
                <w:sz w:val="18"/>
                <w:szCs w:val="18"/>
                <w:lang w:eastAsia="en-CA"/>
              </w:rPr>
              <w:t>Total phase-out of HCFC-22 agreed to be achieved under this Agreement (ODP tonnes)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32B829F" w14:textId="77777777" w:rsidR="008C5479" w:rsidRPr="00967DAF" w:rsidRDefault="008C5479" w:rsidP="00057085">
            <w:pPr>
              <w:jc w:val="right"/>
              <w:rPr>
                <w:color w:val="000000"/>
                <w:sz w:val="18"/>
                <w:szCs w:val="18"/>
                <w:lang w:eastAsia="en-CA"/>
              </w:rPr>
            </w:pPr>
            <w:r w:rsidRPr="00967DAF">
              <w:rPr>
                <w:color w:val="000000"/>
                <w:sz w:val="18"/>
                <w:szCs w:val="18"/>
                <w:lang w:eastAsia="es-CO"/>
              </w:rPr>
              <w:t>13.66</w:t>
            </w:r>
          </w:p>
        </w:tc>
      </w:tr>
      <w:tr w:rsidR="008C5479" w:rsidRPr="00CB311D" w14:paraId="6EA4F476" w14:textId="77777777" w:rsidTr="00057085">
        <w:trPr>
          <w:trHeight w:val="116"/>
          <w:jc w:val="center"/>
        </w:trPr>
        <w:tc>
          <w:tcPr>
            <w:tcW w:w="0" w:type="auto"/>
            <w:tcBorders>
              <w:top w:val="nil"/>
              <w:left w:val="single" w:sz="4" w:space="0" w:color="auto"/>
              <w:bottom w:val="single" w:sz="4" w:space="0" w:color="auto"/>
              <w:right w:val="single" w:sz="4" w:space="0" w:color="auto"/>
            </w:tcBorders>
            <w:shd w:val="clear" w:color="auto" w:fill="auto"/>
            <w:hideMark/>
          </w:tcPr>
          <w:p w14:paraId="5513BBED" w14:textId="77777777" w:rsidR="008C5479" w:rsidRPr="00FE04FE" w:rsidRDefault="008C5479" w:rsidP="00057085">
            <w:pPr>
              <w:rPr>
                <w:color w:val="000000"/>
                <w:sz w:val="18"/>
                <w:szCs w:val="18"/>
                <w:lang w:eastAsia="en-CA"/>
              </w:rPr>
            </w:pPr>
            <w:r w:rsidRPr="00FE04FE">
              <w:rPr>
                <w:color w:val="000000"/>
                <w:sz w:val="18"/>
                <w:szCs w:val="18"/>
                <w:lang w:eastAsia="en-CA"/>
              </w:rPr>
              <w:t>4.1.2</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711D454B" w14:textId="77777777" w:rsidR="008C5479" w:rsidRPr="00FE04FE" w:rsidRDefault="008C5479" w:rsidP="00057085">
            <w:pPr>
              <w:jc w:val="left"/>
              <w:rPr>
                <w:color w:val="000000"/>
                <w:sz w:val="18"/>
                <w:szCs w:val="18"/>
                <w:lang w:eastAsia="en-CA"/>
              </w:rPr>
            </w:pPr>
            <w:r w:rsidRPr="00FE04FE">
              <w:rPr>
                <w:color w:val="000000"/>
                <w:sz w:val="18"/>
                <w:szCs w:val="18"/>
                <w:lang w:eastAsia="en-CA"/>
              </w:rPr>
              <w:t>Phase-out of HCFC-22 to be achieved in the previous stage (ODP tonnes)</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AF8320E" w14:textId="77777777" w:rsidR="008C5479" w:rsidRPr="00FE04FE" w:rsidRDefault="008C5479" w:rsidP="00057085">
            <w:pPr>
              <w:jc w:val="right"/>
              <w:rPr>
                <w:color w:val="000000"/>
                <w:sz w:val="18"/>
                <w:szCs w:val="18"/>
                <w:lang w:eastAsia="en-CA"/>
              </w:rPr>
            </w:pPr>
            <w:r w:rsidRPr="00FE04FE">
              <w:rPr>
                <w:color w:val="000000"/>
                <w:sz w:val="18"/>
                <w:szCs w:val="18"/>
                <w:lang w:eastAsia="es-CO"/>
              </w:rPr>
              <w:t>7.36</w:t>
            </w:r>
          </w:p>
        </w:tc>
      </w:tr>
      <w:tr w:rsidR="008C5479" w:rsidRPr="00CB311D" w14:paraId="112ACFB7" w14:textId="77777777" w:rsidTr="00057085">
        <w:trPr>
          <w:trHeight w:val="98"/>
          <w:jc w:val="center"/>
        </w:trPr>
        <w:tc>
          <w:tcPr>
            <w:tcW w:w="0" w:type="auto"/>
            <w:tcBorders>
              <w:top w:val="nil"/>
              <w:left w:val="single" w:sz="4" w:space="0" w:color="auto"/>
              <w:bottom w:val="single" w:sz="4" w:space="0" w:color="auto"/>
              <w:right w:val="single" w:sz="4" w:space="0" w:color="auto"/>
            </w:tcBorders>
            <w:shd w:val="clear" w:color="auto" w:fill="auto"/>
            <w:hideMark/>
          </w:tcPr>
          <w:p w14:paraId="4943479B" w14:textId="77777777" w:rsidR="008C5479" w:rsidRPr="00FE04FE" w:rsidRDefault="008C5479" w:rsidP="00057085">
            <w:pPr>
              <w:rPr>
                <w:color w:val="000000"/>
                <w:sz w:val="18"/>
                <w:szCs w:val="18"/>
                <w:lang w:eastAsia="en-CA"/>
              </w:rPr>
            </w:pPr>
            <w:r w:rsidRPr="00FE04FE">
              <w:rPr>
                <w:color w:val="000000"/>
                <w:sz w:val="18"/>
                <w:szCs w:val="18"/>
                <w:lang w:eastAsia="en-CA"/>
              </w:rPr>
              <w:t>4.1.3</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351EDF26" w14:textId="77777777" w:rsidR="008C5479" w:rsidRPr="00FE04FE" w:rsidRDefault="008C5479" w:rsidP="00057085">
            <w:pPr>
              <w:jc w:val="left"/>
              <w:rPr>
                <w:color w:val="000000"/>
                <w:sz w:val="18"/>
                <w:szCs w:val="18"/>
                <w:lang w:eastAsia="en-CA"/>
              </w:rPr>
            </w:pPr>
            <w:r w:rsidRPr="00FE04FE">
              <w:rPr>
                <w:color w:val="000000"/>
                <w:sz w:val="18"/>
                <w:szCs w:val="18"/>
                <w:lang w:eastAsia="en-CA"/>
              </w:rPr>
              <w:t>Remaining eligible consumption for HCFC-22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C638679"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2B30033C" w14:textId="77777777" w:rsidTr="00057085">
        <w:trPr>
          <w:trHeight w:val="89"/>
          <w:jc w:val="center"/>
        </w:trPr>
        <w:tc>
          <w:tcPr>
            <w:tcW w:w="0" w:type="auto"/>
            <w:tcBorders>
              <w:top w:val="nil"/>
              <w:left w:val="single" w:sz="4" w:space="0" w:color="auto"/>
              <w:bottom w:val="single" w:sz="4" w:space="0" w:color="auto"/>
              <w:right w:val="single" w:sz="4" w:space="0" w:color="auto"/>
            </w:tcBorders>
            <w:shd w:val="clear" w:color="auto" w:fill="auto"/>
            <w:hideMark/>
          </w:tcPr>
          <w:p w14:paraId="326F476B" w14:textId="77777777" w:rsidR="008C5479" w:rsidRPr="00FE04FE" w:rsidRDefault="008C5479" w:rsidP="00057085">
            <w:pPr>
              <w:rPr>
                <w:color w:val="000000"/>
                <w:sz w:val="18"/>
                <w:szCs w:val="18"/>
                <w:lang w:eastAsia="en-CA"/>
              </w:rPr>
            </w:pPr>
            <w:r w:rsidRPr="00FE04FE">
              <w:rPr>
                <w:color w:val="000000"/>
                <w:sz w:val="18"/>
                <w:szCs w:val="18"/>
                <w:lang w:eastAsia="en-CA"/>
              </w:rPr>
              <w:t>4.2.1</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7213A697" w14:textId="77777777" w:rsidR="008C5479" w:rsidRPr="00FE04FE" w:rsidRDefault="008C5479" w:rsidP="00057085">
            <w:pPr>
              <w:jc w:val="left"/>
              <w:rPr>
                <w:color w:val="000000"/>
                <w:sz w:val="18"/>
                <w:szCs w:val="18"/>
                <w:lang w:eastAsia="en-CA"/>
              </w:rPr>
            </w:pPr>
            <w:r w:rsidRPr="00FE04FE">
              <w:rPr>
                <w:color w:val="000000"/>
                <w:sz w:val="18"/>
                <w:szCs w:val="18"/>
                <w:lang w:eastAsia="en-CA"/>
              </w:rPr>
              <w:t>Total phase-out of HCFC-141b agreed to be achieved under this Agreement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6EADD12"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71B077A8" w14:textId="77777777" w:rsidTr="00057085">
        <w:trPr>
          <w:trHeight w:val="71"/>
          <w:jc w:val="center"/>
        </w:trPr>
        <w:tc>
          <w:tcPr>
            <w:tcW w:w="0" w:type="auto"/>
            <w:tcBorders>
              <w:top w:val="nil"/>
              <w:left w:val="single" w:sz="4" w:space="0" w:color="auto"/>
              <w:bottom w:val="single" w:sz="4" w:space="0" w:color="auto"/>
              <w:right w:val="single" w:sz="4" w:space="0" w:color="auto"/>
            </w:tcBorders>
            <w:shd w:val="clear" w:color="auto" w:fill="auto"/>
            <w:hideMark/>
          </w:tcPr>
          <w:p w14:paraId="6BF8ECD6" w14:textId="77777777" w:rsidR="008C5479" w:rsidRPr="00FE04FE" w:rsidRDefault="008C5479" w:rsidP="00057085">
            <w:pPr>
              <w:rPr>
                <w:color w:val="000000"/>
                <w:sz w:val="18"/>
                <w:szCs w:val="18"/>
                <w:lang w:eastAsia="en-CA"/>
              </w:rPr>
            </w:pPr>
            <w:r w:rsidRPr="00FE04FE">
              <w:rPr>
                <w:color w:val="000000"/>
                <w:sz w:val="18"/>
                <w:szCs w:val="18"/>
                <w:lang w:eastAsia="en-CA"/>
              </w:rPr>
              <w:t>4.2.2</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47A2B7FE" w14:textId="77777777" w:rsidR="008C5479" w:rsidRPr="00FE04FE" w:rsidRDefault="008C5479" w:rsidP="00057085">
            <w:pPr>
              <w:jc w:val="left"/>
              <w:rPr>
                <w:color w:val="000000"/>
                <w:sz w:val="18"/>
                <w:szCs w:val="18"/>
                <w:lang w:eastAsia="en-CA"/>
              </w:rPr>
            </w:pPr>
            <w:r w:rsidRPr="00FE04FE">
              <w:rPr>
                <w:color w:val="000000"/>
                <w:sz w:val="18"/>
                <w:szCs w:val="18"/>
                <w:lang w:eastAsia="en-CA"/>
              </w:rPr>
              <w:t>Phase-out of HCFC-141b to be achieved in the previous stage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487954A1" w14:textId="77777777" w:rsidR="008C5479" w:rsidRPr="00FE04FE" w:rsidRDefault="008C5479" w:rsidP="00057085">
            <w:pPr>
              <w:jc w:val="right"/>
              <w:rPr>
                <w:color w:val="000000"/>
                <w:sz w:val="18"/>
                <w:szCs w:val="18"/>
                <w:lang w:eastAsia="en-CA"/>
              </w:rPr>
            </w:pPr>
            <w:r w:rsidRPr="00FE04FE">
              <w:rPr>
                <w:sz w:val="18"/>
                <w:szCs w:val="18"/>
              </w:rPr>
              <w:t>0.86</w:t>
            </w:r>
          </w:p>
        </w:tc>
      </w:tr>
      <w:tr w:rsidR="008C5479" w:rsidRPr="00CB311D" w14:paraId="691AC753"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hideMark/>
          </w:tcPr>
          <w:p w14:paraId="19EB59B3" w14:textId="77777777" w:rsidR="008C5479" w:rsidRPr="00FE04FE" w:rsidRDefault="008C5479" w:rsidP="00057085">
            <w:pPr>
              <w:rPr>
                <w:color w:val="000000"/>
                <w:sz w:val="18"/>
                <w:szCs w:val="18"/>
                <w:lang w:eastAsia="en-CA"/>
              </w:rPr>
            </w:pPr>
            <w:r w:rsidRPr="00FE04FE">
              <w:rPr>
                <w:color w:val="000000"/>
                <w:sz w:val="18"/>
                <w:szCs w:val="18"/>
                <w:lang w:eastAsia="en-CA"/>
              </w:rPr>
              <w:t>4.2.3</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74DCF0A1" w14:textId="77777777" w:rsidR="008C5479" w:rsidRPr="00FE04FE" w:rsidRDefault="008C5479" w:rsidP="00057085">
            <w:pPr>
              <w:jc w:val="left"/>
              <w:rPr>
                <w:color w:val="000000"/>
                <w:sz w:val="18"/>
                <w:szCs w:val="18"/>
                <w:lang w:eastAsia="en-CA"/>
              </w:rPr>
            </w:pPr>
            <w:r w:rsidRPr="00FE04FE">
              <w:rPr>
                <w:color w:val="000000"/>
                <w:sz w:val="18"/>
                <w:szCs w:val="18"/>
                <w:lang w:eastAsia="en-CA"/>
              </w:rPr>
              <w:t>Remaining eligible consumption for HCFC-141b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B085110"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729DF366"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435DA64D" w14:textId="77777777" w:rsidR="008C5479" w:rsidRPr="00FE04FE" w:rsidRDefault="008C5479" w:rsidP="00057085">
            <w:pPr>
              <w:rPr>
                <w:color w:val="000000"/>
                <w:sz w:val="18"/>
                <w:szCs w:val="18"/>
                <w:lang w:eastAsia="en-CA"/>
              </w:rPr>
            </w:pPr>
            <w:r w:rsidRPr="00FE04FE">
              <w:rPr>
                <w:color w:val="000000"/>
                <w:sz w:val="18"/>
                <w:szCs w:val="18"/>
                <w:lang w:eastAsia="en-CA"/>
              </w:rPr>
              <w:t>4.3.1</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7AC1A811"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Total phase-out of </w:t>
            </w:r>
            <w:r w:rsidRPr="00FE04FE">
              <w:rPr>
                <w:color w:val="000000"/>
                <w:sz w:val="18"/>
                <w:szCs w:val="18"/>
                <w:lang w:eastAsia="es-CO"/>
              </w:rPr>
              <w:t>HCFC-142b</w:t>
            </w:r>
            <w:r w:rsidRPr="00FE04FE">
              <w:rPr>
                <w:color w:val="000000"/>
                <w:sz w:val="18"/>
                <w:szCs w:val="18"/>
                <w:lang w:eastAsia="en-CA"/>
              </w:rPr>
              <w:t xml:space="preserve"> agreed to be achieved under this Agreement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2599B0B" w14:textId="77777777" w:rsidR="008C5479" w:rsidRPr="00FE04FE" w:rsidRDefault="008C5479" w:rsidP="00057085">
            <w:pPr>
              <w:jc w:val="right"/>
              <w:rPr>
                <w:color w:val="000000"/>
                <w:sz w:val="18"/>
                <w:szCs w:val="18"/>
                <w:lang w:eastAsia="en-CA"/>
              </w:rPr>
            </w:pPr>
            <w:r w:rsidRPr="00FE04FE">
              <w:rPr>
                <w:color w:val="000000"/>
                <w:sz w:val="18"/>
                <w:szCs w:val="18"/>
                <w:lang w:eastAsia="es-CO"/>
              </w:rPr>
              <w:t>1.20</w:t>
            </w:r>
          </w:p>
        </w:tc>
      </w:tr>
      <w:tr w:rsidR="008C5479" w:rsidRPr="00CB311D" w14:paraId="1B4F8B93"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308F7A61" w14:textId="77777777" w:rsidR="008C5479" w:rsidRPr="00FE04FE" w:rsidRDefault="008C5479" w:rsidP="00057085">
            <w:pPr>
              <w:rPr>
                <w:color w:val="000000"/>
                <w:sz w:val="18"/>
                <w:szCs w:val="18"/>
                <w:lang w:eastAsia="en-CA"/>
              </w:rPr>
            </w:pPr>
            <w:r w:rsidRPr="00FE04FE">
              <w:rPr>
                <w:color w:val="000000"/>
                <w:sz w:val="18"/>
                <w:szCs w:val="18"/>
                <w:lang w:eastAsia="en-CA"/>
              </w:rPr>
              <w:t>4.3.2</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0B56AB7D" w14:textId="77777777" w:rsidR="008C5479" w:rsidRPr="00FE04FE" w:rsidRDefault="008C5479" w:rsidP="00057085">
            <w:pPr>
              <w:jc w:val="left"/>
              <w:rPr>
                <w:color w:val="000000"/>
                <w:sz w:val="18"/>
                <w:szCs w:val="18"/>
                <w:lang w:eastAsia="en-CA"/>
              </w:rPr>
            </w:pPr>
            <w:r w:rsidRPr="00FE04FE">
              <w:rPr>
                <w:color w:val="000000"/>
                <w:sz w:val="18"/>
                <w:szCs w:val="18"/>
                <w:lang w:eastAsia="en-CA"/>
              </w:rPr>
              <w:t>Phase-out of HCFC-142b to be achieved in the previous stage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6FDA27E" w14:textId="77777777" w:rsidR="008C5479" w:rsidRPr="00FE04FE" w:rsidRDefault="008C5479" w:rsidP="00057085">
            <w:pPr>
              <w:jc w:val="right"/>
              <w:rPr>
                <w:color w:val="000000"/>
                <w:sz w:val="18"/>
                <w:szCs w:val="18"/>
                <w:lang w:eastAsia="en-CA"/>
              </w:rPr>
            </w:pPr>
            <w:r w:rsidRPr="00FE04FE">
              <w:rPr>
                <w:sz w:val="18"/>
                <w:szCs w:val="18"/>
              </w:rPr>
              <w:t>0</w:t>
            </w:r>
          </w:p>
        </w:tc>
      </w:tr>
      <w:tr w:rsidR="008C5479" w:rsidRPr="00CB311D" w14:paraId="336EE36E"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55AA4B09" w14:textId="77777777" w:rsidR="008C5479" w:rsidRPr="00FE04FE" w:rsidRDefault="008C5479" w:rsidP="00057085">
            <w:pPr>
              <w:rPr>
                <w:color w:val="000000"/>
                <w:sz w:val="18"/>
                <w:szCs w:val="18"/>
                <w:lang w:eastAsia="en-CA"/>
              </w:rPr>
            </w:pPr>
            <w:r w:rsidRPr="00FE04FE">
              <w:rPr>
                <w:color w:val="000000"/>
                <w:sz w:val="18"/>
                <w:szCs w:val="18"/>
                <w:lang w:eastAsia="en-CA"/>
              </w:rPr>
              <w:t>4.3.3</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010D80CC" w14:textId="77777777" w:rsidR="008C5479" w:rsidRPr="00FE04FE" w:rsidRDefault="008C5479" w:rsidP="00057085">
            <w:pPr>
              <w:jc w:val="left"/>
              <w:rPr>
                <w:color w:val="000000"/>
                <w:sz w:val="18"/>
                <w:szCs w:val="18"/>
                <w:lang w:eastAsia="en-CA"/>
              </w:rPr>
            </w:pPr>
            <w:r w:rsidRPr="00FE04FE">
              <w:rPr>
                <w:color w:val="000000"/>
                <w:sz w:val="18"/>
                <w:szCs w:val="18"/>
                <w:lang w:eastAsia="en-CA"/>
              </w:rPr>
              <w:t>Remaining eligible consumption for HCFC-142b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E12D47E"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067D9AC3"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4017C981" w14:textId="77777777" w:rsidR="008C5479" w:rsidRPr="00FE04FE" w:rsidRDefault="008C5479" w:rsidP="00057085">
            <w:pPr>
              <w:rPr>
                <w:color w:val="000000"/>
                <w:sz w:val="18"/>
                <w:szCs w:val="18"/>
                <w:lang w:eastAsia="en-CA"/>
              </w:rPr>
            </w:pPr>
            <w:r w:rsidRPr="00FE04FE">
              <w:rPr>
                <w:color w:val="000000"/>
                <w:sz w:val="18"/>
                <w:szCs w:val="18"/>
                <w:lang w:eastAsia="en-CA"/>
              </w:rPr>
              <w:t>4.4.1</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6B9A2BD5"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Total phase-out of </w:t>
            </w:r>
            <w:r w:rsidRPr="00FE04FE">
              <w:rPr>
                <w:color w:val="000000"/>
                <w:sz w:val="18"/>
                <w:szCs w:val="18"/>
                <w:lang w:eastAsia="es-CO"/>
              </w:rPr>
              <w:t xml:space="preserve">HCFC-123 </w:t>
            </w:r>
            <w:r w:rsidRPr="00FE04FE">
              <w:rPr>
                <w:color w:val="000000"/>
                <w:sz w:val="18"/>
                <w:szCs w:val="18"/>
                <w:lang w:eastAsia="en-CA"/>
              </w:rPr>
              <w:t>agreed to be achieved under this Agreement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14907FA5" w14:textId="77777777" w:rsidR="008C5479" w:rsidRPr="00FE04FE" w:rsidRDefault="008C5479" w:rsidP="00057085">
            <w:pPr>
              <w:jc w:val="right"/>
              <w:rPr>
                <w:color w:val="000000"/>
                <w:sz w:val="18"/>
                <w:szCs w:val="18"/>
                <w:lang w:eastAsia="en-CA"/>
              </w:rPr>
            </w:pPr>
            <w:r w:rsidRPr="00FE04FE">
              <w:rPr>
                <w:color w:val="000000"/>
                <w:sz w:val="18"/>
                <w:szCs w:val="18"/>
                <w:lang w:eastAsia="es-CO"/>
              </w:rPr>
              <w:t>0.18</w:t>
            </w:r>
          </w:p>
        </w:tc>
      </w:tr>
      <w:tr w:rsidR="008C5479" w:rsidRPr="00CB311D" w14:paraId="4F865C20"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1BA6D8B3" w14:textId="77777777" w:rsidR="008C5479" w:rsidRPr="00FE04FE" w:rsidRDefault="008C5479" w:rsidP="00057085">
            <w:pPr>
              <w:rPr>
                <w:color w:val="000000"/>
                <w:sz w:val="18"/>
                <w:szCs w:val="18"/>
                <w:lang w:eastAsia="en-CA"/>
              </w:rPr>
            </w:pPr>
            <w:r w:rsidRPr="00FE04FE">
              <w:rPr>
                <w:color w:val="000000"/>
                <w:sz w:val="18"/>
                <w:szCs w:val="18"/>
                <w:lang w:eastAsia="en-CA"/>
              </w:rPr>
              <w:t>4.4.2</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6AD404CB"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Phase-out of </w:t>
            </w:r>
            <w:r w:rsidRPr="00FE04FE">
              <w:rPr>
                <w:color w:val="000000"/>
                <w:sz w:val="18"/>
                <w:szCs w:val="18"/>
                <w:lang w:eastAsia="es-CO"/>
              </w:rPr>
              <w:t xml:space="preserve">HCFC-123 </w:t>
            </w:r>
            <w:r w:rsidRPr="00FE04FE">
              <w:rPr>
                <w:color w:val="000000"/>
                <w:sz w:val="18"/>
                <w:szCs w:val="18"/>
                <w:lang w:eastAsia="en-CA"/>
              </w:rPr>
              <w:t>to be achieved in the previous stage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62C8E1AC" w14:textId="77777777" w:rsidR="008C5479" w:rsidRPr="00FE04FE" w:rsidRDefault="008C5479" w:rsidP="00057085">
            <w:pPr>
              <w:jc w:val="right"/>
              <w:rPr>
                <w:color w:val="000000"/>
                <w:sz w:val="18"/>
                <w:szCs w:val="18"/>
                <w:lang w:eastAsia="en-CA"/>
              </w:rPr>
            </w:pPr>
            <w:r w:rsidRPr="00FE04FE">
              <w:rPr>
                <w:sz w:val="18"/>
                <w:szCs w:val="18"/>
              </w:rPr>
              <w:t>0</w:t>
            </w:r>
          </w:p>
        </w:tc>
      </w:tr>
      <w:tr w:rsidR="008C5479" w:rsidRPr="00CB311D" w14:paraId="4E684E6D"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0890CE4" w14:textId="77777777" w:rsidR="008C5479" w:rsidRPr="00FE04FE" w:rsidRDefault="008C5479" w:rsidP="00057085">
            <w:pPr>
              <w:rPr>
                <w:color w:val="000000"/>
                <w:sz w:val="18"/>
                <w:szCs w:val="18"/>
                <w:lang w:eastAsia="en-CA"/>
              </w:rPr>
            </w:pPr>
            <w:r w:rsidRPr="00FE04FE">
              <w:rPr>
                <w:color w:val="000000"/>
                <w:sz w:val="18"/>
                <w:szCs w:val="18"/>
                <w:lang w:eastAsia="en-CA"/>
              </w:rPr>
              <w:t>4.4.3</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54C07BCA"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Remaining eligible consumption for </w:t>
            </w:r>
            <w:r w:rsidRPr="00FE04FE">
              <w:rPr>
                <w:color w:val="000000"/>
                <w:sz w:val="18"/>
                <w:szCs w:val="18"/>
                <w:lang w:eastAsia="es-CO"/>
              </w:rPr>
              <w:t>HCFC-123</w:t>
            </w:r>
            <w:r w:rsidRPr="00FE04FE">
              <w:rPr>
                <w:color w:val="000000"/>
                <w:sz w:val="18"/>
                <w:szCs w:val="18"/>
                <w:lang w:eastAsia="en-CA"/>
              </w:rPr>
              <w:t xml:space="preserve">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759E30D"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11BC63C5"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12958A3C" w14:textId="77777777" w:rsidR="008C5479" w:rsidRPr="00FE04FE" w:rsidRDefault="008C5479" w:rsidP="00057085">
            <w:pPr>
              <w:rPr>
                <w:color w:val="000000"/>
                <w:sz w:val="18"/>
                <w:szCs w:val="18"/>
                <w:lang w:eastAsia="en-CA"/>
              </w:rPr>
            </w:pPr>
            <w:r w:rsidRPr="00FE04FE">
              <w:rPr>
                <w:color w:val="000000"/>
                <w:sz w:val="18"/>
                <w:szCs w:val="18"/>
                <w:lang w:eastAsia="en-CA"/>
              </w:rPr>
              <w:t>4.5.1</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0DE4E316"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Total phase-out of </w:t>
            </w:r>
            <w:r w:rsidRPr="00FE04FE">
              <w:rPr>
                <w:color w:val="000000"/>
                <w:sz w:val="18"/>
                <w:szCs w:val="18"/>
                <w:lang w:eastAsia="es-CO"/>
              </w:rPr>
              <w:t xml:space="preserve">HFC-124 </w:t>
            </w:r>
            <w:r w:rsidRPr="00FE04FE">
              <w:rPr>
                <w:color w:val="000000"/>
                <w:sz w:val="18"/>
                <w:szCs w:val="18"/>
                <w:lang w:eastAsia="en-CA"/>
              </w:rPr>
              <w:t>agreed to be achieved under this Agreement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20E87AD1" w14:textId="77777777" w:rsidR="008C5479" w:rsidRPr="00FE04FE" w:rsidRDefault="008C5479" w:rsidP="00057085">
            <w:pPr>
              <w:jc w:val="right"/>
              <w:rPr>
                <w:color w:val="000000"/>
                <w:sz w:val="18"/>
                <w:szCs w:val="18"/>
                <w:lang w:eastAsia="en-CA"/>
              </w:rPr>
            </w:pPr>
            <w:r w:rsidRPr="00FE04FE">
              <w:rPr>
                <w:color w:val="000000"/>
                <w:sz w:val="18"/>
                <w:szCs w:val="18"/>
                <w:lang w:eastAsia="es-CO"/>
              </w:rPr>
              <w:t>0.22</w:t>
            </w:r>
          </w:p>
        </w:tc>
      </w:tr>
      <w:tr w:rsidR="008C5479" w:rsidRPr="00CB311D" w14:paraId="704D01AC"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034C26C1" w14:textId="77777777" w:rsidR="008C5479" w:rsidRPr="00FE04FE" w:rsidRDefault="008C5479" w:rsidP="00057085">
            <w:pPr>
              <w:rPr>
                <w:color w:val="000000"/>
                <w:sz w:val="18"/>
                <w:szCs w:val="18"/>
                <w:lang w:eastAsia="en-CA"/>
              </w:rPr>
            </w:pPr>
            <w:r w:rsidRPr="00FE04FE">
              <w:rPr>
                <w:color w:val="000000"/>
                <w:sz w:val="18"/>
                <w:szCs w:val="18"/>
                <w:lang w:eastAsia="en-CA"/>
              </w:rPr>
              <w:t>4.5.2</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1B7777B5"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Phase-out of </w:t>
            </w:r>
            <w:r w:rsidRPr="00FE04FE">
              <w:rPr>
                <w:color w:val="000000"/>
                <w:sz w:val="18"/>
                <w:szCs w:val="18"/>
                <w:lang w:eastAsia="es-CO"/>
              </w:rPr>
              <w:t xml:space="preserve">HFC-124 </w:t>
            </w:r>
            <w:r w:rsidRPr="00FE04FE">
              <w:rPr>
                <w:color w:val="000000"/>
                <w:sz w:val="18"/>
                <w:szCs w:val="18"/>
                <w:lang w:eastAsia="en-CA"/>
              </w:rPr>
              <w:t>to be achieved in the previous stage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51381A12" w14:textId="77777777" w:rsidR="008C5479" w:rsidRPr="00FE04FE" w:rsidRDefault="008C5479" w:rsidP="00057085">
            <w:pPr>
              <w:jc w:val="right"/>
              <w:rPr>
                <w:color w:val="000000"/>
                <w:sz w:val="18"/>
                <w:szCs w:val="18"/>
                <w:lang w:eastAsia="en-CA"/>
              </w:rPr>
            </w:pPr>
            <w:r w:rsidRPr="00FE04FE">
              <w:rPr>
                <w:sz w:val="18"/>
                <w:szCs w:val="18"/>
              </w:rPr>
              <w:t>0</w:t>
            </w:r>
          </w:p>
        </w:tc>
      </w:tr>
      <w:tr w:rsidR="008C5479" w:rsidRPr="00CB311D" w14:paraId="5E5ADB0E" w14:textId="77777777" w:rsidTr="00057085">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55461B38" w14:textId="77777777" w:rsidR="008C5479" w:rsidRPr="00FE04FE" w:rsidRDefault="008C5479" w:rsidP="00057085">
            <w:pPr>
              <w:rPr>
                <w:color w:val="000000"/>
                <w:sz w:val="18"/>
                <w:szCs w:val="18"/>
                <w:lang w:eastAsia="en-CA"/>
              </w:rPr>
            </w:pPr>
            <w:r w:rsidRPr="00FE04FE">
              <w:rPr>
                <w:color w:val="000000"/>
                <w:sz w:val="18"/>
                <w:szCs w:val="18"/>
                <w:lang w:eastAsia="en-CA"/>
              </w:rPr>
              <w:t>4.5.3</w:t>
            </w:r>
          </w:p>
        </w:tc>
        <w:tc>
          <w:tcPr>
            <w:tcW w:w="0" w:type="auto"/>
            <w:gridSpan w:val="8"/>
            <w:tcBorders>
              <w:top w:val="single" w:sz="4" w:space="0" w:color="auto"/>
              <w:left w:val="nil"/>
              <w:bottom w:val="single" w:sz="4" w:space="0" w:color="auto"/>
              <w:right w:val="single" w:sz="4" w:space="0" w:color="auto"/>
            </w:tcBorders>
            <w:shd w:val="clear" w:color="auto" w:fill="auto"/>
            <w:vAlign w:val="center"/>
          </w:tcPr>
          <w:p w14:paraId="7D8F175F" w14:textId="77777777" w:rsidR="008C5479" w:rsidRPr="00FE04FE" w:rsidRDefault="008C5479" w:rsidP="00057085">
            <w:pPr>
              <w:jc w:val="left"/>
              <w:rPr>
                <w:color w:val="000000"/>
                <w:sz w:val="18"/>
                <w:szCs w:val="18"/>
                <w:lang w:eastAsia="en-CA"/>
              </w:rPr>
            </w:pPr>
            <w:r w:rsidRPr="00FE04FE">
              <w:rPr>
                <w:color w:val="000000"/>
                <w:sz w:val="18"/>
                <w:szCs w:val="18"/>
                <w:lang w:eastAsia="en-CA"/>
              </w:rPr>
              <w:t xml:space="preserve">Remaining eligible consumption for </w:t>
            </w:r>
            <w:r w:rsidRPr="00FE04FE">
              <w:rPr>
                <w:color w:val="000000"/>
                <w:sz w:val="18"/>
                <w:szCs w:val="18"/>
                <w:lang w:eastAsia="es-CO"/>
              </w:rPr>
              <w:t>HFC-124</w:t>
            </w:r>
            <w:r w:rsidRPr="00FE04FE">
              <w:rPr>
                <w:color w:val="000000"/>
                <w:sz w:val="18"/>
                <w:szCs w:val="18"/>
                <w:lang w:eastAsia="en-CA"/>
              </w:rPr>
              <w:t xml:space="preserve"> (ODP tonnes)</w:t>
            </w:r>
          </w:p>
        </w:tc>
        <w:tc>
          <w:tcPr>
            <w:tcW w:w="0" w:type="auto"/>
            <w:tcBorders>
              <w:top w:val="nil"/>
              <w:left w:val="single" w:sz="4" w:space="0" w:color="auto"/>
              <w:bottom w:val="single" w:sz="4" w:space="0" w:color="auto"/>
              <w:right w:val="single" w:sz="4" w:space="0" w:color="auto"/>
            </w:tcBorders>
            <w:shd w:val="clear" w:color="auto" w:fill="FFFFFF" w:themeFill="background1"/>
          </w:tcPr>
          <w:p w14:paraId="75808428"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6A8095C8" w14:textId="77777777" w:rsidTr="00057085">
        <w:trPr>
          <w:trHeight w:val="53"/>
          <w:jc w:val="center"/>
        </w:trPr>
        <w:tc>
          <w:tcPr>
            <w:tcW w:w="0" w:type="auto"/>
            <w:tcBorders>
              <w:top w:val="nil"/>
              <w:left w:val="single" w:sz="4" w:space="0" w:color="auto"/>
              <w:bottom w:val="single" w:sz="4" w:space="0" w:color="auto"/>
              <w:right w:val="single" w:sz="4" w:space="0" w:color="auto"/>
            </w:tcBorders>
            <w:shd w:val="clear" w:color="auto" w:fill="auto"/>
            <w:hideMark/>
          </w:tcPr>
          <w:p w14:paraId="5E9290E9" w14:textId="77777777" w:rsidR="008C5479" w:rsidRPr="00FE04FE" w:rsidRDefault="008C5479" w:rsidP="00057085">
            <w:pPr>
              <w:rPr>
                <w:color w:val="000000"/>
                <w:sz w:val="18"/>
                <w:szCs w:val="18"/>
                <w:lang w:eastAsia="en-CA"/>
              </w:rPr>
            </w:pPr>
            <w:r w:rsidRPr="00FE04FE">
              <w:rPr>
                <w:color w:val="000000"/>
                <w:sz w:val="18"/>
                <w:szCs w:val="18"/>
                <w:lang w:eastAsia="en-CA"/>
              </w:rPr>
              <w:t>4.6.1</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37CE18E8" w14:textId="77777777" w:rsidR="008C5479" w:rsidRPr="00FE04FE" w:rsidRDefault="008C5479" w:rsidP="00057085">
            <w:pPr>
              <w:jc w:val="left"/>
              <w:rPr>
                <w:color w:val="000000"/>
                <w:sz w:val="18"/>
                <w:szCs w:val="18"/>
                <w:lang w:eastAsia="en-CA"/>
              </w:rPr>
            </w:pPr>
            <w:r w:rsidRPr="00FE04FE">
              <w:rPr>
                <w:color w:val="000000"/>
                <w:sz w:val="18"/>
                <w:szCs w:val="18"/>
                <w:lang w:eastAsia="en-CA"/>
              </w:rPr>
              <w:t>Total phase-out of HCFC-141b contained in imported pre-blended polyols agreed to be achieved under this Agreement (ODP tonnes)</w:t>
            </w:r>
          </w:p>
        </w:tc>
        <w:tc>
          <w:tcPr>
            <w:tcW w:w="0" w:type="auto"/>
            <w:tcBorders>
              <w:top w:val="nil"/>
              <w:left w:val="single" w:sz="4" w:space="0" w:color="auto"/>
              <w:bottom w:val="single" w:sz="4" w:space="0" w:color="auto"/>
              <w:right w:val="single" w:sz="4" w:space="0" w:color="auto"/>
            </w:tcBorders>
            <w:shd w:val="clear" w:color="auto" w:fill="auto"/>
          </w:tcPr>
          <w:p w14:paraId="789E4316"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r w:rsidR="008C5479" w:rsidRPr="00CB311D" w14:paraId="61CC1177" w14:textId="77777777" w:rsidTr="00057085">
        <w:trPr>
          <w:trHeight w:val="107"/>
          <w:jc w:val="center"/>
        </w:trPr>
        <w:tc>
          <w:tcPr>
            <w:tcW w:w="0" w:type="auto"/>
            <w:tcBorders>
              <w:top w:val="nil"/>
              <w:left w:val="single" w:sz="4" w:space="0" w:color="auto"/>
              <w:bottom w:val="single" w:sz="4" w:space="0" w:color="auto"/>
              <w:right w:val="single" w:sz="4" w:space="0" w:color="auto"/>
            </w:tcBorders>
            <w:shd w:val="clear" w:color="auto" w:fill="auto"/>
            <w:hideMark/>
          </w:tcPr>
          <w:p w14:paraId="61FEFDFC" w14:textId="77777777" w:rsidR="008C5479" w:rsidRPr="00FE04FE" w:rsidRDefault="008C5479" w:rsidP="00057085">
            <w:pPr>
              <w:rPr>
                <w:color w:val="000000"/>
                <w:sz w:val="18"/>
                <w:szCs w:val="18"/>
                <w:lang w:eastAsia="en-CA"/>
              </w:rPr>
            </w:pPr>
            <w:r w:rsidRPr="00FE04FE">
              <w:rPr>
                <w:color w:val="000000"/>
                <w:sz w:val="18"/>
                <w:szCs w:val="18"/>
                <w:lang w:eastAsia="en-CA"/>
              </w:rPr>
              <w:t>4.6.2</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0E628EB5" w14:textId="77777777" w:rsidR="008C5479" w:rsidRPr="00FE04FE" w:rsidRDefault="008C5479" w:rsidP="00057085">
            <w:pPr>
              <w:jc w:val="left"/>
              <w:rPr>
                <w:color w:val="000000"/>
                <w:sz w:val="18"/>
                <w:szCs w:val="18"/>
                <w:lang w:eastAsia="en-CA"/>
              </w:rPr>
            </w:pPr>
            <w:r w:rsidRPr="00FE04FE">
              <w:rPr>
                <w:color w:val="000000"/>
                <w:sz w:val="18"/>
                <w:szCs w:val="18"/>
                <w:lang w:eastAsia="en-CA"/>
              </w:rPr>
              <w:t>Phase-out of HCFC-141b contained in imported pre-blended polyols to be achieved in the previous stage (ODP tonnes)</w:t>
            </w:r>
          </w:p>
        </w:tc>
        <w:tc>
          <w:tcPr>
            <w:tcW w:w="0" w:type="auto"/>
            <w:tcBorders>
              <w:top w:val="nil"/>
              <w:left w:val="single" w:sz="4" w:space="0" w:color="auto"/>
              <w:bottom w:val="single" w:sz="4" w:space="0" w:color="auto"/>
              <w:right w:val="single" w:sz="4" w:space="0" w:color="auto"/>
            </w:tcBorders>
            <w:shd w:val="clear" w:color="auto" w:fill="auto"/>
          </w:tcPr>
          <w:p w14:paraId="76096747" w14:textId="77777777" w:rsidR="008C5479" w:rsidRPr="00FE04FE" w:rsidRDefault="008C5479" w:rsidP="00057085">
            <w:pPr>
              <w:jc w:val="right"/>
              <w:rPr>
                <w:color w:val="000000"/>
                <w:sz w:val="18"/>
                <w:szCs w:val="18"/>
                <w:lang w:eastAsia="en-CA"/>
              </w:rPr>
            </w:pPr>
            <w:r w:rsidRPr="00FE04FE">
              <w:rPr>
                <w:rFonts w:eastAsiaTheme="minorHAnsi"/>
                <w:color w:val="000000"/>
                <w:sz w:val="18"/>
                <w:szCs w:val="18"/>
              </w:rPr>
              <w:t>20.67</w:t>
            </w:r>
          </w:p>
        </w:tc>
      </w:tr>
      <w:tr w:rsidR="008C5479" w:rsidRPr="00CB311D" w14:paraId="3416A8CD" w14:textId="77777777" w:rsidTr="00057085">
        <w:trPr>
          <w:trHeight w:val="9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6FA0A" w14:textId="77777777" w:rsidR="008C5479" w:rsidRPr="00FE04FE" w:rsidRDefault="008C5479" w:rsidP="00057085">
            <w:pPr>
              <w:rPr>
                <w:color w:val="000000"/>
                <w:sz w:val="18"/>
                <w:szCs w:val="18"/>
                <w:lang w:eastAsia="en-CA"/>
              </w:rPr>
            </w:pPr>
            <w:r w:rsidRPr="00FE04FE">
              <w:rPr>
                <w:color w:val="000000"/>
                <w:sz w:val="18"/>
                <w:szCs w:val="18"/>
                <w:lang w:eastAsia="en-CA"/>
              </w:rPr>
              <w:t>4.6.3</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28733C7B" w14:textId="77777777" w:rsidR="008C5479" w:rsidRPr="00FE04FE" w:rsidRDefault="008C5479" w:rsidP="00057085">
            <w:pPr>
              <w:rPr>
                <w:color w:val="000000"/>
                <w:sz w:val="18"/>
                <w:szCs w:val="18"/>
                <w:lang w:eastAsia="en-CA"/>
              </w:rPr>
            </w:pPr>
            <w:r w:rsidRPr="00FE04FE">
              <w:rPr>
                <w:color w:val="000000"/>
                <w:sz w:val="18"/>
                <w:szCs w:val="18"/>
                <w:lang w:eastAsia="en-CA"/>
              </w:rPr>
              <w:t>Remaining eligible consumption for HCFC-141b contained in imported pre-blended polyols (ODP tonnes)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156B" w14:textId="77777777" w:rsidR="008C5479" w:rsidRPr="00FE04FE" w:rsidRDefault="008C5479" w:rsidP="00057085">
            <w:pPr>
              <w:jc w:val="right"/>
              <w:rPr>
                <w:color w:val="000000"/>
                <w:sz w:val="18"/>
                <w:szCs w:val="18"/>
                <w:lang w:eastAsia="en-CA"/>
              </w:rPr>
            </w:pPr>
            <w:r w:rsidRPr="00FE04FE">
              <w:rPr>
                <w:color w:val="000000"/>
                <w:sz w:val="18"/>
                <w:szCs w:val="18"/>
                <w:lang w:eastAsia="en-CA"/>
              </w:rPr>
              <w:t>0</w:t>
            </w:r>
          </w:p>
        </w:tc>
      </w:tr>
    </w:tbl>
    <w:p w14:paraId="64568EC5" w14:textId="77777777" w:rsidR="008C5479" w:rsidRPr="00D64FF2" w:rsidRDefault="008C5479" w:rsidP="008C5479">
      <w:pPr>
        <w:pStyle w:val="NoSpacing"/>
        <w:spacing w:before="240" w:after="240"/>
        <w:rPr>
          <w:rFonts w:eastAsia="Calibri"/>
          <w:b/>
          <w:bCs/>
          <w:lang w:val="en-US"/>
        </w:rPr>
      </w:pPr>
      <w:r w:rsidRPr="00CB311D">
        <w:rPr>
          <w:rFonts w:eastAsia="Calibri"/>
          <w:b/>
          <w:bCs/>
          <w:lang w:val="en-US"/>
        </w:rPr>
        <w:t>APPENDIX 3-A: FUNDING APPROVAL SCHEDULE</w:t>
      </w:r>
    </w:p>
    <w:p w14:paraId="67B014A6" w14:textId="77777777" w:rsidR="008C5479" w:rsidRPr="008C5479" w:rsidRDefault="008C5479" w:rsidP="008C5479">
      <w:pPr>
        <w:pStyle w:val="Heading1"/>
        <w:numPr>
          <w:ilvl w:val="0"/>
          <w:numId w:val="35"/>
        </w:numPr>
        <w:rPr>
          <w:rFonts w:eastAsia="Calibri"/>
        </w:rPr>
      </w:pPr>
      <w:r w:rsidRPr="008C5479">
        <w:rPr>
          <w:rFonts w:eastAsia="Calibri"/>
        </w:rPr>
        <w:t>Funding for the future tranches will be considered for approval at the second meeting of the year specified in Appendix 2-A.</w:t>
      </w:r>
    </w:p>
    <w:p w14:paraId="69151286" w14:textId="77777777" w:rsidR="008C5479" w:rsidRPr="00D64FF2" w:rsidRDefault="008C5479" w:rsidP="008C5479">
      <w:pPr>
        <w:pStyle w:val="NoSpacing"/>
        <w:keepLines/>
        <w:widowControl w:val="0"/>
        <w:spacing w:after="240"/>
        <w:rPr>
          <w:rFonts w:eastAsia="Calibri"/>
          <w:b/>
          <w:bCs/>
          <w:lang w:val="en-US"/>
        </w:rPr>
      </w:pPr>
      <w:r w:rsidRPr="00CB311D">
        <w:rPr>
          <w:rFonts w:eastAsia="Calibri"/>
          <w:b/>
          <w:bCs/>
          <w:lang w:val="en-US"/>
        </w:rPr>
        <w:t>APPENDIX 4-A: FORMAT OF TRANCHE IMPLEMENTATION REPORTS AND PLANS</w:t>
      </w:r>
    </w:p>
    <w:p w14:paraId="68747FEF" w14:textId="77777777" w:rsidR="008C5479" w:rsidRPr="00CB311D" w:rsidRDefault="008C5479" w:rsidP="008C5479">
      <w:pPr>
        <w:pStyle w:val="Heading1"/>
        <w:keepLines/>
        <w:widowControl w:val="0"/>
        <w:numPr>
          <w:ilvl w:val="0"/>
          <w:numId w:val="36"/>
        </w:numPr>
      </w:pPr>
      <w:r w:rsidRPr="00CB311D">
        <w:t>The submission of the Tranche Implementation Report and Plans for each tranche request will consist of five parts:</w:t>
      </w:r>
    </w:p>
    <w:p w14:paraId="585CEB2F" w14:textId="77777777" w:rsidR="008C5479" w:rsidRPr="00CB311D" w:rsidRDefault="008C5479" w:rsidP="008C5479">
      <w:pPr>
        <w:pStyle w:val="Heading2"/>
        <w:keepNext/>
        <w:widowControl/>
      </w:pPr>
      <w:r w:rsidRPr="00CB311D">
        <w:t xml:space="preserve">A narrative report, with data provided by tranche, describing the progress achieved since the previous report, reflecting the situation of the Country in regard to phase-out of the Substances, how the different activities contribute to it, and how they relate to each other. </w:t>
      </w:r>
      <w:r w:rsidRPr="00CB311D">
        <w:lastRenderedPageBreak/>
        <w:t xml:space="preserve">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14:paraId="7FB75179" w14:textId="77777777" w:rsidR="008C5479" w:rsidRPr="00CB311D" w:rsidRDefault="008C5479" w:rsidP="008C5479">
      <w:pPr>
        <w:pStyle w:val="Heading2"/>
      </w:pPr>
      <w:r w:rsidRPr="00CB311D">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36BD8246" w14:textId="77777777" w:rsidR="008C5479" w:rsidRPr="00CB311D" w:rsidRDefault="008C5479" w:rsidP="008C5479">
      <w:pPr>
        <w:pStyle w:val="Heading2"/>
      </w:pPr>
      <w:r w:rsidRPr="00CB311D">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14:paraId="1F3B7FE3" w14:textId="77777777" w:rsidR="008C5479" w:rsidRPr="00CB311D" w:rsidRDefault="008C5479" w:rsidP="008C5479">
      <w:pPr>
        <w:pStyle w:val="Heading2"/>
      </w:pPr>
      <w:r w:rsidRPr="00CB311D">
        <w:t>A set of quantitative information for all Tranche Implementation Reports and Plans, submitted through an online database; and</w:t>
      </w:r>
    </w:p>
    <w:p w14:paraId="48A5F3BE" w14:textId="77777777" w:rsidR="008C5479" w:rsidRPr="00CB311D" w:rsidRDefault="008C5479" w:rsidP="008C5479">
      <w:pPr>
        <w:pStyle w:val="Heading2"/>
      </w:pPr>
      <w:r w:rsidRPr="00CB311D">
        <w:t>An Executive Summary of about five paragraphs, summarizing the information of the above sub</w:t>
      </w:r>
      <w:r w:rsidRPr="00CB311D">
        <w:noBreakHyphen/>
        <w:t>paragraphs 1(a) to 1(d).</w:t>
      </w:r>
    </w:p>
    <w:p w14:paraId="2184966B" w14:textId="77777777" w:rsidR="008C5479" w:rsidRPr="00CB311D" w:rsidRDefault="008C5479" w:rsidP="008C5479">
      <w:pPr>
        <w:pStyle w:val="Heading1"/>
      </w:pPr>
      <w:r w:rsidRPr="00CB311D">
        <w:t>In the event that in a particular year two stages of the HPMP are being implemented in parallel, the following considerations should be taken in preparing the Tranche Implementation Reports and Plans:</w:t>
      </w:r>
    </w:p>
    <w:p w14:paraId="768B4AE7" w14:textId="77777777" w:rsidR="008C5479" w:rsidRPr="00CB311D" w:rsidRDefault="008C5479" w:rsidP="008C5479">
      <w:pPr>
        <w:pStyle w:val="Heading2"/>
      </w:pPr>
      <w:r w:rsidRPr="00CB311D">
        <w:t>The Tranche Implementation Reports and Plans referred to as part of this Agreement, will exclusively refer to activities and funds covered by this Agreement; and</w:t>
      </w:r>
    </w:p>
    <w:p w14:paraId="58C57D6C" w14:textId="77777777" w:rsidR="008C5479" w:rsidRPr="00D64FF2" w:rsidRDefault="008C5479" w:rsidP="008C5479">
      <w:pPr>
        <w:pStyle w:val="Heading2"/>
      </w:pPr>
      <w:r w:rsidRPr="00CB311D">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14:paraId="2B697BAA" w14:textId="77777777" w:rsidR="008C5479" w:rsidRPr="00CB311D" w:rsidRDefault="008C5479" w:rsidP="008C5479">
      <w:pPr>
        <w:keepNext/>
        <w:keepLines/>
        <w:spacing w:after="240"/>
        <w:rPr>
          <w:rFonts w:eastAsia="Calibri"/>
          <w:b/>
          <w:bCs/>
        </w:rPr>
      </w:pPr>
      <w:r w:rsidRPr="00CB311D">
        <w:rPr>
          <w:rFonts w:eastAsia="Calibri"/>
          <w:b/>
          <w:bCs/>
        </w:rPr>
        <w:lastRenderedPageBreak/>
        <w:t xml:space="preserve">APPENDIX 5-A: MONITORING INSTITUTIONS AND ROLES </w:t>
      </w:r>
    </w:p>
    <w:p w14:paraId="08BA0406" w14:textId="77777777" w:rsidR="008C5479" w:rsidRPr="00D64FF2" w:rsidRDefault="008C5479" w:rsidP="008C5479">
      <w:pPr>
        <w:pStyle w:val="Heading1"/>
        <w:keepNext/>
        <w:keepLines/>
        <w:numPr>
          <w:ilvl w:val="0"/>
          <w:numId w:val="37"/>
        </w:numPr>
      </w:pPr>
      <w:r w:rsidRPr="00CB311D">
        <w:t>The Minister of Production, Foreign Trade, Investment and Fishery (MPCEIP) is the Focal Point of the Montreal Protocol in Ecuador. The activities corresponding to the implementation of the Protocol are aligned within the strategies proposals of the Ministry´s National Direction of Environment and Technological Reconversion. This Division coordinates with the authorities the National Plan for the Elimination of Ozone Depleting Substances (ODS).</w:t>
      </w:r>
    </w:p>
    <w:p w14:paraId="633916CB" w14:textId="77777777" w:rsidR="008C5479" w:rsidRPr="00CB311D" w:rsidRDefault="008C5479" w:rsidP="008C5479">
      <w:pPr>
        <w:pStyle w:val="Heading1"/>
      </w:pPr>
      <w:r w:rsidRPr="00CB311D">
        <w:t>The project is implemented through the National Ozone Unit established within the MPCEIP, as part of the National Direction of Environment and Technological Reconversion, and its functions are:</w:t>
      </w:r>
    </w:p>
    <w:p w14:paraId="202C67ED" w14:textId="77777777" w:rsidR="008C5479" w:rsidRPr="00CB311D" w:rsidRDefault="008C5479" w:rsidP="008C5479">
      <w:pPr>
        <w:pStyle w:val="Heading2"/>
      </w:pPr>
      <w:r w:rsidRPr="00CB311D">
        <w:t>To coordinate, as focal point, all the activities related to the implementation of the country program</w:t>
      </w:r>
      <w:r>
        <w:t>me</w:t>
      </w:r>
      <w:r w:rsidRPr="00CB311D">
        <w:t xml:space="preserve"> for the ODS phase</w:t>
      </w:r>
      <w:r>
        <w:noBreakHyphen/>
      </w:r>
      <w:r w:rsidRPr="00CB311D">
        <w:t>out in Ecuador,</w:t>
      </w:r>
    </w:p>
    <w:p w14:paraId="629BC470" w14:textId="77777777" w:rsidR="008C5479" w:rsidRPr="00CB311D" w:rsidRDefault="008C5479" w:rsidP="008C5479">
      <w:pPr>
        <w:pStyle w:val="Heading2"/>
      </w:pPr>
      <w:r w:rsidRPr="00CB311D">
        <w:t>Monitoring and control the Montreal Protocol controlled substances consumption,</w:t>
      </w:r>
    </w:p>
    <w:p w14:paraId="0CCBF89F" w14:textId="77777777" w:rsidR="008C5479" w:rsidRPr="00CB311D" w:rsidRDefault="008C5479" w:rsidP="008C5479">
      <w:pPr>
        <w:pStyle w:val="Heading2"/>
      </w:pPr>
      <w:r w:rsidRPr="00CB311D">
        <w:t>To disseminate data and pertinent information to all the interested parties, and to inform on the requirements of the Montreal Protocol,</w:t>
      </w:r>
    </w:p>
    <w:p w14:paraId="080DAFE0" w14:textId="77777777" w:rsidR="008C5479" w:rsidRPr="00CB311D" w:rsidRDefault="008C5479" w:rsidP="008C5479">
      <w:pPr>
        <w:pStyle w:val="Heading2"/>
      </w:pPr>
      <w:r w:rsidRPr="00CB311D">
        <w:t>To promote awareness on the ODS and alternatives issues,</w:t>
      </w:r>
    </w:p>
    <w:p w14:paraId="1020DC20" w14:textId="77777777" w:rsidR="008C5479" w:rsidRPr="00CB311D" w:rsidRDefault="008C5479" w:rsidP="008C5479">
      <w:pPr>
        <w:pStyle w:val="Heading2"/>
      </w:pPr>
      <w:r w:rsidRPr="00CB311D">
        <w:t>To receive, evaluate and submit reports, to be considered by the Executive Committee of the Multilateral Fund, for additional projects that have not been included in the country program</w:t>
      </w:r>
      <w:r>
        <w:t>me</w:t>
      </w:r>
      <w:r w:rsidRPr="00CB311D">
        <w:t>,</w:t>
      </w:r>
    </w:p>
    <w:p w14:paraId="57A9707F" w14:textId="77777777" w:rsidR="008C5479" w:rsidRPr="00CB311D" w:rsidRDefault="008C5479" w:rsidP="008C5479">
      <w:pPr>
        <w:pStyle w:val="Heading2"/>
      </w:pPr>
      <w:r w:rsidRPr="00CB311D">
        <w:t>To report to the Ozone Secretariat, Multilateral Fund, and to the Implementation Agenc</w:t>
      </w:r>
      <w:r>
        <w:t>y</w:t>
      </w:r>
      <w:r w:rsidRPr="00CB311D">
        <w:t xml:space="preserve"> about the consumption and phase</w:t>
      </w:r>
      <w:r>
        <w:noBreakHyphen/>
      </w:r>
      <w:r w:rsidRPr="00CB311D">
        <w:t>out of the Montreal Protocol controlled substances in Ecuador,</w:t>
      </w:r>
    </w:p>
    <w:p w14:paraId="1A4D8CCF" w14:textId="77777777" w:rsidR="008C5479" w:rsidRPr="00CB311D" w:rsidRDefault="008C5479" w:rsidP="008C5479">
      <w:pPr>
        <w:pStyle w:val="Heading2"/>
      </w:pPr>
      <w:r w:rsidRPr="00CB311D">
        <w:t>Coordination and implementation of projects for the substances controlled by the Montreal Protocol in the country.</w:t>
      </w:r>
    </w:p>
    <w:p w14:paraId="2C1F9E6B" w14:textId="77777777" w:rsidR="008C5479" w:rsidRPr="00DA5E25" w:rsidRDefault="008C5479" w:rsidP="008C5479">
      <w:pPr>
        <w:pStyle w:val="Heading1"/>
        <w:rPr>
          <w:rFonts w:eastAsia="SimSun"/>
          <w:lang w:eastAsia="zh-CN"/>
        </w:rPr>
      </w:pPr>
      <w:r w:rsidRPr="00CB311D">
        <w:rPr>
          <w:rFonts w:eastAsiaTheme="minorHAnsi"/>
        </w:rPr>
        <w:t xml:space="preserve">The </w:t>
      </w:r>
      <w:r w:rsidRPr="00CB311D">
        <w:t>MPCEIP</w:t>
      </w:r>
      <w:r w:rsidRPr="00CB311D">
        <w:rPr>
          <w:rFonts w:eastAsiaTheme="minorHAnsi"/>
        </w:rPr>
        <w:t xml:space="preserve"> will be responsible for the monitoring of the phase-out implementation plan, of making the follow up of the promulgation, and the enforcement of the policies and legislation, the </w:t>
      </w:r>
      <w:r w:rsidRPr="00CB311D">
        <w:rPr>
          <w:rFonts w:eastAsia="SimSun"/>
          <w:lang w:eastAsia="zh-CN"/>
        </w:rPr>
        <w:t>procedures</w:t>
      </w:r>
      <w:r w:rsidRPr="00CB311D">
        <w:t xml:space="preserve"> </w:t>
      </w:r>
      <w:r w:rsidRPr="00CB311D">
        <w:rPr>
          <w:rFonts w:eastAsia="SimSun"/>
          <w:lang w:eastAsia="zh-CN"/>
        </w:rPr>
        <w:t xml:space="preserve">the procedures to carry out these activities are: </w:t>
      </w:r>
    </w:p>
    <w:p w14:paraId="540D31B5" w14:textId="77777777" w:rsidR="008C5479" w:rsidRPr="00CB311D" w:rsidRDefault="008C5479" w:rsidP="008C5479">
      <w:pPr>
        <w:pStyle w:val="Heading2"/>
        <w:rPr>
          <w:lang w:eastAsia="es-ES"/>
        </w:rPr>
      </w:pPr>
      <w:r w:rsidRPr="00CB311D">
        <w:rPr>
          <w:lang w:eastAsia="es-ES"/>
        </w:rPr>
        <w:t>Implementation of all the activities of the components within the HPMP, including a detailed activity design, audit of the involved parties, identification and selection of the beneficiaries, contracting of goods and services, continuous technical assistance to the project beneficiaries, etc.</w:t>
      </w:r>
    </w:p>
    <w:p w14:paraId="1938C77F" w14:textId="77777777" w:rsidR="008C5479" w:rsidRPr="00CB311D" w:rsidRDefault="008C5479" w:rsidP="008C5479">
      <w:pPr>
        <w:pStyle w:val="Heading2"/>
        <w:rPr>
          <w:lang w:eastAsia="es-ES"/>
        </w:rPr>
      </w:pPr>
      <w:r w:rsidRPr="00CB311D">
        <w:rPr>
          <w:lang w:eastAsia="es-ES"/>
        </w:rPr>
        <w:t>Regular monitoring of the trends and attitudes in the local private sector related to the HCFC use and its possible substitutes.</w:t>
      </w:r>
    </w:p>
    <w:p w14:paraId="324A0557" w14:textId="77777777" w:rsidR="008C5479" w:rsidRPr="00CB311D" w:rsidRDefault="008C5479" w:rsidP="008C5479">
      <w:pPr>
        <w:pStyle w:val="Heading2"/>
        <w:rPr>
          <w:lang w:eastAsia="es-ES"/>
        </w:rPr>
      </w:pPr>
      <w:r w:rsidRPr="00CB311D">
        <w:rPr>
          <w:lang w:eastAsia="es-ES"/>
        </w:rPr>
        <w:t>Design, organization and implementation (annual) of the project monitoring activities, including the design of the data gathering and analysis instruments.</w:t>
      </w:r>
    </w:p>
    <w:p w14:paraId="5CBBA8E7" w14:textId="77777777" w:rsidR="008C5479" w:rsidRPr="00CB311D" w:rsidRDefault="008C5479" w:rsidP="008C5479">
      <w:pPr>
        <w:pStyle w:val="Heading2"/>
        <w:rPr>
          <w:lang w:eastAsia="es-ES"/>
        </w:rPr>
      </w:pPr>
      <w:r w:rsidRPr="00CB311D">
        <w:rPr>
          <w:lang w:eastAsia="es-ES"/>
        </w:rPr>
        <w:t>Analysis and report of results of the monitoring, including the design of the implementation of the corrective measures and/or activities of technical assistance, and organization of the corresponding meetings for review and management of the monitoring.</w:t>
      </w:r>
    </w:p>
    <w:p w14:paraId="264B9F01" w14:textId="77777777" w:rsidR="008C5479" w:rsidRPr="00CB311D" w:rsidRDefault="008C5479" w:rsidP="008C5479">
      <w:pPr>
        <w:pStyle w:val="Heading2"/>
        <w:rPr>
          <w:lang w:eastAsia="es-ES"/>
        </w:rPr>
      </w:pPr>
      <w:r w:rsidRPr="00CB311D">
        <w:rPr>
          <w:lang w:eastAsia="es-ES"/>
        </w:rPr>
        <w:t>Design and implementation of the corrective measures.</w:t>
      </w:r>
    </w:p>
    <w:p w14:paraId="3E1FB138" w14:textId="77777777" w:rsidR="008C5479" w:rsidRPr="00CB311D" w:rsidRDefault="008C5479" w:rsidP="008C5479">
      <w:pPr>
        <w:pStyle w:val="Heading2"/>
        <w:rPr>
          <w:lang w:eastAsia="es-ES"/>
        </w:rPr>
      </w:pPr>
      <w:r w:rsidRPr="00CB311D">
        <w:rPr>
          <w:lang w:eastAsia="es-ES"/>
        </w:rPr>
        <w:t>Regular implementation of activities of technical assistance to the project beneficiaries.</w:t>
      </w:r>
    </w:p>
    <w:p w14:paraId="60DE9299" w14:textId="77777777" w:rsidR="008C5479" w:rsidRPr="00CB311D" w:rsidRDefault="008C5479" w:rsidP="008C5479">
      <w:pPr>
        <w:pStyle w:val="Heading2"/>
        <w:rPr>
          <w:lang w:eastAsia="es-ES"/>
        </w:rPr>
      </w:pPr>
      <w:r w:rsidRPr="00CB311D">
        <w:rPr>
          <w:lang w:eastAsia="es-ES"/>
        </w:rPr>
        <w:lastRenderedPageBreak/>
        <w:t>Preparation of annual progress reports, biannual reports on the HPMP implementation, and biannual implementation plan for the Multilateral Fund Executive Committee, ac</w:t>
      </w:r>
      <w:r>
        <w:rPr>
          <w:lang w:eastAsia="es-ES"/>
        </w:rPr>
        <w:t xml:space="preserve">cording to the defined format. </w:t>
      </w:r>
      <w:r w:rsidRPr="00CB311D">
        <w:rPr>
          <w:lang w:eastAsia="es-ES"/>
        </w:rPr>
        <w:t>It will also include the preparation of any other report necessary for the adequate operation of the HPMP project.</w:t>
      </w:r>
    </w:p>
    <w:p w14:paraId="55AAEEF1" w14:textId="77777777" w:rsidR="008C5479" w:rsidRPr="00CB311D" w:rsidRDefault="008C5479" w:rsidP="008C5479">
      <w:pPr>
        <w:pStyle w:val="Heading1"/>
        <w:rPr>
          <w:rFonts w:eastAsiaTheme="minorHAnsi"/>
        </w:rPr>
      </w:pPr>
      <w:r w:rsidRPr="00CB311D">
        <w:rPr>
          <w:rFonts w:eastAsiaTheme="minorHAnsi"/>
        </w:rPr>
        <w:t xml:space="preserve">The phase-out plan will be managed by a team dedicated to this job that consists of a coordinator that will be designated by the </w:t>
      </w:r>
      <w:r w:rsidRPr="00CB311D">
        <w:t>MPCEIP</w:t>
      </w:r>
      <w:r w:rsidRPr="00CB311D">
        <w:rPr>
          <w:rFonts w:eastAsiaTheme="minorHAnsi"/>
        </w:rPr>
        <w:t xml:space="preserve"> and have the support of the representatives and experts of the implementation agencies and the necessary support infrastructure. The component of support to the management and update of the legal instruments of the phase-out plan will include the following activities:</w:t>
      </w:r>
    </w:p>
    <w:p w14:paraId="199D7AF4" w14:textId="77777777" w:rsidR="008C5479" w:rsidRPr="00CB311D" w:rsidRDefault="008C5479" w:rsidP="008C5479">
      <w:pPr>
        <w:pStyle w:val="Heading2"/>
      </w:pPr>
      <w:r w:rsidRPr="00CB311D">
        <w:t>Management and coordination of the implementation of the plan;</w:t>
      </w:r>
    </w:p>
    <w:p w14:paraId="4982AF97" w14:textId="77777777" w:rsidR="008C5479" w:rsidRPr="00CB311D" w:rsidRDefault="008C5479" w:rsidP="008C5479">
      <w:pPr>
        <w:pStyle w:val="Heading2"/>
      </w:pPr>
      <w:r w:rsidRPr="00CB311D">
        <w:t xml:space="preserve">Establishment of a policy development and application programme to allow the Government to exercise the required mandates and ensure the industry </w:t>
      </w:r>
      <w:proofErr w:type="spellStart"/>
      <w:r w:rsidRPr="00CB311D">
        <w:t>fulfillment</w:t>
      </w:r>
      <w:proofErr w:type="spellEnd"/>
      <w:r w:rsidRPr="00CB311D">
        <w:t xml:space="preserve"> with the obligations of the ODS consumption reduction;</w:t>
      </w:r>
    </w:p>
    <w:p w14:paraId="3597229A" w14:textId="77777777" w:rsidR="008C5479" w:rsidRPr="00CB311D" w:rsidRDefault="008C5479" w:rsidP="008C5479">
      <w:pPr>
        <w:pStyle w:val="Heading2"/>
      </w:pPr>
      <w:r w:rsidRPr="00CB311D">
        <w:t>Development and implementation of training, awareness and capacity building activities to ensure a high-level commitment to the Plan objectives and obligations;</w:t>
      </w:r>
    </w:p>
    <w:p w14:paraId="02173342" w14:textId="77777777" w:rsidR="008C5479" w:rsidRPr="00CB311D" w:rsidRDefault="008C5479" w:rsidP="008C5479">
      <w:pPr>
        <w:pStyle w:val="Heading2"/>
      </w:pPr>
      <w:r w:rsidRPr="00CB311D">
        <w:t>Preparation of annual implementation plans including the determination of the sequence of participation of the companies in the activities;</w:t>
      </w:r>
    </w:p>
    <w:p w14:paraId="4F161F20" w14:textId="77777777" w:rsidR="008C5479" w:rsidRPr="00CB311D" w:rsidRDefault="008C5479" w:rsidP="008C5479">
      <w:pPr>
        <w:pStyle w:val="Heading2"/>
      </w:pPr>
      <w:r w:rsidRPr="00CB311D">
        <w:t>Establishment and operation of a report system on the ODS use /substitutes by the users;</w:t>
      </w:r>
    </w:p>
    <w:p w14:paraId="1EB4F8A7" w14:textId="77777777" w:rsidR="008C5479" w:rsidRPr="00CB311D" w:rsidRDefault="008C5479" w:rsidP="008C5479">
      <w:pPr>
        <w:pStyle w:val="Heading2"/>
      </w:pPr>
      <w:r w:rsidRPr="00CB311D">
        <w:t>Report on the progress of the plan implementation for the annual disbursement based on performance; and</w:t>
      </w:r>
    </w:p>
    <w:p w14:paraId="1FB3E9F9" w14:textId="77777777" w:rsidR="008C5479" w:rsidRPr="00DA5E25" w:rsidRDefault="008C5479" w:rsidP="008C5479">
      <w:pPr>
        <w:pStyle w:val="Heading2"/>
      </w:pPr>
      <w:r w:rsidRPr="00CB311D">
        <w:t>Establishment and operation of the decentralized mechanism to monitor and evaluate the plan results, in association with local environmental regulatory entities to ensure sustainability.</w:t>
      </w:r>
    </w:p>
    <w:p w14:paraId="5423BDFD" w14:textId="77777777" w:rsidR="008C5479" w:rsidRPr="00DA5E25" w:rsidRDefault="008C5479" w:rsidP="008C5479">
      <w:pPr>
        <w:pStyle w:val="Heading1"/>
        <w:rPr>
          <w:rFonts w:eastAsiaTheme="minorHAnsi"/>
        </w:rPr>
      </w:pPr>
      <w:r w:rsidRPr="00CB311D">
        <w:rPr>
          <w:rFonts w:eastAsiaTheme="minorHAnsi"/>
        </w:rPr>
        <w:t>The Country agrees to evaluations, which might be carried out under the monitoring and evaluation work programmes of the Multilateral Fund or under the evaluation programme of any of the agencies taking part in this Agreement.</w:t>
      </w:r>
    </w:p>
    <w:p w14:paraId="7A3C6627" w14:textId="77777777" w:rsidR="008C5479" w:rsidRPr="00CB311D" w:rsidRDefault="008C5479" w:rsidP="008C5479">
      <w:pPr>
        <w:spacing w:after="240"/>
        <w:rPr>
          <w:b/>
        </w:rPr>
      </w:pPr>
      <w:r w:rsidRPr="00CB311D">
        <w:rPr>
          <w:b/>
        </w:rPr>
        <w:t xml:space="preserve">APPENDIX 6-A: ROLE OF THE LEAD IMPLEMENTING AGENCY </w:t>
      </w:r>
    </w:p>
    <w:p w14:paraId="7A27DECD" w14:textId="77777777" w:rsidR="008C5479" w:rsidRPr="00CB311D" w:rsidRDefault="008C5479" w:rsidP="008C5479">
      <w:pPr>
        <w:pStyle w:val="Heading1"/>
        <w:numPr>
          <w:ilvl w:val="0"/>
          <w:numId w:val="38"/>
        </w:numPr>
      </w:pPr>
      <w:r w:rsidRPr="00CB311D">
        <w:t>The Lead IA will be responsible for a range of activities, including at least the following:</w:t>
      </w:r>
    </w:p>
    <w:p w14:paraId="669B4965" w14:textId="77777777" w:rsidR="008C5479" w:rsidRPr="00CB311D" w:rsidRDefault="008C5479" w:rsidP="008C5479">
      <w:pPr>
        <w:pStyle w:val="Heading2"/>
        <w:rPr>
          <w:rFonts w:eastAsiaTheme="minorHAnsi"/>
        </w:rPr>
      </w:pPr>
      <w:r w:rsidRPr="00CB311D">
        <w:rPr>
          <w:rFonts w:eastAsiaTheme="minorHAnsi"/>
        </w:rPr>
        <w:t>Ensuring performance and financial verification in accordance with this Agreement and with its specific internal procedures and requirements as set out in the Country’s HPMP;</w:t>
      </w:r>
    </w:p>
    <w:p w14:paraId="6E5B8952" w14:textId="77777777" w:rsidR="008C5479" w:rsidRPr="00CB311D" w:rsidRDefault="008C5479" w:rsidP="008C5479">
      <w:pPr>
        <w:pStyle w:val="Heading2"/>
        <w:rPr>
          <w:rFonts w:eastAsiaTheme="minorHAnsi"/>
        </w:rPr>
      </w:pPr>
      <w:r w:rsidRPr="00CB311D">
        <w:rPr>
          <w:rFonts w:eastAsiaTheme="minorHAnsi"/>
        </w:rPr>
        <w:t>Assisting the Country in preparation of the Tranche Implementation Reports and Plans as per Appendix 4</w:t>
      </w:r>
      <w:r w:rsidRPr="00CB311D">
        <w:rPr>
          <w:rFonts w:eastAsiaTheme="minorHAnsi"/>
        </w:rPr>
        <w:noBreakHyphen/>
        <w:t>A;</w:t>
      </w:r>
    </w:p>
    <w:p w14:paraId="48B002A1" w14:textId="77777777" w:rsidR="008C5479" w:rsidRPr="00CB311D" w:rsidRDefault="008C5479" w:rsidP="008C5479">
      <w:pPr>
        <w:pStyle w:val="Heading2"/>
        <w:rPr>
          <w:rFonts w:eastAsiaTheme="minorHAnsi"/>
        </w:rPr>
      </w:pPr>
      <w:r w:rsidRPr="00CB311D">
        <w:rPr>
          <w:rFonts w:eastAsiaTheme="minorHAnsi"/>
        </w:rPr>
        <w:t>Providing independent verification to the Executive Committee that the Targets have been met and associated tranche activities have been completed as indicated in the Tranche Implementation Plan consistent with Appendix 4-A;</w:t>
      </w:r>
    </w:p>
    <w:p w14:paraId="2361AD70" w14:textId="77777777" w:rsidR="008C5479" w:rsidRPr="00CB311D" w:rsidRDefault="008C5479" w:rsidP="008C5479">
      <w:pPr>
        <w:pStyle w:val="Heading2"/>
        <w:rPr>
          <w:rFonts w:eastAsiaTheme="minorHAnsi"/>
        </w:rPr>
      </w:pPr>
      <w:r w:rsidRPr="00CB311D">
        <w:rPr>
          <w:rFonts w:eastAsiaTheme="minorHAnsi"/>
        </w:rPr>
        <w:t>Ensuring that the experiences and progress is reflected in updates of the overall plan and in future Tranche Implementation Plans consistent with sub-paragraphs 1(c) and 1(d) of Appendix 4-A;</w:t>
      </w:r>
    </w:p>
    <w:p w14:paraId="75475815" w14:textId="77777777" w:rsidR="008C5479" w:rsidRPr="00CB311D" w:rsidRDefault="008C5479" w:rsidP="008C5479">
      <w:pPr>
        <w:pStyle w:val="Heading2"/>
        <w:keepNext/>
        <w:widowControl/>
        <w:rPr>
          <w:rFonts w:eastAsiaTheme="minorHAnsi"/>
        </w:rPr>
      </w:pPr>
      <w:r w:rsidRPr="00CB311D">
        <w:rPr>
          <w:rFonts w:eastAsiaTheme="minorHAnsi"/>
        </w:rPr>
        <w:lastRenderedPageBreak/>
        <w:t xml:space="preserve">Fulfilling the reporting requirements for the Tranche Implementation Reports and Plans and the overall plan as specified in Appendix 4-A for </w:t>
      </w:r>
      <w:r w:rsidRPr="00CB311D">
        <w:rPr>
          <w:rFonts w:eastAsiaTheme="minorHAnsi"/>
          <w:shd w:val="clear" w:color="auto" w:fill="FFFFFF" w:themeFill="background1"/>
        </w:rPr>
        <w:t>submission to the Executive Committee;</w:t>
      </w:r>
    </w:p>
    <w:p w14:paraId="4D0B18E3" w14:textId="77777777" w:rsidR="008C5479" w:rsidRPr="00CB311D" w:rsidRDefault="008C5479" w:rsidP="008C5479">
      <w:pPr>
        <w:pStyle w:val="Heading2"/>
        <w:rPr>
          <w:rFonts w:eastAsiaTheme="minorHAnsi"/>
        </w:rPr>
      </w:pPr>
      <w:r w:rsidRPr="00CB311D">
        <w:rPr>
          <w:rFonts w:eastAsiaTheme="minorHAnsi"/>
        </w:rPr>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14:paraId="3DC68EA9" w14:textId="77777777" w:rsidR="008C5479" w:rsidRPr="00CB311D" w:rsidRDefault="008C5479" w:rsidP="008C5479">
      <w:pPr>
        <w:pStyle w:val="Heading2"/>
        <w:rPr>
          <w:rFonts w:eastAsiaTheme="minorHAnsi"/>
        </w:rPr>
      </w:pPr>
      <w:r w:rsidRPr="00CB311D">
        <w:rPr>
          <w:rFonts w:eastAsiaTheme="minorHAnsi"/>
        </w:rPr>
        <w:t>Ensuring that appropriate independent technical experts carry out the technical reviews;</w:t>
      </w:r>
    </w:p>
    <w:p w14:paraId="055BCD34" w14:textId="77777777" w:rsidR="008C5479" w:rsidRPr="00CB311D" w:rsidRDefault="008C5479" w:rsidP="008C5479">
      <w:pPr>
        <w:pStyle w:val="Heading2"/>
        <w:rPr>
          <w:rFonts w:eastAsiaTheme="minorHAnsi"/>
        </w:rPr>
      </w:pPr>
      <w:r w:rsidRPr="00CB311D">
        <w:rPr>
          <w:rFonts w:eastAsiaTheme="minorHAnsi"/>
        </w:rPr>
        <w:t>Carrying out required supervision missions;</w:t>
      </w:r>
    </w:p>
    <w:p w14:paraId="2DDBF545" w14:textId="77777777" w:rsidR="008C5479" w:rsidRPr="00CB311D" w:rsidRDefault="008C5479" w:rsidP="008C5479">
      <w:pPr>
        <w:pStyle w:val="Heading2"/>
        <w:rPr>
          <w:rFonts w:eastAsiaTheme="minorHAnsi"/>
        </w:rPr>
      </w:pPr>
      <w:r w:rsidRPr="00CB311D">
        <w:rPr>
          <w:rFonts w:eastAsiaTheme="minorHAnsi"/>
        </w:rPr>
        <w:t>Ensuring the presence of an operating mechanism to allow effective, transparent implementation of the Tranche Implementation Plan and accurate data reporting;</w:t>
      </w:r>
    </w:p>
    <w:p w14:paraId="6A5D2670" w14:textId="77777777" w:rsidR="008C5479" w:rsidRPr="00CB311D" w:rsidRDefault="008C5479" w:rsidP="008C5479">
      <w:pPr>
        <w:pStyle w:val="Heading2"/>
        <w:rPr>
          <w:rFonts w:eastAsiaTheme="minorHAnsi"/>
        </w:rPr>
      </w:pPr>
      <w:r w:rsidRPr="00CB311D">
        <w:rPr>
          <w:rFonts w:eastAsiaTheme="minorHAnsi"/>
        </w:rPr>
        <w:t xml:space="preserve">In case of reductions in funding for failure to comply in accordance with paragraph 11 of the Agreement, to determine, in consultation with the Country, the allocation of the reductions to the different budget items and to the funding of the Lead IA; </w:t>
      </w:r>
    </w:p>
    <w:p w14:paraId="129896BE" w14:textId="77777777" w:rsidR="008C5479" w:rsidRPr="00CB311D" w:rsidRDefault="008C5479" w:rsidP="008C5479">
      <w:pPr>
        <w:pStyle w:val="Heading2"/>
        <w:rPr>
          <w:rFonts w:eastAsiaTheme="minorHAnsi"/>
        </w:rPr>
      </w:pPr>
      <w:r w:rsidRPr="00CB311D">
        <w:rPr>
          <w:rFonts w:eastAsiaTheme="minorHAnsi"/>
        </w:rPr>
        <w:t xml:space="preserve">Ensuring that disbursements made to the Country are based on the use of the indicators; </w:t>
      </w:r>
    </w:p>
    <w:p w14:paraId="02DBBAC3" w14:textId="77777777" w:rsidR="008C5479" w:rsidRPr="00CB311D" w:rsidRDefault="008C5479" w:rsidP="008C5479">
      <w:pPr>
        <w:pStyle w:val="Heading2"/>
        <w:rPr>
          <w:rFonts w:eastAsiaTheme="minorHAnsi"/>
        </w:rPr>
      </w:pPr>
      <w:r w:rsidRPr="00CB311D">
        <w:rPr>
          <w:rFonts w:eastAsiaTheme="minorHAnsi"/>
        </w:rPr>
        <w:t>Providing assistance with policy, management and technical support when required; and</w:t>
      </w:r>
    </w:p>
    <w:p w14:paraId="4298861C" w14:textId="77777777" w:rsidR="008C5479" w:rsidRPr="00DA5E25" w:rsidRDefault="008C5479" w:rsidP="008C5479">
      <w:pPr>
        <w:pStyle w:val="Heading2"/>
        <w:rPr>
          <w:rFonts w:eastAsiaTheme="minorHAnsi"/>
        </w:rPr>
      </w:pPr>
      <w:r w:rsidRPr="00CB311D">
        <w:rPr>
          <w:rFonts w:eastAsiaTheme="minorHAnsi"/>
        </w:rPr>
        <w:t>Timely releasing funds to the Country/participating enterprises for completing the activities related to the project.</w:t>
      </w:r>
    </w:p>
    <w:p w14:paraId="705DADA6" w14:textId="77777777" w:rsidR="008C5479" w:rsidRPr="00CB311D" w:rsidRDefault="008C5479" w:rsidP="008C5479">
      <w:pPr>
        <w:pStyle w:val="Heading1"/>
      </w:pPr>
      <w:r w:rsidRPr="00CB311D">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54DBA31A" w14:textId="77777777" w:rsidR="008C5479" w:rsidRPr="00DA5E25" w:rsidRDefault="008C5479" w:rsidP="008C5479">
      <w:pPr>
        <w:keepNext/>
        <w:spacing w:after="240"/>
        <w:rPr>
          <w:b/>
        </w:rPr>
      </w:pPr>
      <w:r w:rsidRPr="00CB311D">
        <w:rPr>
          <w:b/>
        </w:rPr>
        <w:t>APPENDIX 7-A: REDUCTIONS IN FUNDING FOR FAILURE TO COMPLY</w:t>
      </w:r>
    </w:p>
    <w:p w14:paraId="090D0892" w14:textId="77777777" w:rsidR="008C5479" w:rsidRPr="00CB311D" w:rsidRDefault="008C5479" w:rsidP="008C5479">
      <w:pPr>
        <w:pStyle w:val="Heading1"/>
        <w:numPr>
          <w:ilvl w:val="0"/>
          <w:numId w:val="39"/>
        </w:numPr>
      </w:pPr>
      <w:r w:rsidRPr="00CB311D">
        <w:t>In accordance with paragraph 11 of the Agreement, the amount of funding provided may be reduced by US $180 per ODP 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14:paraId="540E80A3" w14:textId="77777777" w:rsidR="008C5479" w:rsidRDefault="008C5479" w:rsidP="008C5479">
      <w:pPr>
        <w:pStyle w:val="Heading1"/>
      </w:pPr>
      <w:r w:rsidRPr="00CB311D">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14:paraId="4B69BE83" w14:textId="77777777" w:rsidR="008C5479" w:rsidRPr="00F076AE" w:rsidRDefault="008C5479" w:rsidP="008C5479"/>
    <w:p w14:paraId="32BE8481" w14:textId="77777777" w:rsidR="008C5479" w:rsidRDefault="008C5479" w:rsidP="000E2C9D">
      <w:pPr>
        <w:jc w:val="center"/>
        <w:rPr>
          <w:b/>
          <w:highlight w:val="cyan"/>
        </w:rPr>
      </w:pPr>
    </w:p>
    <w:p w14:paraId="51EE0554" w14:textId="77777777" w:rsidR="008C5479" w:rsidRDefault="008C5479" w:rsidP="000E2C9D">
      <w:pPr>
        <w:jc w:val="center"/>
        <w:rPr>
          <w:b/>
          <w:highlight w:val="cyan"/>
        </w:rPr>
      </w:pPr>
    </w:p>
    <w:p w14:paraId="334F57C2" w14:textId="77777777" w:rsidR="008C5479" w:rsidRDefault="008C5479" w:rsidP="000E2C9D">
      <w:pPr>
        <w:jc w:val="center"/>
        <w:rPr>
          <w:b/>
          <w:highlight w:val="cyan"/>
        </w:rPr>
        <w:sectPr w:rsidR="008C5479" w:rsidSect="008C5479">
          <w:headerReference w:type="even" r:id="rId32"/>
          <w:headerReference w:type="default" r:id="rId33"/>
          <w:footerReference w:type="even" r:id="rId34"/>
          <w:headerReference w:type="first" r:id="rId35"/>
          <w:footerReference w:type="first" r:id="rId36"/>
          <w:pgSz w:w="12240" w:h="15840" w:code="1"/>
          <w:pgMar w:top="720" w:right="1440" w:bottom="864" w:left="1440" w:header="720" w:footer="475" w:gutter="0"/>
          <w:pgNumType w:start="1"/>
          <w:cols w:space="720"/>
          <w:titlePg/>
          <w:docGrid w:linePitch="299"/>
        </w:sectPr>
      </w:pPr>
    </w:p>
    <w:p w14:paraId="05E68B11" w14:textId="77777777" w:rsidR="000E2C9D" w:rsidRPr="00756D59" w:rsidRDefault="000E2C9D" w:rsidP="000E2C9D">
      <w:pPr>
        <w:jc w:val="center"/>
        <w:rPr>
          <w:b/>
        </w:rPr>
      </w:pPr>
      <w:r w:rsidRPr="00756D59">
        <w:rPr>
          <w:b/>
        </w:rPr>
        <w:lastRenderedPageBreak/>
        <w:t xml:space="preserve">Annex </w:t>
      </w:r>
      <w:r w:rsidR="001175A4" w:rsidRPr="00756D59">
        <w:rPr>
          <w:b/>
        </w:rPr>
        <w:t>VI</w:t>
      </w:r>
      <w:r w:rsidR="00621D13">
        <w:rPr>
          <w:b/>
        </w:rPr>
        <w:t>I</w:t>
      </w:r>
    </w:p>
    <w:p w14:paraId="7871B9A1" w14:textId="77777777" w:rsidR="000E2C9D" w:rsidRPr="00756D59" w:rsidRDefault="000E2C9D" w:rsidP="000E2C9D">
      <w:pPr>
        <w:jc w:val="center"/>
        <w:rPr>
          <w:b/>
        </w:rPr>
      </w:pPr>
    </w:p>
    <w:p w14:paraId="3DEB4701" w14:textId="77777777" w:rsidR="000E2C9D" w:rsidRPr="00756D59" w:rsidRDefault="000E2C9D" w:rsidP="000E2C9D">
      <w:pPr>
        <w:jc w:val="center"/>
      </w:pPr>
      <w:r w:rsidRPr="00756D59">
        <w:rPr>
          <w:b/>
        </w:rPr>
        <w:t>REPORT ON HFC-RELATED ACTIVITIES THAT REQUIRE AN EXTENSION OF THEIR COMPLETION DATE</w:t>
      </w:r>
    </w:p>
    <w:p w14:paraId="060FD266" w14:textId="77777777" w:rsidR="000E2C9D" w:rsidRPr="00756D59" w:rsidRDefault="000E2C9D" w:rsidP="000E2C9D">
      <w:pPr>
        <w:rPr>
          <w:b/>
        </w:rPr>
      </w:pPr>
    </w:p>
    <w:tbl>
      <w:tblPr>
        <w:tblStyle w:val="TableGrid"/>
        <w:tblW w:w="14314" w:type="dxa"/>
        <w:tblLook w:val="04A0" w:firstRow="1" w:lastRow="0" w:firstColumn="1" w:lastColumn="0" w:noHBand="0" w:noVBand="1"/>
      </w:tblPr>
      <w:tblGrid>
        <w:gridCol w:w="2261"/>
        <w:gridCol w:w="3352"/>
        <w:gridCol w:w="1236"/>
        <w:gridCol w:w="1305"/>
        <w:gridCol w:w="4531"/>
        <w:gridCol w:w="1629"/>
      </w:tblGrid>
      <w:tr w:rsidR="000E2C9D" w:rsidRPr="00756D59" w14:paraId="3B18272E" w14:textId="77777777" w:rsidTr="0051060F">
        <w:trPr>
          <w:trHeight w:val="652"/>
          <w:tblHeader/>
        </w:trPr>
        <w:tc>
          <w:tcPr>
            <w:tcW w:w="2261" w:type="dxa"/>
            <w:shd w:val="clear" w:color="auto" w:fill="auto"/>
            <w:tcMar>
              <w:left w:w="58" w:type="dxa"/>
              <w:right w:w="58" w:type="dxa"/>
            </w:tcMar>
            <w:vAlign w:val="center"/>
          </w:tcPr>
          <w:p w14:paraId="28074F26" w14:textId="77777777" w:rsidR="000E2C9D" w:rsidRPr="00756D59" w:rsidRDefault="000E2C9D" w:rsidP="0051060F">
            <w:pPr>
              <w:jc w:val="center"/>
              <w:rPr>
                <w:b/>
                <w:bCs/>
                <w:sz w:val="20"/>
                <w:szCs w:val="20"/>
                <w:lang w:eastAsia="en-CA"/>
              </w:rPr>
            </w:pPr>
            <w:r w:rsidRPr="00756D59">
              <w:rPr>
                <w:b/>
                <w:bCs/>
                <w:sz w:val="20"/>
                <w:szCs w:val="20"/>
                <w:lang w:eastAsia="en-CA"/>
              </w:rPr>
              <w:t>AGENCY/Country/Code</w:t>
            </w:r>
          </w:p>
        </w:tc>
        <w:tc>
          <w:tcPr>
            <w:tcW w:w="3352" w:type="dxa"/>
            <w:shd w:val="clear" w:color="auto" w:fill="auto"/>
            <w:tcMar>
              <w:left w:w="58" w:type="dxa"/>
              <w:right w:w="58" w:type="dxa"/>
            </w:tcMar>
            <w:vAlign w:val="center"/>
          </w:tcPr>
          <w:p w14:paraId="3B743235" w14:textId="77777777" w:rsidR="000E2C9D" w:rsidRPr="00756D59" w:rsidRDefault="000E2C9D" w:rsidP="0051060F">
            <w:pPr>
              <w:jc w:val="center"/>
              <w:rPr>
                <w:b/>
                <w:bCs/>
                <w:sz w:val="20"/>
                <w:szCs w:val="20"/>
                <w:lang w:eastAsia="en-CA"/>
              </w:rPr>
            </w:pPr>
            <w:r w:rsidRPr="00756D59">
              <w:rPr>
                <w:b/>
                <w:bCs/>
                <w:sz w:val="20"/>
                <w:szCs w:val="20"/>
                <w:lang w:eastAsia="en-CA"/>
              </w:rPr>
              <w:t>Project title</w:t>
            </w:r>
          </w:p>
        </w:tc>
        <w:tc>
          <w:tcPr>
            <w:tcW w:w="1236" w:type="dxa"/>
            <w:shd w:val="clear" w:color="auto" w:fill="auto"/>
            <w:tcMar>
              <w:left w:w="58" w:type="dxa"/>
              <w:right w:w="58" w:type="dxa"/>
            </w:tcMar>
            <w:vAlign w:val="center"/>
          </w:tcPr>
          <w:p w14:paraId="73B6E714" w14:textId="77777777" w:rsidR="000E2C9D" w:rsidRPr="00756D59" w:rsidRDefault="000E2C9D" w:rsidP="0051060F">
            <w:pPr>
              <w:jc w:val="center"/>
              <w:rPr>
                <w:b/>
                <w:bCs/>
                <w:sz w:val="20"/>
                <w:szCs w:val="20"/>
                <w:lang w:eastAsia="en-CA"/>
              </w:rPr>
            </w:pPr>
            <w:r w:rsidRPr="00756D59">
              <w:rPr>
                <w:b/>
                <w:bCs/>
                <w:sz w:val="20"/>
                <w:szCs w:val="20"/>
                <w:lang w:eastAsia="en-CA"/>
              </w:rPr>
              <w:t>Date approved</w:t>
            </w:r>
          </w:p>
        </w:tc>
        <w:tc>
          <w:tcPr>
            <w:tcW w:w="1305" w:type="dxa"/>
            <w:shd w:val="clear" w:color="auto" w:fill="auto"/>
            <w:tcMar>
              <w:left w:w="58" w:type="dxa"/>
              <w:right w:w="58" w:type="dxa"/>
            </w:tcMar>
            <w:vAlign w:val="center"/>
          </w:tcPr>
          <w:p w14:paraId="4ACBE393" w14:textId="77777777" w:rsidR="000E2C9D" w:rsidRPr="00756D59" w:rsidRDefault="000E2C9D" w:rsidP="0051060F">
            <w:pPr>
              <w:jc w:val="center"/>
              <w:rPr>
                <w:b/>
                <w:bCs/>
                <w:sz w:val="20"/>
                <w:szCs w:val="20"/>
                <w:lang w:eastAsia="en-CA"/>
              </w:rPr>
            </w:pPr>
            <w:r w:rsidRPr="00756D59">
              <w:rPr>
                <w:b/>
                <w:bCs/>
                <w:sz w:val="20"/>
                <w:szCs w:val="20"/>
                <w:lang w:eastAsia="en-CA"/>
              </w:rPr>
              <w:t>Disbursement rate (%)</w:t>
            </w:r>
          </w:p>
        </w:tc>
        <w:tc>
          <w:tcPr>
            <w:tcW w:w="4531" w:type="dxa"/>
            <w:shd w:val="clear" w:color="auto" w:fill="auto"/>
            <w:tcMar>
              <w:left w:w="58" w:type="dxa"/>
              <w:right w:w="58" w:type="dxa"/>
            </w:tcMar>
            <w:vAlign w:val="center"/>
          </w:tcPr>
          <w:p w14:paraId="0AE65B3E" w14:textId="77777777" w:rsidR="000E2C9D" w:rsidRPr="00756D59" w:rsidRDefault="000E2C9D" w:rsidP="0051060F">
            <w:pPr>
              <w:jc w:val="center"/>
              <w:rPr>
                <w:b/>
                <w:bCs/>
                <w:sz w:val="20"/>
                <w:szCs w:val="20"/>
                <w:lang w:eastAsia="en-CA"/>
              </w:rPr>
            </w:pPr>
            <w:r w:rsidRPr="00756D59">
              <w:rPr>
                <w:b/>
                <w:bCs/>
                <w:sz w:val="20"/>
                <w:szCs w:val="20"/>
                <w:lang w:eastAsia="en-CA"/>
              </w:rPr>
              <w:t>Activities to be completed by revised completion date</w:t>
            </w:r>
          </w:p>
        </w:tc>
        <w:tc>
          <w:tcPr>
            <w:tcW w:w="1629" w:type="dxa"/>
            <w:shd w:val="clear" w:color="auto" w:fill="auto"/>
            <w:tcMar>
              <w:left w:w="58" w:type="dxa"/>
              <w:right w:w="58" w:type="dxa"/>
            </w:tcMar>
            <w:vAlign w:val="center"/>
          </w:tcPr>
          <w:p w14:paraId="42470F06" w14:textId="77777777" w:rsidR="000E2C9D" w:rsidRPr="00756D59" w:rsidRDefault="000E2C9D" w:rsidP="0051060F">
            <w:pPr>
              <w:jc w:val="center"/>
              <w:rPr>
                <w:b/>
                <w:bCs/>
                <w:sz w:val="20"/>
                <w:szCs w:val="20"/>
                <w:lang w:eastAsia="en-CA"/>
              </w:rPr>
            </w:pPr>
            <w:r w:rsidRPr="00756D59">
              <w:rPr>
                <w:b/>
                <w:bCs/>
                <w:sz w:val="20"/>
                <w:szCs w:val="20"/>
                <w:lang w:eastAsia="en-CA"/>
              </w:rPr>
              <w:t>Proposed revised completion date (month/year)</w:t>
            </w:r>
          </w:p>
        </w:tc>
      </w:tr>
      <w:tr w:rsidR="000E2C9D" w:rsidRPr="00756D59" w14:paraId="267E2DF8" w14:textId="77777777" w:rsidTr="0051060F">
        <w:trPr>
          <w:trHeight w:val="190"/>
        </w:trPr>
        <w:tc>
          <w:tcPr>
            <w:tcW w:w="2261" w:type="dxa"/>
            <w:shd w:val="clear" w:color="auto" w:fill="auto"/>
            <w:tcMar>
              <w:left w:w="58" w:type="dxa"/>
              <w:right w:w="58" w:type="dxa"/>
            </w:tcMar>
          </w:tcPr>
          <w:p w14:paraId="28A3ECEC" w14:textId="77777777" w:rsidR="000E2C9D" w:rsidRPr="00756D59" w:rsidRDefault="000E2C9D" w:rsidP="0051060F">
            <w:pPr>
              <w:spacing w:after="60"/>
              <w:rPr>
                <w:lang w:eastAsia="en-CA"/>
              </w:rPr>
            </w:pPr>
            <w:r w:rsidRPr="00756D59">
              <w:rPr>
                <w:b/>
              </w:rPr>
              <w:t>CANADA</w:t>
            </w:r>
          </w:p>
        </w:tc>
        <w:tc>
          <w:tcPr>
            <w:tcW w:w="3352" w:type="dxa"/>
            <w:shd w:val="clear" w:color="auto" w:fill="auto"/>
            <w:tcMar>
              <w:left w:w="58" w:type="dxa"/>
              <w:right w:w="58" w:type="dxa"/>
            </w:tcMar>
          </w:tcPr>
          <w:p w14:paraId="33C4F213" w14:textId="77777777" w:rsidR="000E2C9D" w:rsidRPr="00756D59" w:rsidRDefault="000E2C9D" w:rsidP="0051060F">
            <w:pPr>
              <w:jc w:val="left"/>
              <w:rPr>
                <w:sz w:val="20"/>
                <w:szCs w:val="20"/>
                <w:lang w:eastAsia="en-CA"/>
              </w:rPr>
            </w:pPr>
          </w:p>
        </w:tc>
        <w:tc>
          <w:tcPr>
            <w:tcW w:w="1236" w:type="dxa"/>
            <w:shd w:val="clear" w:color="auto" w:fill="auto"/>
            <w:tcMar>
              <w:left w:w="58" w:type="dxa"/>
              <w:right w:w="58" w:type="dxa"/>
            </w:tcMar>
          </w:tcPr>
          <w:p w14:paraId="2587A2AA" w14:textId="77777777" w:rsidR="000E2C9D" w:rsidRPr="00756D59" w:rsidRDefault="000E2C9D" w:rsidP="0051060F">
            <w:pPr>
              <w:jc w:val="center"/>
              <w:rPr>
                <w:sz w:val="20"/>
                <w:szCs w:val="20"/>
                <w:lang w:eastAsia="en-CA"/>
              </w:rPr>
            </w:pPr>
          </w:p>
        </w:tc>
        <w:tc>
          <w:tcPr>
            <w:tcW w:w="1305" w:type="dxa"/>
            <w:shd w:val="clear" w:color="auto" w:fill="auto"/>
            <w:tcMar>
              <w:left w:w="58" w:type="dxa"/>
              <w:right w:w="58" w:type="dxa"/>
            </w:tcMar>
          </w:tcPr>
          <w:p w14:paraId="5F780C7A" w14:textId="77777777" w:rsidR="000E2C9D" w:rsidRPr="00756D59" w:rsidRDefault="000E2C9D" w:rsidP="0051060F">
            <w:pPr>
              <w:jc w:val="center"/>
              <w:rPr>
                <w:sz w:val="20"/>
                <w:szCs w:val="20"/>
                <w:lang w:eastAsia="en-CA"/>
              </w:rPr>
            </w:pPr>
          </w:p>
        </w:tc>
        <w:tc>
          <w:tcPr>
            <w:tcW w:w="4531" w:type="dxa"/>
            <w:shd w:val="clear" w:color="auto" w:fill="auto"/>
            <w:tcMar>
              <w:left w:w="58" w:type="dxa"/>
              <w:right w:w="58" w:type="dxa"/>
            </w:tcMar>
          </w:tcPr>
          <w:p w14:paraId="1B83916B" w14:textId="77777777" w:rsidR="000E2C9D" w:rsidRPr="00756D59" w:rsidRDefault="000E2C9D" w:rsidP="0051060F">
            <w:pPr>
              <w:jc w:val="left"/>
              <w:rPr>
                <w:sz w:val="20"/>
                <w:szCs w:val="20"/>
                <w:lang w:eastAsia="en-CA"/>
              </w:rPr>
            </w:pPr>
          </w:p>
        </w:tc>
        <w:tc>
          <w:tcPr>
            <w:tcW w:w="1629" w:type="dxa"/>
            <w:shd w:val="clear" w:color="auto" w:fill="auto"/>
            <w:tcMar>
              <w:left w:w="58" w:type="dxa"/>
              <w:right w:w="58" w:type="dxa"/>
            </w:tcMar>
          </w:tcPr>
          <w:p w14:paraId="216E7B55" w14:textId="77777777" w:rsidR="000E2C9D" w:rsidRPr="00756D59" w:rsidRDefault="000E2C9D" w:rsidP="0051060F">
            <w:pPr>
              <w:jc w:val="center"/>
              <w:rPr>
                <w:sz w:val="20"/>
                <w:szCs w:val="20"/>
                <w:lang w:eastAsia="en-CA"/>
              </w:rPr>
            </w:pPr>
          </w:p>
        </w:tc>
      </w:tr>
      <w:tr w:rsidR="000E2C9D" w:rsidRPr="00756D59" w14:paraId="767DB91E" w14:textId="77777777" w:rsidTr="0051060F">
        <w:trPr>
          <w:trHeight w:val="453"/>
        </w:trPr>
        <w:tc>
          <w:tcPr>
            <w:tcW w:w="2261" w:type="dxa"/>
            <w:shd w:val="clear" w:color="auto" w:fill="auto"/>
            <w:tcMar>
              <w:left w:w="58" w:type="dxa"/>
              <w:right w:w="58" w:type="dxa"/>
            </w:tcMar>
          </w:tcPr>
          <w:p w14:paraId="51B63E83" w14:textId="77777777" w:rsidR="000E2C9D" w:rsidRPr="00756D59" w:rsidRDefault="000E2C9D" w:rsidP="0051060F">
            <w:pPr>
              <w:jc w:val="left"/>
              <w:rPr>
                <w:sz w:val="20"/>
                <w:szCs w:val="20"/>
                <w:lang w:eastAsia="en-CA"/>
              </w:rPr>
            </w:pPr>
            <w:r w:rsidRPr="00756D59">
              <w:rPr>
                <w:sz w:val="20"/>
                <w:szCs w:val="20"/>
                <w:lang w:eastAsia="en-CA"/>
              </w:rPr>
              <w:t>Bangladesh</w:t>
            </w:r>
          </w:p>
          <w:p w14:paraId="57890300" w14:textId="77777777" w:rsidR="000E2C9D" w:rsidRPr="00756D59" w:rsidRDefault="000E2C9D" w:rsidP="0051060F">
            <w:pPr>
              <w:jc w:val="left"/>
              <w:rPr>
                <w:sz w:val="20"/>
                <w:szCs w:val="20"/>
                <w:lang w:eastAsia="en-CA"/>
              </w:rPr>
            </w:pPr>
            <w:r w:rsidRPr="00756D59">
              <w:rPr>
                <w:sz w:val="20"/>
                <w:szCs w:val="20"/>
                <w:lang w:eastAsia="en-CA"/>
              </w:rPr>
              <w:t>BGD/SEV/81/TAS/53</w:t>
            </w:r>
          </w:p>
        </w:tc>
        <w:tc>
          <w:tcPr>
            <w:tcW w:w="3352" w:type="dxa"/>
            <w:shd w:val="clear" w:color="auto" w:fill="auto"/>
            <w:tcMar>
              <w:left w:w="58" w:type="dxa"/>
              <w:right w:w="58" w:type="dxa"/>
            </w:tcMar>
          </w:tcPr>
          <w:p w14:paraId="3E4507EB"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794D91F1"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FE4C702" w14:textId="77777777" w:rsidR="000E2C9D" w:rsidRPr="00756D59" w:rsidRDefault="000E2C9D" w:rsidP="0051060F">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76B36653" w14:textId="77777777" w:rsidR="000E2C9D" w:rsidRPr="00756D59" w:rsidRDefault="000E2C9D" w:rsidP="0051060F">
            <w:pPr>
              <w:jc w:val="left"/>
              <w:rPr>
                <w:sz w:val="20"/>
                <w:szCs w:val="20"/>
                <w:lang w:eastAsia="en-CA"/>
              </w:rPr>
            </w:pPr>
            <w:r w:rsidRPr="00756D59">
              <w:rPr>
                <w:sz w:val="20"/>
                <w:szCs w:val="20"/>
                <w:lang w:eastAsia="en-CA"/>
              </w:rPr>
              <w:t>To complete remaining activities under UNDP component.</w:t>
            </w:r>
          </w:p>
        </w:tc>
        <w:tc>
          <w:tcPr>
            <w:tcW w:w="1629" w:type="dxa"/>
            <w:shd w:val="clear" w:color="auto" w:fill="auto"/>
            <w:tcMar>
              <w:left w:w="58" w:type="dxa"/>
              <w:right w:w="58" w:type="dxa"/>
            </w:tcMar>
          </w:tcPr>
          <w:p w14:paraId="5B696CBF" w14:textId="77777777" w:rsidR="000E2C9D" w:rsidRPr="00756D59" w:rsidRDefault="000E2C9D" w:rsidP="0051060F">
            <w:pPr>
              <w:jc w:val="center"/>
              <w:rPr>
                <w:sz w:val="20"/>
                <w:szCs w:val="20"/>
                <w:lang w:eastAsia="en-CA"/>
              </w:rPr>
            </w:pPr>
            <w:r w:rsidRPr="00756D59">
              <w:rPr>
                <w:sz w:val="20"/>
                <w:szCs w:val="20"/>
                <w:lang w:eastAsia="en-CA"/>
              </w:rPr>
              <w:t>Jun-22</w:t>
            </w:r>
          </w:p>
        </w:tc>
      </w:tr>
      <w:tr w:rsidR="000E2C9D" w:rsidRPr="00756D59" w14:paraId="01768A70" w14:textId="77777777" w:rsidTr="0051060F">
        <w:trPr>
          <w:trHeight w:val="704"/>
        </w:trPr>
        <w:tc>
          <w:tcPr>
            <w:tcW w:w="2261" w:type="dxa"/>
            <w:shd w:val="clear" w:color="auto" w:fill="auto"/>
            <w:tcMar>
              <w:left w:w="58" w:type="dxa"/>
              <w:right w:w="58" w:type="dxa"/>
            </w:tcMar>
          </w:tcPr>
          <w:p w14:paraId="5033BD04" w14:textId="77777777" w:rsidR="000E2C9D" w:rsidRPr="00756D59" w:rsidRDefault="000E2C9D" w:rsidP="0051060F">
            <w:pPr>
              <w:jc w:val="left"/>
              <w:rPr>
                <w:sz w:val="20"/>
                <w:szCs w:val="20"/>
                <w:lang w:eastAsia="en-CA"/>
              </w:rPr>
            </w:pPr>
            <w:r w:rsidRPr="00756D59">
              <w:rPr>
                <w:sz w:val="20"/>
                <w:szCs w:val="20"/>
                <w:lang w:eastAsia="en-CA"/>
              </w:rPr>
              <w:t>Cuba</w:t>
            </w:r>
          </w:p>
          <w:p w14:paraId="6BE72BE0" w14:textId="77777777" w:rsidR="000E2C9D" w:rsidRPr="00756D59" w:rsidRDefault="000E2C9D" w:rsidP="0051060F">
            <w:pPr>
              <w:jc w:val="left"/>
              <w:rPr>
                <w:sz w:val="20"/>
                <w:szCs w:val="20"/>
                <w:lang w:eastAsia="en-CA"/>
              </w:rPr>
            </w:pPr>
            <w:r w:rsidRPr="00756D59">
              <w:rPr>
                <w:sz w:val="20"/>
                <w:szCs w:val="20"/>
                <w:lang w:eastAsia="en-CA"/>
              </w:rPr>
              <w:t>CUB/SEV/81/TAS/58</w:t>
            </w:r>
          </w:p>
        </w:tc>
        <w:tc>
          <w:tcPr>
            <w:tcW w:w="3352" w:type="dxa"/>
            <w:shd w:val="clear" w:color="auto" w:fill="auto"/>
            <w:tcMar>
              <w:left w:w="58" w:type="dxa"/>
              <w:right w:w="58" w:type="dxa"/>
            </w:tcMar>
          </w:tcPr>
          <w:p w14:paraId="1E8B2005"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5A582C2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3A34AFC" w14:textId="77777777" w:rsidR="000E2C9D" w:rsidRPr="00756D59" w:rsidRDefault="000E2C9D" w:rsidP="0051060F">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2A806576" w14:textId="77777777" w:rsidR="000E2C9D" w:rsidRPr="00756D59" w:rsidRDefault="000E2C9D" w:rsidP="0051060F">
            <w:pPr>
              <w:jc w:val="left"/>
              <w:rPr>
                <w:sz w:val="20"/>
                <w:szCs w:val="20"/>
                <w:lang w:eastAsia="en-CA"/>
              </w:rPr>
            </w:pPr>
            <w:r w:rsidRPr="00756D59">
              <w:rPr>
                <w:sz w:val="20"/>
                <w:szCs w:val="20"/>
                <w:lang w:eastAsia="en-CA"/>
              </w:rPr>
              <w:t>Workshop to present the draft national strategy for phasing down HFCs to stakeholders and distribution of promotional material.</w:t>
            </w:r>
          </w:p>
        </w:tc>
        <w:tc>
          <w:tcPr>
            <w:tcW w:w="1629" w:type="dxa"/>
            <w:shd w:val="clear" w:color="auto" w:fill="auto"/>
            <w:tcMar>
              <w:left w:w="58" w:type="dxa"/>
              <w:right w:w="58" w:type="dxa"/>
            </w:tcMar>
          </w:tcPr>
          <w:p w14:paraId="1AC13763"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6DF8A555" w14:textId="77777777" w:rsidTr="0051060F">
        <w:trPr>
          <w:trHeight w:val="625"/>
        </w:trPr>
        <w:tc>
          <w:tcPr>
            <w:tcW w:w="2261" w:type="dxa"/>
            <w:shd w:val="clear" w:color="auto" w:fill="auto"/>
            <w:tcMar>
              <w:left w:w="58" w:type="dxa"/>
              <w:right w:w="58" w:type="dxa"/>
            </w:tcMar>
          </w:tcPr>
          <w:p w14:paraId="3BA9AA61" w14:textId="77777777" w:rsidR="000E2C9D" w:rsidRPr="00756D59" w:rsidRDefault="000E2C9D" w:rsidP="0051060F">
            <w:pPr>
              <w:jc w:val="left"/>
              <w:rPr>
                <w:sz w:val="20"/>
                <w:szCs w:val="20"/>
                <w:lang w:val="es-419" w:eastAsia="en-CA"/>
              </w:rPr>
            </w:pPr>
            <w:r w:rsidRPr="00756D59">
              <w:rPr>
                <w:sz w:val="20"/>
                <w:szCs w:val="20"/>
                <w:lang w:val="es-419" w:eastAsia="en-CA"/>
              </w:rPr>
              <w:t xml:space="preserve">El Salvador </w:t>
            </w:r>
          </w:p>
          <w:p w14:paraId="76FA0DD9" w14:textId="77777777" w:rsidR="000E2C9D" w:rsidRPr="00756D59" w:rsidRDefault="000E2C9D" w:rsidP="0051060F">
            <w:pPr>
              <w:jc w:val="left"/>
              <w:rPr>
                <w:sz w:val="20"/>
                <w:szCs w:val="20"/>
                <w:lang w:val="es-419" w:eastAsia="en-CA"/>
              </w:rPr>
            </w:pPr>
            <w:r w:rsidRPr="00756D59">
              <w:rPr>
                <w:sz w:val="20"/>
                <w:szCs w:val="20"/>
                <w:lang w:val="es-419" w:eastAsia="en-CA"/>
              </w:rPr>
              <w:t>ELS/SEV/81/TAS/38</w:t>
            </w:r>
          </w:p>
        </w:tc>
        <w:tc>
          <w:tcPr>
            <w:tcW w:w="3352" w:type="dxa"/>
            <w:shd w:val="clear" w:color="auto" w:fill="auto"/>
            <w:tcMar>
              <w:left w:w="58" w:type="dxa"/>
              <w:right w:w="58" w:type="dxa"/>
            </w:tcMar>
          </w:tcPr>
          <w:p w14:paraId="71F2357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73FAFFC2"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F329F59" w14:textId="77777777" w:rsidR="000E2C9D" w:rsidRPr="00756D59" w:rsidRDefault="000E2C9D" w:rsidP="0051060F">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54180C7F" w14:textId="77777777" w:rsidR="000E2C9D" w:rsidRPr="00756D59" w:rsidRDefault="000E2C9D" w:rsidP="0051060F">
            <w:pPr>
              <w:jc w:val="left"/>
              <w:rPr>
                <w:sz w:val="20"/>
                <w:szCs w:val="20"/>
                <w:lang w:eastAsia="en-CA"/>
              </w:rPr>
            </w:pPr>
            <w:r w:rsidRPr="00756D59">
              <w:rPr>
                <w:sz w:val="20"/>
                <w:szCs w:val="20"/>
                <w:lang w:eastAsia="en-CA"/>
              </w:rPr>
              <w:t>Finalization of the draft national strategy for phasing down HFCs including assessment of the servicing sector needs; and distribution of promotional material.</w:t>
            </w:r>
          </w:p>
        </w:tc>
        <w:tc>
          <w:tcPr>
            <w:tcW w:w="1629" w:type="dxa"/>
            <w:shd w:val="clear" w:color="auto" w:fill="auto"/>
            <w:tcMar>
              <w:left w:w="58" w:type="dxa"/>
              <w:right w:w="58" w:type="dxa"/>
            </w:tcMar>
          </w:tcPr>
          <w:p w14:paraId="39A44505"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03D18964" w14:textId="77777777" w:rsidTr="0051060F">
        <w:trPr>
          <w:trHeight w:val="965"/>
        </w:trPr>
        <w:tc>
          <w:tcPr>
            <w:tcW w:w="2261" w:type="dxa"/>
            <w:shd w:val="clear" w:color="auto" w:fill="auto"/>
            <w:tcMar>
              <w:left w:w="58" w:type="dxa"/>
              <w:right w:w="58" w:type="dxa"/>
            </w:tcMar>
          </w:tcPr>
          <w:p w14:paraId="76EBA9E2" w14:textId="77777777" w:rsidR="000E2C9D" w:rsidRPr="00756D59" w:rsidRDefault="000E2C9D" w:rsidP="0051060F">
            <w:pPr>
              <w:jc w:val="left"/>
              <w:rPr>
                <w:sz w:val="20"/>
                <w:szCs w:val="20"/>
                <w:lang w:eastAsia="en-CA"/>
              </w:rPr>
            </w:pPr>
            <w:r w:rsidRPr="00756D59">
              <w:rPr>
                <w:sz w:val="20"/>
                <w:szCs w:val="20"/>
                <w:lang w:eastAsia="en-CA"/>
              </w:rPr>
              <w:t xml:space="preserve">Panama </w:t>
            </w:r>
          </w:p>
          <w:p w14:paraId="49E1349E" w14:textId="77777777" w:rsidR="000E2C9D" w:rsidRPr="00756D59" w:rsidRDefault="000E2C9D" w:rsidP="0051060F">
            <w:pPr>
              <w:jc w:val="left"/>
              <w:rPr>
                <w:sz w:val="20"/>
                <w:szCs w:val="20"/>
                <w:lang w:eastAsia="en-CA"/>
              </w:rPr>
            </w:pPr>
            <w:r w:rsidRPr="00756D59">
              <w:rPr>
                <w:sz w:val="20"/>
                <w:szCs w:val="20"/>
                <w:lang w:eastAsia="en-CA"/>
              </w:rPr>
              <w:t>PAN/SEV/81/TAS/47</w:t>
            </w:r>
          </w:p>
        </w:tc>
        <w:tc>
          <w:tcPr>
            <w:tcW w:w="3352" w:type="dxa"/>
            <w:shd w:val="clear" w:color="auto" w:fill="auto"/>
            <w:tcMar>
              <w:left w:w="58" w:type="dxa"/>
              <w:right w:w="58" w:type="dxa"/>
            </w:tcMar>
          </w:tcPr>
          <w:p w14:paraId="5FAC726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75AEC86A"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D4B7E46" w14:textId="77777777" w:rsidR="000E2C9D" w:rsidRPr="00756D59" w:rsidRDefault="000E2C9D" w:rsidP="0051060F">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64380F55" w14:textId="77777777" w:rsidR="000E2C9D" w:rsidRPr="00756D59" w:rsidRDefault="000E2C9D" w:rsidP="0051060F">
            <w:pPr>
              <w:jc w:val="left"/>
              <w:rPr>
                <w:sz w:val="20"/>
                <w:szCs w:val="20"/>
                <w:lang w:eastAsia="en-CA"/>
              </w:rPr>
            </w:pPr>
            <w:r w:rsidRPr="00756D59">
              <w:rPr>
                <w:sz w:val="20"/>
                <w:szCs w:val="20"/>
                <w:lang w:eastAsia="en-CA"/>
              </w:rPr>
              <w:t>Conducting a multisectoral coordination group meeting to present the draft national strategy for phasing down HFCs to stakeholders; and distribution of promotional material.</w:t>
            </w:r>
          </w:p>
        </w:tc>
        <w:tc>
          <w:tcPr>
            <w:tcW w:w="1629" w:type="dxa"/>
            <w:shd w:val="clear" w:color="auto" w:fill="auto"/>
            <w:tcMar>
              <w:left w:w="58" w:type="dxa"/>
              <w:right w:w="58" w:type="dxa"/>
            </w:tcMar>
          </w:tcPr>
          <w:p w14:paraId="55B109CB" w14:textId="77777777" w:rsidR="000E2C9D" w:rsidRPr="00756D59" w:rsidRDefault="000E2C9D" w:rsidP="0051060F">
            <w:pPr>
              <w:jc w:val="center"/>
              <w:rPr>
                <w:sz w:val="20"/>
                <w:szCs w:val="20"/>
                <w:lang w:eastAsia="en-CA"/>
              </w:rPr>
            </w:pPr>
            <w:r w:rsidRPr="00756D59">
              <w:rPr>
                <w:sz w:val="20"/>
                <w:szCs w:val="20"/>
                <w:lang w:eastAsia="en-CA"/>
              </w:rPr>
              <w:t>Sep-21</w:t>
            </w:r>
          </w:p>
        </w:tc>
      </w:tr>
      <w:tr w:rsidR="000E2C9D" w:rsidRPr="00756D59" w14:paraId="73EA06F0" w14:textId="77777777" w:rsidTr="0051060F">
        <w:trPr>
          <w:trHeight w:val="256"/>
        </w:trPr>
        <w:tc>
          <w:tcPr>
            <w:tcW w:w="2261" w:type="dxa"/>
            <w:tcMar>
              <w:left w:w="58" w:type="dxa"/>
              <w:right w:w="58" w:type="dxa"/>
            </w:tcMar>
          </w:tcPr>
          <w:p w14:paraId="1890703C" w14:textId="77777777" w:rsidR="000E2C9D" w:rsidRPr="00756D59" w:rsidRDefault="000E2C9D" w:rsidP="0051060F">
            <w:pPr>
              <w:spacing w:after="60"/>
              <w:jc w:val="left"/>
              <w:rPr>
                <w:bCs/>
                <w:lang w:eastAsia="en-CA"/>
              </w:rPr>
            </w:pPr>
            <w:r w:rsidRPr="00756D59">
              <w:rPr>
                <w:b/>
              </w:rPr>
              <w:t>FRANCE</w:t>
            </w:r>
          </w:p>
        </w:tc>
        <w:tc>
          <w:tcPr>
            <w:tcW w:w="3352" w:type="dxa"/>
            <w:tcMar>
              <w:left w:w="58" w:type="dxa"/>
              <w:right w:w="58" w:type="dxa"/>
            </w:tcMar>
          </w:tcPr>
          <w:p w14:paraId="782E7C65" w14:textId="77777777" w:rsidR="000E2C9D" w:rsidRPr="00756D59" w:rsidRDefault="000E2C9D" w:rsidP="0051060F">
            <w:pPr>
              <w:jc w:val="left"/>
              <w:rPr>
                <w:bCs/>
                <w:sz w:val="20"/>
                <w:szCs w:val="20"/>
                <w:lang w:eastAsia="en-CA"/>
              </w:rPr>
            </w:pPr>
          </w:p>
        </w:tc>
        <w:tc>
          <w:tcPr>
            <w:tcW w:w="1236" w:type="dxa"/>
            <w:tcMar>
              <w:left w:w="58" w:type="dxa"/>
              <w:right w:w="58" w:type="dxa"/>
            </w:tcMar>
          </w:tcPr>
          <w:p w14:paraId="2A671D4A" w14:textId="77777777" w:rsidR="000E2C9D" w:rsidRPr="00756D59" w:rsidRDefault="000E2C9D" w:rsidP="0051060F">
            <w:pPr>
              <w:jc w:val="center"/>
              <w:rPr>
                <w:bCs/>
                <w:sz w:val="20"/>
                <w:szCs w:val="20"/>
                <w:lang w:eastAsia="en-CA"/>
              </w:rPr>
            </w:pPr>
          </w:p>
        </w:tc>
        <w:tc>
          <w:tcPr>
            <w:tcW w:w="1305" w:type="dxa"/>
            <w:shd w:val="clear" w:color="auto" w:fill="auto"/>
            <w:tcMar>
              <w:left w:w="58" w:type="dxa"/>
              <w:right w:w="58" w:type="dxa"/>
            </w:tcMar>
          </w:tcPr>
          <w:p w14:paraId="50DB5741" w14:textId="77777777" w:rsidR="000E2C9D" w:rsidRPr="00756D59" w:rsidRDefault="000E2C9D" w:rsidP="0051060F">
            <w:pPr>
              <w:jc w:val="center"/>
              <w:rPr>
                <w:bCs/>
                <w:sz w:val="20"/>
                <w:szCs w:val="20"/>
                <w:lang w:eastAsia="en-CA"/>
              </w:rPr>
            </w:pPr>
          </w:p>
        </w:tc>
        <w:tc>
          <w:tcPr>
            <w:tcW w:w="4531" w:type="dxa"/>
            <w:tcMar>
              <w:left w:w="58" w:type="dxa"/>
              <w:right w:w="58" w:type="dxa"/>
            </w:tcMar>
          </w:tcPr>
          <w:p w14:paraId="09AF3B5F" w14:textId="77777777" w:rsidR="000E2C9D" w:rsidRPr="00756D59" w:rsidRDefault="000E2C9D" w:rsidP="0051060F">
            <w:pPr>
              <w:jc w:val="left"/>
              <w:rPr>
                <w:bCs/>
                <w:sz w:val="20"/>
                <w:szCs w:val="20"/>
                <w:lang w:eastAsia="en-CA"/>
              </w:rPr>
            </w:pPr>
          </w:p>
        </w:tc>
        <w:tc>
          <w:tcPr>
            <w:tcW w:w="1629" w:type="dxa"/>
            <w:shd w:val="clear" w:color="auto" w:fill="auto"/>
            <w:tcMar>
              <w:left w:w="58" w:type="dxa"/>
              <w:right w:w="58" w:type="dxa"/>
            </w:tcMar>
          </w:tcPr>
          <w:p w14:paraId="22856E6D" w14:textId="77777777" w:rsidR="000E2C9D" w:rsidRPr="00756D59" w:rsidRDefault="000E2C9D" w:rsidP="0051060F">
            <w:pPr>
              <w:jc w:val="center"/>
              <w:rPr>
                <w:bCs/>
                <w:sz w:val="20"/>
                <w:szCs w:val="20"/>
                <w:lang w:eastAsia="en-CA"/>
              </w:rPr>
            </w:pPr>
          </w:p>
        </w:tc>
      </w:tr>
      <w:tr w:rsidR="000E2C9D" w:rsidRPr="00756D59" w14:paraId="7420A974" w14:textId="77777777" w:rsidTr="0051060F">
        <w:trPr>
          <w:trHeight w:val="1158"/>
        </w:trPr>
        <w:tc>
          <w:tcPr>
            <w:tcW w:w="2261" w:type="dxa"/>
            <w:tcMar>
              <w:left w:w="58" w:type="dxa"/>
              <w:right w:w="58" w:type="dxa"/>
            </w:tcMar>
          </w:tcPr>
          <w:p w14:paraId="74191FFE" w14:textId="77777777" w:rsidR="000E2C9D" w:rsidRPr="00756D59" w:rsidRDefault="000E2C9D" w:rsidP="0051060F">
            <w:pPr>
              <w:jc w:val="left"/>
              <w:rPr>
                <w:bCs/>
                <w:sz w:val="20"/>
                <w:szCs w:val="20"/>
                <w:lang w:eastAsia="en-CA"/>
              </w:rPr>
            </w:pPr>
            <w:r w:rsidRPr="00756D59">
              <w:rPr>
                <w:bCs/>
                <w:sz w:val="20"/>
                <w:szCs w:val="20"/>
                <w:lang w:eastAsia="en-CA"/>
              </w:rPr>
              <w:t>Zimbabwe</w:t>
            </w:r>
          </w:p>
          <w:p w14:paraId="02ED4864" w14:textId="77777777" w:rsidR="000E2C9D" w:rsidRPr="00756D59" w:rsidRDefault="000E2C9D" w:rsidP="0051060F">
            <w:pPr>
              <w:jc w:val="left"/>
              <w:rPr>
                <w:bCs/>
                <w:sz w:val="20"/>
                <w:szCs w:val="20"/>
                <w:lang w:eastAsia="en-CA"/>
              </w:rPr>
            </w:pPr>
            <w:r w:rsidRPr="00756D59">
              <w:rPr>
                <w:bCs/>
                <w:sz w:val="20"/>
                <w:szCs w:val="20"/>
                <w:lang w:eastAsia="en-CA"/>
              </w:rPr>
              <w:t>ZIM/REF/82/INV/56</w:t>
            </w:r>
          </w:p>
        </w:tc>
        <w:tc>
          <w:tcPr>
            <w:tcW w:w="3352" w:type="dxa"/>
            <w:tcMar>
              <w:left w:w="58" w:type="dxa"/>
              <w:right w:w="58" w:type="dxa"/>
            </w:tcMar>
          </w:tcPr>
          <w:p w14:paraId="63FED435" w14:textId="77777777" w:rsidR="000E2C9D" w:rsidRPr="00756D59" w:rsidRDefault="000E2C9D" w:rsidP="0051060F">
            <w:pPr>
              <w:jc w:val="left"/>
              <w:rPr>
                <w:bCs/>
                <w:sz w:val="20"/>
                <w:szCs w:val="20"/>
                <w:lang w:eastAsia="en-CA"/>
              </w:rPr>
            </w:pPr>
            <w:r w:rsidRPr="00756D59">
              <w:rPr>
                <w:bCs/>
                <w:sz w:val="20"/>
                <w:szCs w:val="20"/>
                <w:lang w:eastAsia="en-CA"/>
              </w:rPr>
              <w:t>Conversion from HFC-134a to isobutane in the manufacture of domestic refrigerators at Capri (SME Harare)</w:t>
            </w:r>
          </w:p>
        </w:tc>
        <w:tc>
          <w:tcPr>
            <w:tcW w:w="1236" w:type="dxa"/>
            <w:tcMar>
              <w:left w:w="58" w:type="dxa"/>
              <w:right w:w="58" w:type="dxa"/>
            </w:tcMar>
          </w:tcPr>
          <w:p w14:paraId="421FD1B8" w14:textId="77777777" w:rsidR="000E2C9D" w:rsidRPr="00756D59" w:rsidRDefault="000E2C9D" w:rsidP="0051060F">
            <w:pPr>
              <w:jc w:val="center"/>
              <w:rPr>
                <w:bCs/>
                <w:sz w:val="20"/>
                <w:szCs w:val="20"/>
                <w:lang w:eastAsia="en-CA"/>
              </w:rPr>
            </w:pPr>
            <w:r w:rsidRPr="00756D59">
              <w:rPr>
                <w:bCs/>
                <w:sz w:val="20"/>
                <w:szCs w:val="20"/>
                <w:lang w:eastAsia="en-CA"/>
              </w:rPr>
              <w:t>Dec-18</w:t>
            </w:r>
          </w:p>
        </w:tc>
        <w:tc>
          <w:tcPr>
            <w:tcW w:w="1305" w:type="dxa"/>
            <w:shd w:val="clear" w:color="auto" w:fill="auto"/>
            <w:tcMar>
              <w:left w:w="58" w:type="dxa"/>
              <w:right w:w="58" w:type="dxa"/>
            </w:tcMar>
          </w:tcPr>
          <w:p w14:paraId="59BD4FDE" w14:textId="77777777" w:rsidR="000E2C9D" w:rsidRPr="00756D59" w:rsidRDefault="000E2C9D" w:rsidP="0051060F">
            <w:pPr>
              <w:jc w:val="center"/>
              <w:rPr>
                <w:sz w:val="20"/>
                <w:szCs w:val="20"/>
                <w:lang w:eastAsia="en-CA"/>
              </w:rPr>
            </w:pPr>
            <w:r w:rsidRPr="00756D59">
              <w:rPr>
                <w:sz w:val="20"/>
                <w:szCs w:val="20"/>
                <w:lang w:eastAsia="en-CA"/>
              </w:rPr>
              <w:t>0</w:t>
            </w:r>
          </w:p>
        </w:tc>
        <w:tc>
          <w:tcPr>
            <w:tcW w:w="4531" w:type="dxa"/>
            <w:tcMar>
              <w:left w:w="58" w:type="dxa"/>
              <w:right w:w="58" w:type="dxa"/>
            </w:tcMar>
          </w:tcPr>
          <w:p w14:paraId="4EADD130" w14:textId="77777777" w:rsidR="000E2C9D" w:rsidRPr="00756D59" w:rsidRDefault="000E2C9D" w:rsidP="0051060F">
            <w:pPr>
              <w:jc w:val="left"/>
              <w:rPr>
                <w:bCs/>
                <w:sz w:val="20"/>
                <w:szCs w:val="20"/>
                <w:lang w:eastAsia="en-CA"/>
              </w:rPr>
            </w:pPr>
            <w:r w:rsidRPr="00756D59">
              <w:rPr>
                <w:bCs/>
                <w:sz w:val="20"/>
                <w:szCs w:val="20"/>
                <w:lang w:eastAsia="en-CA"/>
              </w:rPr>
              <w:t>Finalization of co-financing required for the beneficiary enterprise to implement the project.</w:t>
            </w:r>
            <w:r w:rsidRPr="00756D59">
              <w:rPr>
                <w:sz w:val="20"/>
                <w:szCs w:val="20"/>
              </w:rPr>
              <w:t xml:space="preserve"> </w:t>
            </w:r>
            <w:r w:rsidRPr="00756D59">
              <w:rPr>
                <w:bCs/>
                <w:sz w:val="20"/>
                <w:szCs w:val="20"/>
                <w:lang w:eastAsia="en-CA"/>
              </w:rPr>
              <w:t>With gradual recovery from the COVID</w:t>
            </w:r>
            <w:r w:rsidRPr="00756D59">
              <w:rPr>
                <w:bCs/>
                <w:sz w:val="20"/>
                <w:szCs w:val="20"/>
                <w:lang w:eastAsia="en-CA"/>
              </w:rPr>
              <w:noBreakHyphen/>
              <w:t>19 pandemic thus improvements in the economy, activities are expected to progress faster.</w:t>
            </w:r>
          </w:p>
        </w:tc>
        <w:tc>
          <w:tcPr>
            <w:tcW w:w="1629" w:type="dxa"/>
            <w:shd w:val="clear" w:color="auto" w:fill="auto"/>
            <w:tcMar>
              <w:left w:w="58" w:type="dxa"/>
              <w:right w:w="58" w:type="dxa"/>
            </w:tcMar>
          </w:tcPr>
          <w:p w14:paraId="7D3EFA99" w14:textId="77777777" w:rsidR="000E2C9D" w:rsidRPr="00756D59" w:rsidRDefault="000E2C9D" w:rsidP="0051060F">
            <w:pPr>
              <w:jc w:val="center"/>
              <w:rPr>
                <w:bCs/>
                <w:sz w:val="20"/>
                <w:szCs w:val="20"/>
                <w:lang w:eastAsia="en-CA"/>
              </w:rPr>
            </w:pPr>
            <w:r w:rsidRPr="00756D59">
              <w:rPr>
                <w:bCs/>
                <w:sz w:val="20"/>
                <w:szCs w:val="20"/>
                <w:lang w:eastAsia="en-CA"/>
              </w:rPr>
              <w:t>Jun-23</w:t>
            </w:r>
          </w:p>
        </w:tc>
      </w:tr>
      <w:tr w:rsidR="000E2C9D" w:rsidRPr="00756D59" w14:paraId="748AA7DE" w14:textId="77777777" w:rsidTr="0051060F">
        <w:trPr>
          <w:trHeight w:val="162"/>
        </w:trPr>
        <w:tc>
          <w:tcPr>
            <w:tcW w:w="2261" w:type="dxa"/>
            <w:tcMar>
              <w:left w:w="58" w:type="dxa"/>
              <w:right w:w="58" w:type="dxa"/>
            </w:tcMar>
          </w:tcPr>
          <w:p w14:paraId="2411BA4F" w14:textId="77777777" w:rsidR="000E2C9D" w:rsidRPr="00756D59" w:rsidRDefault="000E2C9D" w:rsidP="0051060F">
            <w:pPr>
              <w:spacing w:after="60"/>
              <w:jc w:val="left"/>
              <w:rPr>
                <w:bCs/>
                <w:lang w:eastAsia="en-CA"/>
              </w:rPr>
            </w:pPr>
            <w:r w:rsidRPr="00756D59">
              <w:rPr>
                <w:b/>
              </w:rPr>
              <w:t>GERMANY</w:t>
            </w:r>
          </w:p>
        </w:tc>
        <w:tc>
          <w:tcPr>
            <w:tcW w:w="3352" w:type="dxa"/>
            <w:tcMar>
              <w:left w:w="58" w:type="dxa"/>
              <w:right w:w="58" w:type="dxa"/>
            </w:tcMar>
          </w:tcPr>
          <w:p w14:paraId="57252338" w14:textId="77777777" w:rsidR="000E2C9D" w:rsidRPr="00756D59" w:rsidRDefault="000E2C9D" w:rsidP="0051060F">
            <w:pPr>
              <w:jc w:val="left"/>
              <w:rPr>
                <w:bCs/>
                <w:sz w:val="20"/>
                <w:szCs w:val="20"/>
                <w:lang w:eastAsia="en-CA"/>
              </w:rPr>
            </w:pPr>
          </w:p>
        </w:tc>
        <w:tc>
          <w:tcPr>
            <w:tcW w:w="1236" w:type="dxa"/>
            <w:tcMar>
              <w:left w:w="58" w:type="dxa"/>
              <w:right w:w="58" w:type="dxa"/>
            </w:tcMar>
          </w:tcPr>
          <w:p w14:paraId="46C4EFDD" w14:textId="77777777" w:rsidR="000E2C9D" w:rsidRPr="00756D59" w:rsidRDefault="000E2C9D" w:rsidP="0051060F">
            <w:pPr>
              <w:jc w:val="center"/>
              <w:rPr>
                <w:bCs/>
                <w:sz w:val="20"/>
                <w:szCs w:val="20"/>
                <w:lang w:eastAsia="en-CA"/>
              </w:rPr>
            </w:pPr>
          </w:p>
        </w:tc>
        <w:tc>
          <w:tcPr>
            <w:tcW w:w="1305" w:type="dxa"/>
            <w:shd w:val="clear" w:color="auto" w:fill="auto"/>
            <w:tcMar>
              <w:left w:w="58" w:type="dxa"/>
              <w:right w:w="58" w:type="dxa"/>
            </w:tcMar>
          </w:tcPr>
          <w:p w14:paraId="0C32C6EF" w14:textId="77777777" w:rsidR="000E2C9D" w:rsidRPr="00756D59" w:rsidRDefault="000E2C9D" w:rsidP="0051060F">
            <w:pPr>
              <w:jc w:val="center"/>
              <w:rPr>
                <w:bCs/>
                <w:sz w:val="20"/>
                <w:szCs w:val="20"/>
                <w:lang w:eastAsia="en-CA"/>
              </w:rPr>
            </w:pPr>
          </w:p>
        </w:tc>
        <w:tc>
          <w:tcPr>
            <w:tcW w:w="4531" w:type="dxa"/>
            <w:tcMar>
              <w:left w:w="58" w:type="dxa"/>
              <w:right w:w="58" w:type="dxa"/>
            </w:tcMar>
          </w:tcPr>
          <w:p w14:paraId="1306638B" w14:textId="77777777" w:rsidR="000E2C9D" w:rsidRPr="00756D59" w:rsidRDefault="000E2C9D" w:rsidP="0051060F">
            <w:pPr>
              <w:jc w:val="left"/>
              <w:rPr>
                <w:bCs/>
                <w:sz w:val="20"/>
                <w:szCs w:val="20"/>
                <w:lang w:eastAsia="en-CA"/>
              </w:rPr>
            </w:pPr>
          </w:p>
        </w:tc>
        <w:tc>
          <w:tcPr>
            <w:tcW w:w="1629" w:type="dxa"/>
            <w:shd w:val="clear" w:color="auto" w:fill="auto"/>
            <w:tcMar>
              <w:left w:w="58" w:type="dxa"/>
              <w:right w:w="58" w:type="dxa"/>
            </w:tcMar>
          </w:tcPr>
          <w:p w14:paraId="77257F1E" w14:textId="77777777" w:rsidR="000E2C9D" w:rsidRPr="00756D59" w:rsidRDefault="000E2C9D" w:rsidP="0051060F">
            <w:pPr>
              <w:jc w:val="center"/>
              <w:rPr>
                <w:bCs/>
                <w:sz w:val="20"/>
                <w:szCs w:val="20"/>
                <w:lang w:eastAsia="en-CA"/>
              </w:rPr>
            </w:pPr>
          </w:p>
        </w:tc>
      </w:tr>
      <w:tr w:rsidR="000E2C9D" w:rsidRPr="00756D59" w14:paraId="0210855E" w14:textId="77777777" w:rsidTr="0051060F">
        <w:trPr>
          <w:trHeight w:val="337"/>
        </w:trPr>
        <w:tc>
          <w:tcPr>
            <w:tcW w:w="2261" w:type="dxa"/>
            <w:tcMar>
              <w:left w:w="58" w:type="dxa"/>
              <w:right w:w="58" w:type="dxa"/>
            </w:tcMar>
          </w:tcPr>
          <w:p w14:paraId="0656E72A" w14:textId="77777777" w:rsidR="000E2C9D" w:rsidRPr="00756D59" w:rsidRDefault="000E2C9D" w:rsidP="0051060F">
            <w:pPr>
              <w:jc w:val="left"/>
              <w:rPr>
                <w:sz w:val="20"/>
                <w:szCs w:val="20"/>
                <w:lang w:eastAsia="en-CA"/>
              </w:rPr>
            </w:pPr>
            <w:r w:rsidRPr="00756D59">
              <w:rPr>
                <w:sz w:val="20"/>
                <w:szCs w:val="20"/>
                <w:lang w:eastAsia="en-CA"/>
              </w:rPr>
              <w:t xml:space="preserve">Liberia </w:t>
            </w:r>
          </w:p>
          <w:p w14:paraId="4EEEDEF1" w14:textId="77777777" w:rsidR="000E2C9D" w:rsidRPr="00756D59" w:rsidRDefault="000E2C9D" w:rsidP="0051060F">
            <w:pPr>
              <w:jc w:val="left"/>
              <w:rPr>
                <w:b/>
                <w:sz w:val="20"/>
                <w:szCs w:val="20"/>
              </w:rPr>
            </w:pPr>
            <w:r w:rsidRPr="00756D59">
              <w:rPr>
                <w:sz w:val="20"/>
                <w:szCs w:val="20"/>
                <w:lang w:eastAsia="en-CA"/>
              </w:rPr>
              <w:t>LIR/SEV/80/TAS/01+</w:t>
            </w:r>
          </w:p>
        </w:tc>
        <w:tc>
          <w:tcPr>
            <w:tcW w:w="3352" w:type="dxa"/>
            <w:tcMar>
              <w:left w:w="58" w:type="dxa"/>
              <w:right w:w="58" w:type="dxa"/>
            </w:tcMar>
          </w:tcPr>
          <w:p w14:paraId="3CEBB598" w14:textId="77777777" w:rsidR="000E2C9D" w:rsidRPr="00756D59" w:rsidRDefault="000E2C9D" w:rsidP="0051060F">
            <w:pPr>
              <w:jc w:val="left"/>
              <w:rPr>
                <w:bCs/>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9A24D3A" w14:textId="77777777" w:rsidR="000E2C9D" w:rsidRPr="00756D59" w:rsidRDefault="000E2C9D" w:rsidP="0051060F">
            <w:pPr>
              <w:jc w:val="center"/>
              <w:rPr>
                <w:bCs/>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2798F13" w14:textId="77777777" w:rsidR="000E2C9D" w:rsidRPr="00756D59" w:rsidRDefault="000E2C9D" w:rsidP="0051060F">
            <w:pPr>
              <w:jc w:val="center"/>
              <w:rPr>
                <w:bCs/>
                <w:sz w:val="20"/>
                <w:szCs w:val="20"/>
                <w:lang w:eastAsia="en-CA"/>
              </w:rPr>
            </w:pPr>
            <w:r w:rsidRPr="00756D59">
              <w:rPr>
                <w:sz w:val="20"/>
                <w:szCs w:val="20"/>
                <w:lang w:eastAsia="en-CA"/>
              </w:rPr>
              <w:t>74.8</w:t>
            </w:r>
          </w:p>
        </w:tc>
        <w:tc>
          <w:tcPr>
            <w:tcW w:w="4531" w:type="dxa"/>
            <w:tcMar>
              <w:left w:w="58" w:type="dxa"/>
              <w:right w:w="58" w:type="dxa"/>
            </w:tcMar>
          </w:tcPr>
          <w:p w14:paraId="2C72A00C" w14:textId="77777777" w:rsidR="000E2C9D" w:rsidRPr="00756D59" w:rsidRDefault="000E2C9D" w:rsidP="0051060F">
            <w:pPr>
              <w:jc w:val="left"/>
              <w:rPr>
                <w:bCs/>
                <w:sz w:val="20"/>
                <w:szCs w:val="20"/>
                <w:lang w:eastAsia="en-CA"/>
              </w:rPr>
            </w:pPr>
            <w:r w:rsidRPr="00756D59">
              <w:rPr>
                <w:sz w:val="20"/>
                <w:szCs w:val="20"/>
                <w:lang w:eastAsia="en-CA"/>
              </w:rPr>
              <w:t>Approval of the amendment to regulations.</w:t>
            </w:r>
          </w:p>
        </w:tc>
        <w:tc>
          <w:tcPr>
            <w:tcW w:w="1629" w:type="dxa"/>
            <w:shd w:val="clear" w:color="auto" w:fill="auto"/>
            <w:tcMar>
              <w:left w:w="58" w:type="dxa"/>
              <w:right w:w="58" w:type="dxa"/>
            </w:tcMar>
          </w:tcPr>
          <w:p w14:paraId="4472C586" w14:textId="77777777" w:rsidR="000E2C9D" w:rsidRPr="00756D59" w:rsidRDefault="000E2C9D" w:rsidP="0051060F">
            <w:pPr>
              <w:jc w:val="center"/>
              <w:rPr>
                <w:bCs/>
                <w:sz w:val="20"/>
                <w:szCs w:val="20"/>
                <w:lang w:eastAsia="en-CA"/>
              </w:rPr>
            </w:pPr>
            <w:r w:rsidRPr="00756D59">
              <w:rPr>
                <w:sz w:val="20"/>
                <w:szCs w:val="20"/>
                <w:lang w:eastAsia="en-CA"/>
              </w:rPr>
              <w:t>Dec-21</w:t>
            </w:r>
          </w:p>
        </w:tc>
      </w:tr>
      <w:tr w:rsidR="000E2C9D" w:rsidRPr="00756D59" w14:paraId="5BD146F2" w14:textId="77777777" w:rsidTr="0051060F">
        <w:trPr>
          <w:trHeight w:val="337"/>
        </w:trPr>
        <w:tc>
          <w:tcPr>
            <w:tcW w:w="2261" w:type="dxa"/>
            <w:tcMar>
              <w:left w:w="58" w:type="dxa"/>
              <w:right w:w="58" w:type="dxa"/>
            </w:tcMar>
          </w:tcPr>
          <w:p w14:paraId="4ED918E6" w14:textId="77777777" w:rsidR="000E2C9D" w:rsidRPr="00756D59" w:rsidRDefault="000E2C9D" w:rsidP="0051060F">
            <w:pPr>
              <w:jc w:val="left"/>
              <w:rPr>
                <w:sz w:val="20"/>
                <w:szCs w:val="20"/>
                <w:lang w:eastAsia="en-CA"/>
              </w:rPr>
            </w:pPr>
            <w:r w:rsidRPr="00756D59">
              <w:rPr>
                <w:sz w:val="20"/>
                <w:szCs w:val="20"/>
                <w:lang w:eastAsia="en-CA"/>
              </w:rPr>
              <w:t>Papua New Guinea</w:t>
            </w:r>
          </w:p>
          <w:p w14:paraId="799D20C5" w14:textId="77777777" w:rsidR="000E2C9D" w:rsidRPr="00756D59" w:rsidRDefault="000E2C9D" w:rsidP="0051060F">
            <w:pPr>
              <w:jc w:val="left"/>
              <w:rPr>
                <w:sz w:val="20"/>
                <w:szCs w:val="20"/>
                <w:lang w:eastAsia="en-CA"/>
              </w:rPr>
            </w:pPr>
            <w:r w:rsidRPr="00756D59">
              <w:rPr>
                <w:sz w:val="20"/>
                <w:szCs w:val="20"/>
                <w:lang w:eastAsia="en-CA"/>
              </w:rPr>
              <w:t>PNG/SEV/80/TAS/01+</w:t>
            </w:r>
          </w:p>
        </w:tc>
        <w:tc>
          <w:tcPr>
            <w:tcW w:w="3352" w:type="dxa"/>
            <w:tcMar>
              <w:left w:w="58" w:type="dxa"/>
              <w:right w:w="58" w:type="dxa"/>
            </w:tcMar>
          </w:tcPr>
          <w:p w14:paraId="1BFF2805"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6AF046F"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349EE24" w14:textId="77777777" w:rsidR="000E2C9D" w:rsidRPr="00756D59" w:rsidRDefault="000E2C9D" w:rsidP="0051060F">
            <w:pPr>
              <w:jc w:val="center"/>
              <w:rPr>
                <w:sz w:val="20"/>
                <w:szCs w:val="20"/>
                <w:lang w:eastAsia="en-CA"/>
              </w:rPr>
            </w:pPr>
            <w:r w:rsidRPr="00756D59">
              <w:rPr>
                <w:sz w:val="20"/>
                <w:szCs w:val="20"/>
                <w:lang w:eastAsia="en-CA"/>
              </w:rPr>
              <w:t>86.7</w:t>
            </w:r>
          </w:p>
        </w:tc>
        <w:tc>
          <w:tcPr>
            <w:tcW w:w="4531" w:type="dxa"/>
            <w:tcMar>
              <w:left w:w="58" w:type="dxa"/>
              <w:right w:w="58" w:type="dxa"/>
            </w:tcMar>
          </w:tcPr>
          <w:p w14:paraId="6641B06B" w14:textId="77777777" w:rsidR="000E2C9D" w:rsidRPr="00756D59" w:rsidRDefault="000E2C9D" w:rsidP="0051060F">
            <w:pPr>
              <w:jc w:val="left"/>
              <w:rPr>
                <w:sz w:val="20"/>
                <w:szCs w:val="20"/>
                <w:lang w:eastAsia="en-CA"/>
              </w:rPr>
            </w:pPr>
            <w:r w:rsidRPr="00756D59">
              <w:rPr>
                <w:sz w:val="20"/>
                <w:szCs w:val="20"/>
                <w:lang w:eastAsia="en-CA"/>
              </w:rPr>
              <w:t>Support for ratification of Kigali Amendment; and finalization of the amendment to ODS regulations including tax on HFCs.</w:t>
            </w:r>
          </w:p>
        </w:tc>
        <w:tc>
          <w:tcPr>
            <w:tcW w:w="1629" w:type="dxa"/>
            <w:shd w:val="clear" w:color="auto" w:fill="auto"/>
            <w:tcMar>
              <w:left w:w="58" w:type="dxa"/>
              <w:right w:w="58" w:type="dxa"/>
            </w:tcMar>
          </w:tcPr>
          <w:p w14:paraId="0119F4CF"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7AD5EBA1" w14:textId="77777777" w:rsidTr="0051060F">
        <w:trPr>
          <w:trHeight w:val="337"/>
        </w:trPr>
        <w:tc>
          <w:tcPr>
            <w:tcW w:w="2261" w:type="dxa"/>
            <w:tcMar>
              <w:left w:w="58" w:type="dxa"/>
              <w:right w:w="58" w:type="dxa"/>
            </w:tcMar>
          </w:tcPr>
          <w:p w14:paraId="069B9007" w14:textId="77777777" w:rsidR="000E2C9D" w:rsidRPr="00756D59" w:rsidRDefault="000E2C9D" w:rsidP="0051060F">
            <w:pPr>
              <w:jc w:val="left"/>
              <w:rPr>
                <w:sz w:val="20"/>
                <w:szCs w:val="20"/>
                <w:lang w:eastAsia="en-CA"/>
              </w:rPr>
            </w:pPr>
            <w:r w:rsidRPr="00756D59">
              <w:rPr>
                <w:sz w:val="20"/>
                <w:szCs w:val="20"/>
                <w:lang w:eastAsia="en-CA"/>
              </w:rPr>
              <w:t xml:space="preserve">Seychelles </w:t>
            </w:r>
          </w:p>
          <w:p w14:paraId="18F120E1" w14:textId="77777777" w:rsidR="000E2C9D" w:rsidRPr="00756D59" w:rsidRDefault="000E2C9D" w:rsidP="0051060F">
            <w:pPr>
              <w:jc w:val="left"/>
              <w:rPr>
                <w:sz w:val="20"/>
                <w:szCs w:val="20"/>
                <w:lang w:eastAsia="en-CA"/>
              </w:rPr>
            </w:pPr>
            <w:r w:rsidRPr="00756D59">
              <w:rPr>
                <w:sz w:val="20"/>
                <w:szCs w:val="20"/>
                <w:lang w:eastAsia="en-CA"/>
              </w:rPr>
              <w:t>SEY/SEV/80/TAS/01+</w:t>
            </w:r>
          </w:p>
        </w:tc>
        <w:tc>
          <w:tcPr>
            <w:tcW w:w="3352" w:type="dxa"/>
            <w:tcMar>
              <w:left w:w="58" w:type="dxa"/>
              <w:right w:w="58" w:type="dxa"/>
            </w:tcMar>
          </w:tcPr>
          <w:p w14:paraId="7587246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C8BE333"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D97F177" w14:textId="77777777" w:rsidR="000E2C9D" w:rsidRPr="00756D59" w:rsidRDefault="000E2C9D" w:rsidP="0051060F">
            <w:pPr>
              <w:jc w:val="center"/>
              <w:rPr>
                <w:sz w:val="20"/>
                <w:szCs w:val="20"/>
                <w:lang w:eastAsia="en-CA"/>
              </w:rPr>
            </w:pPr>
            <w:r w:rsidRPr="00756D59">
              <w:rPr>
                <w:sz w:val="20"/>
                <w:szCs w:val="20"/>
                <w:lang w:eastAsia="en-CA"/>
              </w:rPr>
              <w:t>87.5</w:t>
            </w:r>
          </w:p>
        </w:tc>
        <w:tc>
          <w:tcPr>
            <w:tcW w:w="4531" w:type="dxa"/>
            <w:tcMar>
              <w:left w:w="58" w:type="dxa"/>
              <w:right w:w="58" w:type="dxa"/>
            </w:tcMar>
          </w:tcPr>
          <w:p w14:paraId="49176F8C" w14:textId="77777777" w:rsidR="000E2C9D" w:rsidRPr="00756D59" w:rsidRDefault="000E2C9D" w:rsidP="0051060F">
            <w:pPr>
              <w:jc w:val="left"/>
              <w:rPr>
                <w:sz w:val="20"/>
                <w:szCs w:val="20"/>
                <w:lang w:eastAsia="en-CA"/>
              </w:rPr>
            </w:pPr>
            <w:r w:rsidRPr="00756D59">
              <w:rPr>
                <w:sz w:val="20"/>
                <w:szCs w:val="20"/>
                <w:lang w:eastAsia="en-CA"/>
              </w:rPr>
              <w:t>Monitoring compliance with the guidelines for the newly amended regulations through onsite monitoring of commercial and industrial refrigeration equipment.</w:t>
            </w:r>
          </w:p>
        </w:tc>
        <w:tc>
          <w:tcPr>
            <w:tcW w:w="1629" w:type="dxa"/>
            <w:shd w:val="clear" w:color="auto" w:fill="auto"/>
            <w:tcMar>
              <w:left w:w="58" w:type="dxa"/>
              <w:right w:w="58" w:type="dxa"/>
            </w:tcMar>
          </w:tcPr>
          <w:p w14:paraId="231F1784"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0901F9F2" w14:textId="77777777" w:rsidTr="0051060F">
        <w:trPr>
          <w:trHeight w:val="337"/>
        </w:trPr>
        <w:tc>
          <w:tcPr>
            <w:tcW w:w="2261" w:type="dxa"/>
            <w:tcMar>
              <w:left w:w="58" w:type="dxa"/>
              <w:right w:w="58" w:type="dxa"/>
            </w:tcMar>
          </w:tcPr>
          <w:p w14:paraId="7BBD8708" w14:textId="77777777" w:rsidR="000E2C9D" w:rsidRPr="00756D59" w:rsidRDefault="000E2C9D" w:rsidP="0051060F">
            <w:pPr>
              <w:keepNext/>
              <w:jc w:val="left"/>
              <w:rPr>
                <w:lang w:eastAsia="en-CA"/>
              </w:rPr>
            </w:pPr>
            <w:r w:rsidRPr="00756D59">
              <w:rPr>
                <w:b/>
                <w:lang w:eastAsia="en-CA"/>
              </w:rPr>
              <w:lastRenderedPageBreak/>
              <w:t>ITALY</w:t>
            </w:r>
          </w:p>
        </w:tc>
        <w:tc>
          <w:tcPr>
            <w:tcW w:w="3352" w:type="dxa"/>
            <w:tcMar>
              <w:left w:w="58" w:type="dxa"/>
              <w:right w:w="58" w:type="dxa"/>
            </w:tcMar>
          </w:tcPr>
          <w:p w14:paraId="30F22E60" w14:textId="77777777" w:rsidR="000E2C9D" w:rsidRPr="00756D59" w:rsidRDefault="000E2C9D" w:rsidP="0051060F">
            <w:pPr>
              <w:keepNext/>
              <w:jc w:val="left"/>
              <w:rPr>
                <w:sz w:val="20"/>
                <w:szCs w:val="20"/>
                <w:lang w:eastAsia="en-CA"/>
              </w:rPr>
            </w:pPr>
          </w:p>
        </w:tc>
        <w:tc>
          <w:tcPr>
            <w:tcW w:w="1236" w:type="dxa"/>
            <w:tcMar>
              <w:left w:w="58" w:type="dxa"/>
              <w:right w:w="58" w:type="dxa"/>
            </w:tcMar>
          </w:tcPr>
          <w:p w14:paraId="55E9E513" w14:textId="77777777" w:rsidR="000E2C9D" w:rsidRPr="00756D59" w:rsidRDefault="000E2C9D" w:rsidP="0051060F">
            <w:pPr>
              <w:keepNext/>
              <w:jc w:val="center"/>
              <w:rPr>
                <w:sz w:val="20"/>
                <w:szCs w:val="20"/>
                <w:lang w:eastAsia="en-CA"/>
              </w:rPr>
            </w:pPr>
          </w:p>
        </w:tc>
        <w:tc>
          <w:tcPr>
            <w:tcW w:w="1305" w:type="dxa"/>
            <w:shd w:val="clear" w:color="auto" w:fill="auto"/>
            <w:tcMar>
              <w:left w:w="58" w:type="dxa"/>
              <w:right w:w="58" w:type="dxa"/>
            </w:tcMar>
          </w:tcPr>
          <w:p w14:paraId="0905FFB1" w14:textId="77777777" w:rsidR="000E2C9D" w:rsidRPr="00756D59" w:rsidRDefault="000E2C9D" w:rsidP="0051060F">
            <w:pPr>
              <w:keepNext/>
              <w:jc w:val="center"/>
              <w:rPr>
                <w:sz w:val="20"/>
                <w:szCs w:val="20"/>
                <w:lang w:eastAsia="en-CA"/>
              </w:rPr>
            </w:pPr>
          </w:p>
        </w:tc>
        <w:tc>
          <w:tcPr>
            <w:tcW w:w="4531" w:type="dxa"/>
            <w:tcMar>
              <w:left w:w="58" w:type="dxa"/>
              <w:right w:w="58" w:type="dxa"/>
            </w:tcMar>
          </w:tcPr>
          <w:p w14:paraId="462EF175" w14:textId="77777777" w:rsidR="000E2C9D" w:rsidRPr="00756D59" w:rsidRDefault="000E2C9D" w:rsidP="0051060F">
            <w:pPr>
              <w:keepNext/>
              <w:jc w:val="left"/>
              <w:rPr>
                <w:sz w:val="20"/>
                <w:szCs w:val="20"/>
                <w:lang w:eastAsia="en-CA"/>
              </w:rPr>
            </w:pPr>
          </w:p>
        </w:tc>
        <w:tc>
          <w:tcPr>
            <w:tcW w:w="1629" w:type="dxa"/>
            <w:shd w:val="clear" w:color="auto" w:fill="auto"/>
            <w:tcMar>
              <w:left w:w="58" w:type="dxa"/>
              <w:right w:w="58" w:type="dxa"/>
            </w:tcMar>
          </w:tcPr>
          <w:p w14:paraId="11F1EC46" w14:textId="77777777" w:rsidR="000E2C9D" w:rsidRPr="00756D59" w:rsidRDefault="000E2C9D" w:rsidP="0051060F">
            <w:pPr>
              <w:keepNext/>
              <w:jc w:val="center"/>
              <w:rPr>
                <w:sz w:val="20"/>
                <w:szCs w:val="20"/>
                <w:lang w:eastAsia="en-CA"/>
              </w:rPr>
            </w:pPr>
          </w:p>
        </w:tc>
      </w:tr>
      <w:tr w:rsidR="000E2C9D" w:rsidRPr="00756D59" w14:paraId="3BF0B327" w14:textId="77777777" w:rsidTr="0051060F">
        <w:trPr>
          <w:trHeight w:val="337"/>
        </w:trPr>
        <w:tc>
          <w:tcPr>
            <w:tcW w:w="2261" w:type="dxa"/>
            <w:tcMar>
              <w:left w:w="58" w:type="dxa"/>
              <w:right w:w="58" w:type="dxa"/>
            </w:tcMar>
          </w:tcPr>
          <w:p w14:paraId="2BDE7B74" w14:textId="77777777" w:rsidR="000E2C9D" w:rsidRPr="00756D59" w:rsidRDefault="000E2C9D" w:rsidP="0051060F">
            <w:pPr>
              <w:keepNext/>
              <w:rPr>
                <w:sz w:val="20"/>
                <w:szCs w:val="20"/>
                <w:lang w:eastAsia="en-CA"/>
              </w:rPr>
            </w:pPr>
            <w:r w:rsidRPr="00756D59">
              <w:rPr>
                <w:sz w:val="20"/>
                <w:szCs w:val="20"/>
                <w:lang w:eastAsia="en-CA"/>
              </w:rPr>
              <w:t>Maldives</w:t>
            </w:r>
          </w:p>
          <w:p w14:paraId="1132D002" w14:textId="77777777" w:rsidR="000E2C9D" w:rsidRPr="00756D59" w:rsidRDefault="000E2C9D" w:rsidP="0051060F">
            <w:pPr>
              <w:keepNext/>
              <w:jc w:val="left"/>
              <w:rPr>
                <w:b/>
                <w:sz w:val="20"/>
                <w:szCs w:val="20"/>
                <w:lang w:eastAsia="en-CA"/>
              </w:rPr>
            </w:pPr>
            <w:r w:rsidRPr="00756D59">
              <w:rPr>
                <w:sz w:val="20"/>
                <w:szCs w:val="20"/>
                <w:lang w:eastAsia="en-CA"/>
              </w:rPr>
              <w:t>MDV/SEV/80/TAS/02+</w:t>
            </w:r>
          </w:p>
        </w:tc>
        <w:tc>
          <w:tcPr>
            <w:tcW w:w="3352" w:type="dxa"/>
            <w:tcMar>
              <w:left w:w="58" w:type="dxa"/>
              <w:right w:w="58" w:type="dxa"/>
            </w:tcMar>
          </w:tcPr>
          <w:p w14:paraId="65629F69" w14:textId="77777777" w:rsidR="000E2C9D" w:rsidRPr="00756D59" w:rsidRDefault="000E2C9D" w:rsidP="0051060F">
            <w:pPr>
              <w:keepNext/>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38A7250" w14:textId="77777777" w:rsidR="000E2C9D" w:rsidRPr="00756D59" w:rsidRDefault="000E2C9D" w:rsidP="0051060F">
            <w:pPr>
              <w:keepNext/>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1502182" w14:textId="77777777" w:rsidR="000E2C9D" w:rsidRPr="00756D59" w:rsidRDefault="000E2C9D" w:rsidP="0051060F">
            <w:pPr>
              <w:keepNext/>
              <w:jc w:val="center"/>
              <w:rPr>
                <w:sz w:val="20"/>
                <w:szCs w:val="20"/>
                <w:lang w:eastAsia="en-CA"/>
              </w:rPr>
            </w:pPr>
            <w:r w:rsidRPr="00756D59">
              <w:rPr>
                <w:sz w:val="20"/>
                <w:szCs w:val="20"/>
                <w:lang w:eastAsia="en-CA"/>
              </w:rPr>
              <w:t>29</w:t>
            </w:r>
          </w:p>
        </w:tc>
        <w:tc>
          <w:tcPr>
            <w:tcW w:w="4531" w:type="dxa"/>
            <w:tcMar>
              <w:left w:w="58" w:type="dxa"/>
              <w:right w:w="58" w:type="dxa"/>
            </w:tcMar>
          </w:tcPr>
          <w:p w14:paraId="3A2245C7" w14:textId="77777777" w:rsidR="000E2C9D" w:rsidRPr="00756D59" w:rsidRDefault="000E2C9D" w:rsidP="0051060F">
            <w:pPr>
              <w:keepNext/>
              <w:jc w:val="left"/>
              <w:rPr>
                <w:sz w:val="20"/>
                <w:szCs w:val="20"/>
                <w:lang w:eastAsia="en-CA"/>
              </w:rPr>
            </w:pPr>
            <w:r w:rsidRPr="00756D59">
              <w:rPr>
                <w:sz w:val="20"/>
                <w:szCs w:val="20"/>
                <w:lang w:eastAsia="en-CA"/>
              </w:rPr>
              <w:t>Finalization of country assessment report; conducting roundtable workshops and remaining training activities; finalization of the amendment to the draft regulation; and conducting a survey for cold chain database.</w:t>
            </w:r>
          </w:p>
        </w:tc>
        <w:tc>
          <w:tcPr>
            <w:tcW w:w="1629" w:type="dxa"/>
            <w:shd w:val="clear" w:color="auto" w:fill="auto"/>
            <w:tcMar>
              <w:left w:w="58" w:type="dxa"/>
              <w:right w:w="58" w:type="dxa"/>
            </w:tcMar>
          </w:tcPr>
          <w:p w14:paraId="4FDBBD0E" w14:textId="77777777" w:rsidR="000E2C9D" w:rsidRPr="00756D59" w:rsidRDefault="000E2C9D" w:rsidP="0051060F">
            <w:pPr>
              <w:keepNext/>
              <w:jc w:val="center"/>
              <w:rPr>
                <w:sz w:val="20"/>
                <w:szCs w:val="20"/>
                <w:lang w:eastAsia="en-CA"/>
              </w:rPr>
            </w:pPr>
            <w:r w:rsidRPr="00756D59">
              <w:rPr>
                <w:sz w:val="20"/>
                <w:szCs w:val="20"/>
                <w:lang w:eastAsia="en-CA"/>
              </w:rPr>
              <w:t>Jun-22</w:t>
            </w:r>
          </w:p>
        </w:tc>
      </w:tr>
      <w:tr w:rsidR="000E2C9D" w:rsidRPr="00756D59" w14:paraId="55468102" w14:textId="77777777" w:rsidTr="0051060F">
        <w:trPr>
          <w:trHeight w:val="337"/>
        </w:trPr>
        <w:tc>
          <w:tcPr>
            <w:tcW w:w="2261" w:type="dxa"/>
            <w:tcMar>
              <w:left w:w="58" w:type="dxa"/>
              <w:right w:w="58" w:type="dxa"/>
            </w:tcMar>
          </w:tcPr>
          <w:p w14:paraId="1C15BCAE" w14:textId="77777777" w:rsidR="000E2C9D" w:rsidRPr="00756D59" w:rsidRDefault="000E2C9D" w:rsidP="0051060F">
            <w:pPr>
              <w:jc w:val="left"/>
              <w:rPr>
                <w:b/>
              </w:rPr>
            </w:pPr>
            <w:r w:rsidRPr="00756D59">
              <w:rPr>
                <w:b/>
              </w:rPr>
              <w:t>UNDP</w:t>
            </w:r>
          </w:p>
        </w:tc>
        <w:tc>
          <w:tcPr>
            <w:tcW w:w="3352" w:type="dxa"/>
            <w:tcMar>
              <w:left w:w="58" w:type="dxa"/>
              <w:right w:w="58" w:type="dxa"/>
            </w:tcMar>
          </w:tcPr>
          <w:p w14:paraId="08F42D11" w14:textId="77777777" w:rsidR="000E2C9D" w:rsidRPr="00756D59" w:rsidRDefault="000E2C9D" w:rsidP="0051060F">
            <w:pPr>
              <w:jc w:val="left"/>
              <w:rPr>
                <w:sz w:val="20"/>
                <w:szCs w:val="20"/>
                <w:lang w:eastAsia="en-CA"/>
              </w:rPr>
            </w:pPr>
          </w:p>
        </w:tc>
        <w:tc>
          <w:tcPr>
            <w:tcW w:w="1236" w:type="dxa"/>
            <w:tcMar>
              <w:left w:w="58" w:type="dxa"/>
              <w:right w:w="58" w:type="dxa"/>
            </w:tcMar>
          </w:tcPr>
          <w:p w14:paraId="1A718E17" w14:textId="77777777" w:rsidR="000E2C9D" w:rsidRPr="00756D59" w:rsidRDefault="000E2C9D" w:rsidP="0051060F">
            <w:pPr>
              <w:jc w:val="center"/>
              <w:rPr>
                <w:sz w:val="20"/>
                <w:szCs w:val="20"/>
                <w:lang w:eastAsia="en-CA"/>
              </w:rPr>
            </w:pPr>
          </w:p>
        </w:tc>
        <w:tc>
          <w:tcPr>
            <w:tcW w:w="1305" w:type="dxa"/>
            <w:shd w:val="clear" w:color="auto" w:fill="auto"/>
            <w:tcMar>
              <w:left w:w="58" w:type="dxa"/>
              <w:right w:w="58" w:type="dxa"/>
            </w:tcMar>
          </w:tcPr>
          <w:p w14:paraId="1164C294" w14:textId="77777777" w:rsidR="000E2C9D" w:rsidRPr="00756D59" w:rsidRDefault="000E2C9D" w:rsidP="0051060F">
            <w:pPr>
              <w:jc w:val="center"/>
              <w:rPr>
                <w:sz w:val="20"/>
                <w:szCs w:val="20"/>
                <w:lang w:eastAsia="en-CA"/>
              </w:rPr>
            </w:pPr>
          </w:p>
        </w:tc>
        <w:tc>
          <w:tcPr>
            <w:tcW w:w="4531" w:type="dxa"/>
            <w:tcMar>
              <w:left w:w="58" w:type="dxa"/>
              <w:right w:w="58" w:type="dxa"/>
            </w:tcMar>
          </w:tcPr>
          <w:p w14:paraId="61896069" w14:textId="77777777" w:rsidR="000E2C9D" w:rsidRPr="00756D59" w:rsidRDefault="000E2C9D" w:rsidP="0051060F">
            <w:pPr>
              <w:jc w:val="left"/>
              <w:rPr>
                <w:sz w:val="20"/>
                <w:szCs w:val="20"/>
                <w:lang w:eastAsia="en-CA"/>
              </w:rPr>
            </w:pPr>
          </w:p>
        </w:tc>
        <w:tc>
          <w:tcPr>
            <w:tcW w:w="1629" w:type="dxa"/>
            <w:shd w:val="clear" w:color="auto" w:fill="auto"/>
            <w:tcMar>
              <w:left w:w="58" w:type="dxa"/>
              <w:right w:w="58" w:type="dxa"/>
            </w:tcMar>
          </w:tcPr>
          <w:p w14:paraId="6E448245" w14:textId="77777777" w:rsidR="000E2C9D" w:rsidRPr="00756D59" w:rsidRDefault="000E2C9D" w:rsidP="0051060F">
            <w:pPr>
              <w:jc w:val="center"/>
              <w:rPr>
                <w:sz w:val="20"/>
                <w:szCs w:val="20"/>
                <w:lang w:eastAsia="en-CA"/>
              </w:rPr>
            </w:pPr>
          </w:p>
        </w:tc>
      </w:tr>
      <w:tr w:rsidR="000E2C9D" w:rsidRPr="00756D59" w14:paraId="655BE889" w14:textId="77777777" w:rsidTr="0051060F">
        <w:trPr>
          <w:trHeight w:val="337"/>
        </w:trPr>
        <w:tc>
          <w:tcPr>
            <w:tcW w:w="2261" w:type="dxa"/>
            <w:tcMar>
              <w:left w:w="58" w:type="dxa"/>
              <w:right w:w="58" w:type="dxa"/>
            </w:tcMar>
          </w:tcPr>
          <w:p w14:paraId="0CD011F5" w14:textId="77777777" w:rsidR="000E2C9D" w:rsidRPr="00756D59" w:rsidRDefault="000E2C9D" w:rsidP="0051060F">
            <w:pPr>
              <w:jc w:val="left"/>
              <w:rPr>
                <w:sz w:val="20"/>
                <w:szCs w:val="20"/>
                <w:lang w:eastAsia="en-CA"/>
              </w:rPr>
            </w:pPr>
            <w:r w:rsidRPr="00756D59">
              <w:rPr>
                <w:sz w:val="20"/>
                <w:szCs w:val="20"/>
                <w:lang w:eastAsia="en-CA"/>
              </w:rPr>
              <w:t xml:space="preserve">Bangladesh </w:t>
            </w:r>
          </w:p>
          <w:p w14:paraId="254D8A85" w14:textId="77777777" w:rsidR="000E2C9D" w:rsidRPr="00756D59" w:rsidRDefault="000E2C9D" w:rsidP="0051060F">
            <w:pPr>
              <w:jc w:val="left"/>
              <w:rPr>
                <w:b/>
                <w:sz w:val="20"/>
                <w:szCs w:val="20"/>
              </w:rPr>
            </w:pPr>
            <w:r w:rsidRPr="00756D59">
              <w:rPr>
                <w:sz w:val="20"/>
                <w:szCs w:val="20"/>
                <w:lang w:eastAsia="en-CA"/>
              </w:rPr>
              <w:t>BGD/SEV/81/TAS/52</w:t>
            </w:r>
          </w:p>
        </w:tc>
        <w:tc>
          <w:tcPr>
            <w:tcW w:w="3352" w:type="dxa"/>
            <w:tcMar>
              <w:left w:w="58" w:type="dxa"/>
              <w:right w:w="58" w:type="dxa"/>
            </w:tcMar>
          </w:tcPr>
          <w:p w14:paraId="2AC7D1BB"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EC5BC5D"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2D815ED" w14:textId="77777777" w:rsidR="000E2C9D" w:rsidRPr="00756D59" w:rsidRDefault="000E2C9D" w:rsidP="0051060F">
            <w:pPr>
              <w:jc w:val="center"/>
              <w:rPr>
                <w:sz w:val="20"/>
                <w:szCs w:val="20"/>
                <w:lang w:eastAsia="en-CA"/>
              </w:rPr>
            </w:pPr>
            <w:r w:rsidRPr="00756D59">
              <w:rPr>
                <w:sz w:val="20"/>
                <w:szCs w:val="20"/>
                <w:lang w:eastAsia="en-CA"/>
              </w:rPr>
              <w:t>23.2</w:t>
            </w:r>
          </w:p>
        </w:tc>
        <w:tc>
          <w:tcPr>
            <w:tcW w:w="4531" w:type="dxa"/>
            <w:tcMar>
              <w:left w:w="58" w:type="dxa"/>
              <w:right w:w="58" w:type="dxa"/>
            </w:tcMar>
          </w:tcPr>
          <w:p w14:paraId="06CDEC49" w14:textId="77777777" w:rsidR="000E2C9D" w:rsidRPr="00756D59" w:rsidRDefault="000E2C9D" w:rsidP="0051060F">
            <w:pPr>
              <w:jc w:val="left"/>
              <w:rPr>
                <w:sz w:val="20"/>
                <w:szCs w:val="20"/>
                <w:lang w:eastAsia="en-CA"/>
              </w:rPr>
            </w:pPr>
            <w:r w:rsidRPr="00756D59">
              <w:rPr>
                <w:sz w:val="20"/>
                <w:szCs w:val="20"/>
                <w:lang w:eastAsia="en-CA"/>
              </w:rPr>
              <w:t>Finalization of consultations after preparation of a national roadmap; and finalization of enabling activities report.</w:t>
            </w:r>
          </w:p>
        </w:tc>
        <w:tc>
          <w:tcPr>
            <w:tcW w:w="1629" w:type="dxa"/>
            <w:shd w:val="clear" w:color="auto" w:fill="auto"/>
            <w:tcMar>
              <w:left w:w="58" w:type="dxa"/>
              <w:right w:w="58" w:type="dxa"/>
            </w:tcMar>
          </w:tcPr>
          <w:p w14:paraId="24EE4F10" w14:textId="77777777" w:rsidR="000E2C9D" w:rsidRPr="00756D59" w:rsidRDefault="000E2C9D" w:rsidP="0051060F">
            <w:pPr>
              <w:jc w:val="center"/>
              <w:rPr>
                <w:sz w:val="20"/>
                <w:szCs w:val="20"/>
                <w:lang w:eastAsia="en-CA"/>
              </w:rPr>
            </w:pPr>
            <w:r w:rsidRPr="00756D59">
              <w:rPr>
                <w:sz w:val="20"/>
                <w:szCs w:val="20"/>
                <w:lang w:eastAsia="en-CA"/>
              </w:rPr>
              <w:t>Jun-22</w:t>
            </w:r>
          </w:p>
        </w:tc>
      </w:tr>
      <w:tr w:rsidR="000E2C9D" w:rsidRPr="00756D59" w14:paraId="044DF045" w14:textId="77777777" w:rsidTr="0051060F">
        <w:trPr>
          <w:trHeight w:val="337"/>
        </w:trPr>
        <w:tc>
          <w:tcPr>
            <w:tcW w:w="2261" w:type="dxa"/>
            <w:tcMar>
              <w:left w:w="58" w:type="dxa"/>
              <w:right w:w="58" w:type="dxa"/>
            </w:tcMar>
          </w:tcPr>
          <w:p w14:paraId="11F4B3CD" w14:textId="77777777" w:rsidR="000E2C9D" w:rsidRPr="00756D59" w:rsidRDefault="000E2C9D" w:rsidP="0051060F">
            <w:pPr>
              <w:jc w:val="left"/>
              <w:rPr>
                <w:sz w:val="20"/>
                <w:szCs w:val="20"/>
                <w:lang w:eastAsia="en-CA"/>
              </w:rPr>
            </w:pPr>
            <w:r w:rsidRPr="00756D59">
              <w:rPr>
                <w:sz w:val="20"/>
                <w:szCs w:val="20"/>
                <w:lang w:eastAsia="en-CA"/>
              </w:rPr>
              <w:t xml:space="preserve">Chile </w:t>
            </w:r>
          </w:p>
          <w:p w14:paraId="73A285C1" w14:textId="77777777" w:rsidR="000E2C9D" w:rsidRPr="00756D59" w:rsidRDefault="000E2C9D" w:rsidP="0051060F">
            <w:pPr>
              <w:jc w:val="left"/>
              <w:rPr>
                <w:sz w:val="20"/>
                <w:szCs w:val="20"/>
                <w:lang w:eastAsia="en-CA"/>
              </w:rPr>
            </w:pPr>
            <w:r w:rsidRPr="00756D59">
              <w:rPr>
                <w:sz w:val="20"/>
                <w:szCs w:val="20"/>
                <w:lang w:eastAsia="en-CA"/>
              </w:rPr>
              <w:t>CHI/SEV/80/TAS/03+</w:t>
            </w:r>
          </w:p>
        </w:tc>
        <w:tc>
          <w:tcPr>
            <w:tcW w:w="3352" w:type="dxa"/>
            <w:tcMar>
              <w:left w:w="58" w:type="dxa"/>
              <w:right w:w="58" w:type="dxa"/>
            </w:tcMar>
          </w:tcPr>
          <w:p w14:paraId="3CF2257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095074D"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045D51C" w14:textId="77777777" w:rsidR="000E2C9D" w:rsidRPr="00756D59" w:rsidRDefault="000E2C9D" w:rsidP="0051060F">
            <w:pPr>
              <w:jc w:val="center"/>
              <w:rPr>
                <w:sz w:val="20"/>
                <w:szCs w:val="20"/>
                <w:lang w:eastAsia="en-CA"/>
              </w:rPr>
            </w:pPr>
            <w:r w:rsidRPr="00756D59">
              <w:rPr>
                <w:sz w:val="20"/>
                <w:szCs w:val="20"/>
                <w:lang w:eastAsia="en-CA"/>
              </w:rPr>
              <w:t>100</w:t>
            </w:r>
          </w:p>
        </w:tc>
        <w:tc>
          <w:tcPr>
            <w:tcW w:w="4531" w:type="dxa"/>
            <w:tcMar>
              <w:left w:w="58" w:type="dxa"/>
              <w:right w:w="58" w:type="dxa"/>
            </w:tcMar>
          </w:tcPr>
          <w:p w14:paraId="720D7F97" w14:textId="77777777" w:rsidR="000E2C9D" w:rsidRPr="00756D59" w:rsidRDefault="000E2C9D" w:rsidP="0051060F">
            <w:pPr>
              <w:jc w:val="left"/>
              <w:rPr>
                <w:sz w:val="20"/>
                <w:szCs w:val="20"/>
                <w:lang w:eastAsia="en-CA"/>
              </w:rPr>
            </w:pPr>
            <w:r w:rsidRPr="00756D59">
              <w:rPr>
                <w:sz w:val="20"/>
                <w:szCs w:val="20"/>
                <w:lang w:eastAsia="en-CA"/>
              </w:rPr>
              <w:t xml:space="preserve">Providing support to the customs authorities on the identification and control of HFCs; awareness raising activities; and additional workshops with stakeholders on control measures related to HFCs. </w:t>
            </w:r>
          </w:p>
        </w:tc>
        <w:tc>
          <w:tcPr>
            <w:tcW w:w="1629" w:type="dxa"/>
            <w:shd w:val="clear" w:color="auto" w:fill="auto"/>
            <w:tcMar>
              <w:left w:w="58" w:type="dxa"/>
              <w:right w:w="58" w:type="dxa"/>
            </w:tcMar>
          </w:tcPr>
          <w:p w14:paraId="0AE4BDB1" w14:textId="77777777" w:rsidR="000E2C9D" w:rsidRPr="00756D59" w:rsidRDefault="000E2C9D" w:rsidP="0051060F">
            <w:pPr>
              <w:jc w:val="center"/>
              <w:rPr>
                <w:sz w:val="20"/>
                <w:szCs w:val="20"/>
                <w:lang w:eastAsia="en-CA"/>
              </w:rPr>
            </w:pPr>
            <w:r w:rsidRPr="00756D59">
              <w:rPr>
                <w:sz w:val="20"/>
                <w:szCs w:val="20"/>
                <w:lang w:eastAsia="en-CA"/>
              </w:rPr>
              <w:t>Jun-22</w:t>
            </w:r>
          </w:p>
        </w:tc>
      </w:tr>
      <w:tr w:rsidR="000E2C9D" w:rsidRPr="00756D59" w14:paraId="6BDEDF2F" w14:textId="77777777" w:rsidTr="0051060F">
        <w:trPr>
          <w:trHeight w:val="337"/>
        </w:trPr>
        <w:tc>
          <w:tcPr>
            <w:tcW w:w="2261" w:type="dxa"/>
            <w:tcMar>
              <w:left w:w="58" w:type="dxa"/>
              <w:right w:w="58" w:type="dxa"/>
            </w:tcMar>
          </w:tcPr>
          <w:p w14:paraId="3D0726B0" w14:textId="77777777" w:rsidR="000E2C9D" w:rsidRPr="00756D59" w:rsidRDefault="000E2C9D" w:rsidP="0051060F">
            <w:pPr>
              <w:jc w:val="left"/>
              <w:rPr>
                <w:sz w:val="20"/>
                <w:szCs w:val="20"/>
                <w:lang w:eastAsia="en-CA"/>
              </w:rPr>
            </w:pPr>
            <w:r w:rsidRPr="00756D59">
              <w:rPr>
                <w:sz w:val="20"/>
                <w:szCs w:val="20"/>
                <w:lang w:eastAsia="en-CA"/>
              </w:rPr>
              <w:t xml:space="preserve">Cuba </w:t>
            </w:r>
          </w:p>
          <w:p w14:paraId="5663FA70" w14:textId="77777777" w:rsidR="000E2C9D" w:rsidRPr="00756D59" w:rsidRDefault="000E2C9D" w:rsidP="0051060F">
            <w:pPr>
              <w:jc w:val="left"/>
              <w:rPr>
                <w:sz w:val="20"/>
                <w:szCs w:val="20"/>
                <w:lang w:eastAsia="en-CA"/>
              </w:rPr>
            </w:pPr>
            <w:r w:rsidRPr="00756D59">
              <w:rPr>
                <w:sz w:val="20"/>
                <w:szCs w:val="20"/>
                <w:lang w:eastAsia="en-CA"/>
              </w:rPr>
              <w:t>CUB/SEV/81/TAS/57</w:t>
            </w:r>
          </w:p>
        </w:tc>
        <w:tc>
          <w:tcPr>
            <w:tcW w:w="3352" w:type="dxa"/>
            <w:tcMar>
              <w:left w:w="58" w:type="dxa"/>
              <w:right w:w="58" w:type="dxa"/>
            </w:tcMar>
          </w:tcPr>
          <w:p w14:paraId="548B85FC"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79FF296"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E2A1666" w14:textId="77777777" w:rsidR="000E2C9D" w:rsidRPr="00756D59" w:rsidRDefault="000E2C9D" w:rsidP="0051060F">
            <w:pPr>
              <w:jc w:val="center"/>
              <w:rPr>
                <w:sz w:val="20"/>
                <w:szCs w:val="20"/>
                <w:lang w:eastAsia="en-CA"/>
              </w:rPr>
            </w:pPr>
            <w:r w:rsidRPr="00756D59">
              <w:rPr>
                <w:sz w:val="20"/>
                <w:szCs w:val="20"/>
                <w:lang w:eastAsia="en-CA"/>
              </w:rPr>
              <w:t>39</w:t>
            </w:r>
          </w:p>
        </w:tc>
        <w:tc>
          <w:tcPr>
            <w:tcW w:w="4531" w:type="dxa"/>
            <w:tcMar>
              <w:left w:w="58" w:type="dxa"/>
              <w:right w:w="58" w:type="dxa"/>
            </w:tcMar>
          </w:tcPr>
          <w:p w14:paraId="4FA9F97B" w14:textId="77777777" w:rsidR="000E2C9D" w:rsidRPr="00756D59" w:rsidRDefault="000E2C9D" w:rsidP="0051060F">
            <w:pPr>
              <w:jc w:val="left"/>
              <w:rPr>
                <w:sz w:val="20"/>
                <w:szCs w:val="20"/>
                <w:lang w:eastAsia="en-CA"/>
              </w:rPr>
            </w:pPr>
            <w:r w:rsidRPr="00756D59">
              <w:rPr>
                <w:sz w:val="20"/>
                <w:szCs w:val="20"/>
                <w:lang w:eastAsia="en-CA"/>
              </w:rPr>
              <w:t xml:space="preserve">Finalization of the draft national strategy for phasing down HFCs including the assessment of the servicing sector needs and distribution of promotional material. </w:t>
            </w:r>
          </w:p>
        </w:tc>
        <w:tc>
          <w:tcPr>
            <w:tcW w:w="1629" w:type="dxa"/>
            <w:shd w:val="clear" w:color="auto" w:fill="auto"/>
            <w:tcMar>
              <w:left w:w="58" w:type="dxa"/>
              <w:right w:w="58" w:type="dxa"/>
            </w:tcMar>
          </w:tcPr>
          <w:p w14:paraId="46D4C6E3"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2C44C6D8" w14:textId="77777777" w:rsidTr="0051060F">
        <w:trPr>
          <w:trHeight w:val="337"/>
        </w:trPr>
        <w:tc>
          <w:tcPr>
            <w:tcW w:w="2261" w:type="dxa"/>
            <w:tcMar>
              <w:left w:w="58" w:type="dxa"/>
              <w:right w:w="58" w:type="dxa"/>
            </w:tcMar>
          </w:tcPr>
          <w:p w14:paraId="6024FD6B" w14:textId="77777777" w:rsidR="000E2C9D" w:rsidRPr="00756D59" w:rsidRDefault="000E2C9D" w:rsidP="0051060F">
            <w:pPr>
              <w:jc w:val="left"/>
              <w:rPr>
                <w:sz w:val="20"/>
                <w:szCs w:val="20"/>
                <w:lang w:val="es-419" w:eastAsia="en-CA"/>
              </w:rPr>
            </w:pPr>
            <w:r w:rsidRPr="00756D59">
              <w:rPr>
                <w:sz w:val="20"/>
                <w:szCs w:val="20"/>
                <w:lang w:val="es-419" w:eastAsia="en-CA"/>
              </w:rPr>
              <w:t xml:space="preserve">El Salvador </w:t>
            </w:r>
          </w:p>
          <w:p w14:paraId="061AC8B8" w14:textId="77777777" w:rsidR="000E2C9D" w:rsidRPr="00756D59" w:rsidRDefault="000E2C9D" w:rsidP="0051060F">
            <w:pPr>
              <w:jc w:val="left"/>
              <w:rPr>
                <w:sz w:val="20"/>
                <w:szCs w:val="20"/>
                <w:lang w:val="es-419" w:eastAsia="en-CA"/>
              </w:rPr>
            </w:pPr>
            <w:r w:rsidRPr="00756D59">
              <w:rPr>
                <w:sz w:val="20"/>
                <w:szCs w:val="20"/>
                <w:lang w:val="es-419" w:eastAsia="en-CA"/>
              </w:rPr>
              <w:t>ELS/SEV/81/TAS/37</w:t>
            </w:r>
          </w:p>
        </w:tc>
        <w:tc>
          <w:tcPr>
            <w:tcW w:w="3352" w:type="dxa"/>
            <w:tcMar>
              <w:left w:w="58" w:type="dxa"/>
              <w:right w:w="58" w:type="dxa"/>
            </w:tcMar>
          </w:tcPr>
          <w:p w14:paraId="4C92DBF6"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90D5126"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EEEDE0B" w14:textId="77777777" w:rsidR="000E2C9D" w:rsidRPr="00756D59" w:rsidRDefault="000E2C9D" w:rsidP="0051060F">
            <w:pPr>
              <w:jc w:val="center"/>
              <w:rPr>
                <w:sz w:val="20"/>
                <w:szCs w:val="20"/>
                <w:lang w:eastAsia="en-CA"/>
              </w:rPr>
            </w:pPr>
            <w:r w:rsidRPr="00756D59">
              <w:rPr>
                <w:sz w:val="20"/>
                <w:szCs w:val="20"/>
                <w:lang w:eastAsia="en-CA"/>
              </w:rPr>
              <w:t>57.2</w:t>
            </w:r>
          </w:p>
        </w:tc>
        <w:tc>
          <w:tcPr>
            <w:tcW w:w="4531" w:type="dxa"/>
            <w:tcMar>
              <w:left w:w="58" w:type="dxa"/>
              <w:right w:w="58" w:type="dxa"/>
            </w:tcMar>
          </w:tcPr>
          <w:p w14:paraId="3CC93186" w14:textId="77777777" w:rsidR="000E2C9D" w:rsidRPr="00756D59" w:rsidRDefault="000E2C9D" w:rsidP="0051060F">
            <w:pPr>
              <w:jc w:val="left"/>
              <w:rPr>
                <w:sz w:val="20"/>
                <w:szCs w:val="20"/>
                <w:lang w:eastAsia="en-CA"/>
              </w:rPr>
            </w:pPr>
            <w:r w:rsidRPr="00756D59">
              <w:rPr>
                <w:sz w:val="20"/>
                <w:szCs w:val="20"/>
                <w:lang w:eastAsia="en-CA"/>
              </w:rPr>
              <w:t xml:space="preserve">Finalization of the draft national strategy for phasing down HFCs including the assessment of the servicing sector needs and distribution of promotional material. </w:t>
            </w:r>
          </w:p>
        </w:tc>
        <w:tc>
          <w:tcPr>
            <w:tcW w:w="1629" w:type="dxa"/>
            <w:shd w:val="clear" w:color="auto" w:fill="auto"/>
            <w:tcMar>
              <w:left w:w="58" w:type="dxa"/>
              <w:right w:w="58" w:type="dxa"/>
            </w:tcMar>
          </w:tcPr>
          <w:p w14:paraId="0D7DC03E"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1BA9DD4F" w14:textId="77777777" w:rsidTr="0051060F">
        <w:trPr>
          <w:trHeight w:val="337"/>
        </w:trPr>
        <w:tc>
          <w:tcPr>
            <w:tcW w:w="2261" w:type="dxa"/>
            <w:tcMar>
              <w:left w:w="58" w:type="dxa"/>
              <w:right w:w="58" w:type="dxa"/>
            </w:tcMar>
          </w:tcPr>
          <w:p w14:paraId="658D0869" w14:textId="77777777" w:rsidR="000E2C9D" w:rsidRPr="00756D59" w:rsidRDefault="000E2C9D" w:rsidP="0051060F">
            <w:pPr>
              <w:jc w:val="left"/>
              <w:rPr>
                <w:sz w:val="20"/>
                <w:szCs w:val="20"/>
                <w:lang w:eastAsia="en-CA"/>
              </w:rPr>
            </w:pPr>
            <w:r w:rsidRPr="00756D59">
              <w:rPr>
                <w:sz w:val="20"/>
                <w:szCs w:val="20"/>
                <w:lang w:eastAsia="en-CA"/>
              </w:rPr>
              <w:t xml:space="preserve">Fiji </w:t>
            </w:r>
          </w:p>
          <w:p w14:paraId="6E8889F8" w14:textId="77777777" w:rsidR="000E2C9D" w:rsidRPr="00756D59" w:rsidRDefault="000E2C9D" w:rsidP="0051060F">
            <w:pPr>
              <w:jc w:val="left"/>
              <w:rPr>
                <w:sz w:val="20"/>
                <w:szCs w:val="20"/>
                <w:lang w:eastAsia="en-CA"/>
              </w:rPr>
            </w:pPr>
            <w:r w:rsidRPr="00756D59">
              <w:rPr>
                <w:sz w:val="20"/>
                <w:szCs w:val="20"/>
                <w:lang w:eastAsia="en-CA"/>
              </w:rPr>
              <w:t>FIJ/SEV/80/TAS/01+</w:t>
            </w:r>
          </w:p>
        </w:tc>
        <w:tc>
          <w:tcPr>
            <w:tcW w:w="3352" w:type="dxa"/>
            <w:tcMar>
              <w:left w:w="58" w:type="dxa"/>
              <w:right w:w="58" w:type="dxa"/>
            </w:tcMar>
          </w:tcPr>
          <w:p w14:paraId="0721E988"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B08B264"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7B071B4" w14:textId="77777777" w:rsidR="000E2C9D" w:rsidRPr="00756D59" w:rsidRDefault="000E2C9D" w:rsidP="0051060F">
            <w:pPr>
              <w:jc w:val="center"/>
              <w:rPr>
                <w:sz w:val="20"/>
                <w:szCs w:val="20"/>
                <w:lang w:eastAsia="en-CA"/>
              </w:rPr>
            </w:pPr>
            <w:r w:rsidRPr="00756D59">
              <w:rPr>
                <w:sz w:val="20"/>
                <w:szCs w:val="20"/>
                <w:lang w:eastAsia="en-CA"/>
              </w:rPr>
              <w:t>97.8</w:t>
            </w:r>
          </w:p>
        </w:tc>
        <w:tc>
          <w:tcPr>
            <w:tcW w:w="4531" w:type="dxa"/>
            <w:tcMar>
              <w:left w:w="58" w:type="dxa"/>
              <w:right w:w="58" w:type="dxa"/>
            </w:tcMar>
          </w:tcPr>
          <w:p w14:paraId="2706FC41" w14:textId="77777777" w:rsidR="000E2C9D" w:rsidRPr="00756D59" w:rsidRDefault="000E2C9D" w:rsidP="0051060F">
            <w:pPr>
              <w:jc w:val="left"/>
              <w:rPr>
                <w:sz w:val="20"/>
                <w:szCs w:val="20"/>
                <w:lang w:eastAsia="en-CA"/>
              </w:rPr>
            </w:pPr>
            <w:r w:rsidRPr="00756D59">
              <w:rPr>
                <w:sz w:val="20"/>
                <w:szCs w:val="20"/>
                <w:lang w:eastAsia="en-CA"/>
              </w:rPr>
              <w:t>Organizing final consultation meeting; finalization of market assessment report after consolidation of all information; and finalization of enabling activities report.</w:t>
            </w:r>
          </w:p>
        </w:tc>
        <w:tc>
          <w:tcPr>
            <w:tcW w:w="1629" w:type="dxa"/>
            <w:shd w:val="clear" w:color="auto" w:fill="auto"/>
            <w:tcMar>
              <w:left w:w="58" w:type="dxa"/>
              <w:right w:w="58" w:type="dxa"/>
            </w:tcMar>
          </w:tcPr>
          <w:p w14:paraId="520818BD" w14:textId="77777777" w:rsidR="000E2C9D" w:rsidRPr="00756D59" w:rsidRDefault="000E2C9D" w:rsidP="0051060F">
            <w:pPr>
              <w:jc w:val="center"/>
              <w:rPr>
                <w:sz w:val="20"/>
                <w:szCs w:val="20"/>
                <w:lang w:eastAsia="en-CA"/>
              </w:rPr>
            </w:pPr>
            <w:r w:rsidRPr="00756D59">
              <w:rPr>
                <w:sz w:val="20"/>
                <w:szCs w:val="20"/>
                <w:lang w:eastAsia="en-CA"/>
              </w:rPr>
              <w:t>Aug-21</w:t>
            </w:r>
          </w:p>
        </w:tc>
      </w:tr>
      <w:tr w:rsidR="000E2C9D" w:rsidRPr="00756D59" w14:paraId="7A594C54" w14:textId="77777777" w:rsidTr="0051060F">
        <w:trPr>
          <w:trHeight w:val="337"/>
        </w:trPr>
        <w:tc>
          <w:tcPr>
            <w:tcW w:w="2261" w:type="dxa"/>
            <w:tcMar>
              <w:left w:w="58" w:type="dxa"/>
              <w:right w:w="58" w:type="dxa"/>
            </w:tcMar>
          </w:tcPr>
          <w:p w14:paraId="5E9BE096" w14:textId="77777777" w:rsidR="000E2C9D" w:rsidRPr="00756D59" w:rsidRDefault="000E2C9D" w:rsidP="0051060F">
            <w:pPr>
              <w:jc w:val="left"/>
              <w:rPr>
                <w:sz w:val="20"/>
                <w:szCs w:val="20"/>
                <w:lang w:eastAsia="en-CA"/>
              </w:rPr>
            </w:pPr>
            <w:r w:rsidRPr="00756D59">
              <w:rPr>
                <w:sz w:val="20"/>
                <w:szCs w:val="20"/>
                <w:lang w:eastAsia="en-CA"/>
              </w:rPr>
              <w:t>Iran (Islamic Republic of)</w:t>
            </w:r>
          </w:p>
          <w:p w14:paraId="1D03BFDF" w14:textId="77777777" w:rsidR="000E2C9D" w:rsidRPr="00756D59" w:rsidRDefault="000E2C9D" w:rsidP="0051060F">
            <w:pPr>
              <w:jc w:val="left"/>
              <w:rPr>
                <w:sz w:val="20"/>
                <w:szCs w:val="20"/>
                <w:lang w:eastAsia="en-CA"/>
              </w:rPr>
            </w:pPr>
            <w:r w:rsidRPr="00756D59">
              <w:rPr>
                <w:sz w:val="20"/>
                <w:szCs w:val="20"/>
                <w:lang w:eastAsia="en-CA"/>
              </w:rPr>
              <w:t>IRA/SEV/82/TAS/232</w:t>
            </w:r>
          </w:p>
        </w:tc>
        <w:tc>
          <w:tcPr>
            <w:tcW w:w="3352" w:type="dxa"/>
            <w:tcMar>
              <w:left w:w="58" w:type="dxa"/>
              <w:right w:w="58" w:type="dxa"/>
            </w:tcMar>
          </w:tcPr>
          <w:p w14:paraId="33E49EA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4A697C6"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6619687C" w14:textId="77777777" w:rsidR="000E2C9D" w:rsidRPr="00756D59" w:rsidRDefault="000E2C9D" w:rsidP="0051060F">
            <w:pPr>
              <w:jc w:val="center"/>
              <w:rPr>
                <w:sz w:val="20"/>
                <w:szCs w:val="20"/>
                <w:lang w:eastAsia="en-CA"/>
              </w:rPr>
            </w:pPr>
            <w:r w:rsidRPr="00756D59">
              <w:rPr>
                <w:sz w:val="20"/>
                <w:szCs w:val="20"/>
                <w:lang w:eastAsia="en-CA"/>
              </w:rPr>
              <w:t>35.6</w:t>
            </w:r>
          </w:p>
        </w:tc>
        <w:tc>
          <w:tcPr>
            <w:tcW w:w="4531" w:type="dxa"/>
            <w:tcMar>
              <w:left w:w="58" w:type="dxa"/>
              <w:right w:w="58" w:type="dxa"/>
            </w:tcMar>
          </w:tcPr>
          <w:p w14:paraId="77CA49EA" w14:textId="77777777" w:rsidR="000E2C9D" w:rsidRPr="00756D59" w:rsidRDefault="000E2C9D" w:rsidP="0051060F">
            <w:pPr>
              <w:jc w:val="left"/>
              <w:rPr>
                <w:sz w:val="20"/>
                <w:szCs w:val="20"/>
                <w:lang w:eastAsia="en-CA"/>
              </w:rPr>
            </w:pPr>
            <w:r w:rsidRPr="00756D59">
              <w:rPr>
                <w:sz w:val="20"/>
                <w:szCs w:val="20"/>
                <w:lang w:eastAsia="en-CA"/>
              </w:rPr>
              <w:t>Conducting market assessment of the refrigeration servicing sector and use of alternatives; preparation and finalization of national roadmap; final consultation meeting; and finalization of enabling activities report.</w:t>
            </w:r>
          </w:p>
        </w:tc>
        <w:tc>
          <w:tcPr>
            <w:tcW w:w="1629" w:type="dxa"/>
            <w:shd w:val="clear" w:color="auto" w:fill="auto"/>
            <w:tcMar>
              <w:left w:w="58" w:type="dxa"/>
              <w:right w:w="58" w:type="dxa"/>
            </w:tcMar>
          </w:tcPr>
          <w:p w14:paraId="2682934A" w14:textId="77777777" w:rsidR="000E2C9D" w:rsidRPr="00756D59" w:rsidRDefault="000E2C9D" w:rsidP="0051060F">
            <w:pPr>
              <w:jc w:val="center"/>
              <w:rPr>
                <w:sz w:val="20"/>
                <w:szCs w:val="20"/>
                <w:lang w:eastAsia="en-CA"/>
              </w:rPr>
            </w:pPr>
            <w:r w:rsidRPr="00756D59">
              <w:rPr>
                <w:sz w:val="20"/>
                <w:szCs w:val="20"/>
                <w:lang w:eastAsia="en-CA"/>
              </w:rPr>
              <w:t>Mar-22</w:t>
            </w:r>
          </w:p>
        </w:tc>
      </w:tr>
      <w:tr w:rsidR="000E2C9D" w:rsidRPr="00756D59" w14:paraId="34D2C58D" w14:textId="77777777" w:rsidTr="0051060F">
        <w:trPr>
          <w:trHeight w:val="337"/>
        </w:trPr>
        <w:tc>
          <w:tcPr>
            <w:tcW w:w="2261" w:type="dxa"/>
            <w:tcMar>
              <w:left w:w="58" w:type="dxa"/>
              <w:right w:w="58" w:type="dxa"/>
            </w:tcMar>
          </w:tcPr>
          <w:p w14:paraId="4ED23989" w14:textId="77777777" w:rsidR="000E2C9D" w:rsidRPr="00756D59" w:rsidRDefault="000E2C9D" w:rsidP="0051060F">
            <w:pPr>
              <w:jc w:val="left"/>
              <w:rPr>
                <w:sz w:val="20"/>
                <w:szCs w:val="20"/>
                <w:lang w:eastAsia="en-CA"/>
              </w:rPr>
            </w:pPr>
            <w:r w:rsidRPr="00756D59">
              <w:rPr>
                <w:sz w:val="20"/>
                <w:szCs w:val="20"/>
                <w:lang w:eastAsia="en-CA"/>
              </w:rPr>
              <w:t xml:space="preserve">Panama </w:t>
            </w:r>
          </w:p>
          <w:p w14:paraId="71F622E5" w14:textId="77777777" w:rsidR="000E2C9D" w:rsidRPr="00756D59" w:rsidRDefault="000E2C9D" w:rsidP="0051060F">
            <w:pPr>
              <w:jc w:val="left"/>
              <w:rPr>
                <w:sz w:val="20"/>
                <w:szCs w:val="20"/>
                <w:lang w:eastAsia="en-CA"/>
              </w:rPr>
            </w:pPr>
            <w:r w:rsidRPr="00756D59">
              <w:rPr>
                <w:sz w:val="20"/>
                <w:szCs w:val="20"/>
                <w:lang w:eastAsia="en-CA"/>
              </w:rPr>
              <w:t>PAN/SEV/81/TAS/46</w:t>
            </w:r>
          </w:p>
        </w:tc>
        <w:tc>
          <w:tcPr>
            <w:tcW w:w="3352" w:type="dxa"/>
            <w:tcMar>
              <w:left w:w="58" w:type="dxa"/>
              <w:right w:w="58" w:type="dxa"/>
            </w:tcMar>
          </w:tcPr>
          <w:p w14:paraId="0AA59B2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E3D4F95"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122ADA4" w14:textId="77777777" w:rsidR="000E2C9D" w:rsidRPr="00756D59" w:rsidRDefault="000E2C9D" w:rsidP="0051060F">
            <w:pPr>
              <w:jc w:val="center"/>
              <w:rPr>
                <w:sz w:val="20"/>
                <w:szCs w:val="20"/>
                <w:lang w:eastAsia="en-CA"/>
              </w:rPr>
            </w:pPr>
            <w:r w:rsidRPr="00756D59">
              <w:rPr>
                <w:sz w:val="20"/>
                <w:szCs w:val="20"/>
                <w:lang w:eastAsia="en-CA"/>
              </w:rPr>
              <w:t>76.3</w:t>
            </w:r>
          </w:p>
        </w:tc>
        <w:tc>
          <w:tcPr>
            <w:tcW w:w="4531" w:type="dxa"/>
            <w:tcMar>
              <w:left w:w="58" w:type="dxa"/>
              <w:right w:w="58" w:type="dxa"/>
            </w:tcMar>
          </w:tcPr>
          <w:p w14:paraId="0A6C545B" w14:textId="77777777" w:rsidR="000E2C9D" w:rsidRPr="00756D59" w:rsidRDefault="000E2C9D" w:rsidP="0051060F">
            <w:pPr>
              <w:jc w:val="left"/>
              <w:rPr>
                <w:sz w:val="20"/>
                <w:szCs w:val="20"/>
                <w:lang w:eastAsia="en-CA"/>
              </w:rPr>
            </w:pPr>
            <w:r w:rsidRPr="00756D59">
              <w:rPr>
                <w:sz w:val="20"/>
                <w:szCs w:val="20"/>
                <w:lang w:eastAsia="en-CA"/>
              </w:rPr>
              <w:t>Conducting a multisectoral coordination group meeting to present the draft national strategy for phasing down HFCs to stakeholders; and distribution of promotional material.</w:t>
            </w:r>
          </w:p>
        </w:tc>
        <w:tc>
          <w:tcPr>
            <w:tcW w:w="1629" w:type="dxa"/>
            <w:shd w:val="clear" w:color="auto" w:fill="auto"/>
            <w:tcMar>
              <w:left w:w="58" w:type="dxa"/>
              <w:right w:w="58" w:type="dxa"/>
            </w:tcMar>
          </w:tcPr>
          <w:p w14:paraId="78ECF07C" w14:textId="77777777" w:rsidR="000E2C9D" w:rsidRPr="00756D59" w:rsidRDefault="000E2C9D" w:rsidP="0051060F">
            <w:pPr>
              <w:jc w:val="center"/>
              <w:rPr>
                <w:sz w:val="20"/>
                <w:szCs w:val="20"/>
                <w:lang w:eastAsia="en-CA"/>
              </w:rPr>
            </w:pPr>
            <w:r w:rsidRPr="00756D59">
              <w:rPr>
                <w:sz w:val="20"/>
                <w:szCs w:val="20"/>
                <w:lang w:eastAsia="en-CA"/>
              </w:rPr>
              <w:t>Sep-21</w:t>
            </w:r>
          </w:p>
        </w:tc>
      </w:tr>
      <w:tr w:rsidR="000E2C9D" w:rsidRPr="00756D59" w14:paraId="6B107FAD" w14:textId="77777777" w:rsidTr="0051060F">
        <w:trPr>
          <w:trHeight w:val="337"/>
        </w:trPr>
        <w:tc>
          <w:tcPr>
            <w:tcW w:w="2261" w:type="dxa"/>
            <w:tcMar>
              <w:left w:w="58" w:type="dxa"/>
              <w:right w:w="58" w:type="dxa"/>
            </w:tcMar>
          </w:tcPr>
          <w:p w14:paraId="14F1797B" w14:textId="77777777" w:rsidR="000E2C9D" w:rsidRPr="00756D59" w:rsidRDefault="000E2C9D" w:rsidP="0051060F">
            <w:pPr>
              <w:jc w:val="left"/>
              <w:rPr>
                <w:sz w:val="20"/>
                <w:szCs w:val="20"/>
                <w:lang w:eastAsia="en-CA"/>
              </w:rPr>
            </w:pPr>
            <w:r w:rsidRPr="00756D59">
              <w:rPr>
                <w:sz w:val="20"/>
                <w:szCs w:val="20"/>
                <w:lang w:eastAsia="en-CA"/>
              </w:rPr>
              <w:t xml:space="preserve">Paraguay </w:t>
            </w:r>
          </w:p>
          <w:p w14:paraId="0ECE338F" w14:textId="77777777" w:rsidR="000E2C9D" w:rsidRPr="00756D59" w:rsidRDefault="000E2C9D" w:rsidP="0051060F">
            <w:pPr>
              <w:jc w:val="left"/>
              <w:rPr>
                <w:sz w:val="20"/>
                <w:szCs w:val="20"/>
                <w:lang w:eastAsia="en-CA"/>
              </w:rPr>
            </w:pPr>
            <w:r w:rsidRPr="00756D59">
              <w:rPr>
                <w:sz w:val="20"/>
                <w:szCs w:val="20"/>
                <w:lang w:eastAsia="en-CA"/>
              </w:rPr>
              <w:t>PAR/SEV/81/TAS/01+</w:t>
            </w:r>
          </w:p>
        </w:tc>
        <w:tc>
          <w:tcPr>
            <w:tcW w:w="3352" w:type="dxa"/>
            <w:tcMar>
              <w:left w:w="58" w:type="dxa"/>
              <w:right w:w="58" w:type="dxa"/>
            </w:tcMar>
          </w:tcPr>
          <w:p w14:paraId="179CC08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393C5A0"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7117441" w14:textId="77777777" w:rsidR="000E2C9D" w:rsidRPr="00756D59" w:rsidRDefault="000E2C9D" w:rsidP="0051060F">
            <w:pPr>
              <w:jc w:val="center"/>
              <w:rPr>
                <w:sz w:val="20"/>
                <w:szCs w:val="20"/>
                <w:lang w:eastAsia="en-CA"/>
              </w:rPr>
            </w:pPr>
            <w:r w:rsidRPr="00756D59">
              <w:rPr>
                <w:sz w:val="20"/>
                <w:szCs w:val="20"/>
                <w:lang w:eastAsia="en-CA"/>
              </w:rPr>
              <w:t>100.6</w:t>
            </w:r>
          </w:p>
        </w:tc>
        <w:tc>
          <w:tcPr>
            <w:tcW w:w="4531" w:type="dxa"/>
            <w:tcMar>
              <w:left w:w="58" w:type="dxa"/>
              <w:right w:w="58" w:type="dxa"/>
            </w:tcMar>
          </w:tcPr>
          <w:p w14:paraId="43A58F18" w14:textId="77777777" w:rsidR="000E2C9D" w:rsidRPr="00756D59" w:rsidRDefault="000E2C9D" w:rsidP="0051060F">
            <w:pPr>
              <w:jc w:val="left"/>
              <w:rPr>
                <w:sz w:val="20"/>
                <w:szCs w:val="20"/>
                <w:lang w:eastAsia="en-CA"/>
              </w:rPr>
            </w:pPr>
            <w:r w:rsidRPr="00756D59">
              <w:rPr>
                <w:sz w:val="20"/>
                <w:szCs w:val="20"/>
                <w:lang w:eastAsia="en-CA"/>
              </w:rPr>
              <w:t>Finalization of the assessment of the RAC sector needs; and information outreach and knowledge sharing with stakeholders in the RAC, foam and firefighting sectors on the alternatives to HFCs.</w:t>
            </w:r>
          </w:p>
        </w:tc>
        <w:tc>
          <w:tcPr>
            <w:tcW w:w="1629" w:type="dxa"/>
            <w:shd w:val="clear" w:color="auto" w:fill="auto"/>
            <w:tcMar>
              <w:left w:w="58" w:type="dxa"/>
              <w:right w:w="58" w:type="dxa"/>
            </w:tcMar>
          </w:tcPr>
          <w:p w14:paraId="416F6F60"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4714B8AF" w14:textId="77777777" w:rsidTr="0051060F">
        <w:trPr>
          <w:trHeight w:val="337"/>
        </w:trPr>
        <w:tc>
          <w:tcPr>
            <w:tcW w:w="2261" w:type="dxa"/>
            <w:tcMar>
              <w:left w:w="58" w:type="dxa"/>
              <w:right w:w="58" w:type="dxa"/>
            </w:tcMar>
          </w:tcPr>
          <w:p w14:paraId="72FF0CD3" w14:textId="77777777" w:rsidR="000E2C9D" w:rsidRPr="00756D59" w:rsidRDefault="000E2C9D" w:rsidP="0051060F">
            <w:pPr>
              <w:jc w:val="left"/>
              <w:rPr>
                <w:sz w:val="20"/>
                <w:szCs w:val="20"/>
                <w:lang w:eastAsia="en-CA"/>
              </w:rPr>
            </w:pPr>
            <w:r w:rsidRPr="00756D59">
              <w:rPr>
                <w:sz w:val="20"/>
                <w:szCs w:val="20"/>
                <w:lang w:eastAsia="en-CA"/>
              </w:rPr>
              <w:lastRenderedPageBreak/>
              <w:t xml:space="preserve">Uruguay </w:t>
            </w:r>
          </w:p>
          <w:p w14:paraId="3D9BF9F5" w14:textId="77777777" w:rsidR="000E2C9D" w:rsidRPr="00756D59" w:rsidRDefault="000E2C9D" w:rsidP="0051060F">
            <w:pPr>
              <w:jc w:val="left"/>
              <w:rPr>
                <w:sz w:val="20"/>
                <w:szCs w:val="20"/>
                <w:lang w:eastAsia="en-CA"/>
              </w:rPr>
            </w:pPr>
            <w:r w:rsidRPr="00756D59">
              <w:rPr>
                <w:sz w:val="20"/>
                <w:szCs w:val="20"/>
                <w:lang w:eastAsia="en-CA"/>
              </w:rPr>
              <w:t>URU/SEV/80/TAS/02+</w:t>
            </w:r>
          </w:p>
        </w:tc>
        <w:tc>
          <w:tcPr>
            <w:tcW w:w="3352" w:type="dxa"/>
            <w:tcMar>
              <w:left w:w="58" w:type="dxa"/>
              <w:right w:w="58" w:type="dxa"/>
            </w:tcMar>
          </w:tcPr>
          <w:p w14:paraId="23D0F6DC"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29B1B02"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367E156" w14:textId="77777777" w:rsidR="000E2C9D" w:rsidRPr="00756D59" w:rsidRDefault="000E2C9D" w:rsidP="0051060F">
            <w:pPr>
              <w:jc w:val="center"/>
              <w:rPr>
                <w:sz w:val="20"/>
                <w:szCs w:val="20"/>
                <w:lang w:eastAsia="en-CA"/>
              </w:rPr>
            </w:pPr>
            <w:r w:rsidRPr="00756D59">
              <w:rPr>
                <w:sz w:val="20"/>
                <w:szCs w:val="20"/>
                <w:lang w:eastAsia="en-CA"/>
              </w:rPr>
              <w:t>78</w:t>
            </w:r>
          </w:p>
        </w:tc>
        <w:tc>
          <w:tcPr>
            <w:tcW w:w="4531" w:type="dxa"/>
            <w:tcMar>
              <w:left w:w="58" w:type="dxa"/>
              <w:right w:w="58" w:type="dxa"/>
            </w:tcMar>
          </w:tcPr>
          <w:p w14:paraId="333C7044" w14:textId="77777777" w:rsidR="000E2C9D" w:rsidRPr="00756D59" w:rsidRDefault="000E2C9D" w:rsidP="0051060F">
            <w:pPr>
              <w:jc w:val="left"/>
              <w:rPr>
                <w:sz w:val="20"/>
                <w:szCs w:val="20"/>
                <w:lang w:eastAsia="en-CA"/>
              </w:rPr>
            </w:pPr>
            <w:r w:rsidRPr="00756D59">
              <w:rPr>
                <w:sz w:val="20"/>
                <w:szCs w:val="20"/>
                <w:lang w:eastAsia="en-CA"/>
              </w:rPr>
              <w:t>Strengthening the control to HFC imports, discussions with stakeholder on the road map for the implementation of the Kigali Amendment and distribution of promotional material.</w:t>
            </w:r>
          </w:p>
        </w:tc>
        <w:tc>
          <w:tcPr>
            <w:tcW w:w="1629" w:type="dxa"/>
            <w:shd w:val="clear" w:color="auto" w:fill="auto"/>
            <w:tcMar>
              <w:left w:w="58" w:type="dxa"/>
              <w:right w:w="58" w:type="dxa"/>
            </w:tcMar>
          </w:tcPr>
          <w:p w14:paraId="30ABBA3E"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61E275C7" w14:textId="77777777" w:rsidTr="0051060F">
        <w:trPr>
          <w:trHeight w:val="337"/>
        </w:trPr>
        <w:tc>
          <w:tcPr>
            <w:tcW w:w="2261" w:type="dxa"/>
            <w:tcMar>
              <w:left w:w="58" w:type="dxa"/>
              <w:right w:w="58" w:type="dxa"/>
            </w:tcMar>
          </w:tcPr>
          <w:p w14:paraId="00FDFB74" w14:textId="77777777" w:rsidR="000E2C9D" w:rsidRPr="00756D59" w:rsidRDefault="000E2C9D" w:rsidP="0051060F">
            <w:pPr>
              <w:jc w:val="left"/>
              <w:rPr>
                <w:sz w:val="20"/>
                <w:szCs w:val="20"/>
                <w:lang w:eastAsia="en-CA"/>
              </w:rPr>
            </w:pPr>
            <w:r w:rsidRPr="00756D59">
              <w:rPr>
                <w:sz w:val="20"/>
                <w:szCs w:val="20"/>
                <w:lang w:eastAsia="en-CA"/>
              </w:rPr>
              <w:t xml:space="preserve">Zimbabwe </w:t>
            </w:r>
          </w:p>
          <w:p w14:paraId="2AA43781" w14:textId="77777777" w:rsidR="000E2C9D" w:rsidRPr="00756D59" w:rsidRDefault="000E2C9D" w:rsidP="0051060F">
            <w:pPr>
              <w:jc w:val="left"/>
              <w:rPr>
                <w:sz w:val="20"/>
                <w:szCs w:val="20"/>
                <w:lang w:eastAsia="en-CA"/>
              </w:rPr>
            </w:pPr>
            <w:r w:rsidRPr="00756D59">
              <w:rPr>
                <w:sz w:val="20"/>
                <w:szCs w:val="20"/>
                <w:lang w:eastAsia="en-CA"/>
              </w:rPr>
              <w:t>ZIM/REF/82/INV/55</w:t>
            </w:r>
          </w:p>
        </w:tc>
        <w:tc>
          <w:tcPr>
            <w:tcW w:w="3352" w:type="dxa"/>
            <w:tcMar>
              <w:left w:w="58" w:type="dxa"/>
              <w:right w:w="58" w:type="dxa"/>
            </w:tcMar>
          </w:tcPr>
          <w:p w14:paraId="78F229B3" w14:textId="77777777" w:rsidR="000E2C9D" w:rsidRPr="00756D59" w:rsidRDefault="000E2C9D" w:rsidP="0051060F">
            <w:pPr>
              <w:jc w:val="left"/>
              <w:rPr>
                <w:sz w:val="20"/>
                <w:szCs w:val="20"/>
                <w:lang w:eastAsia="en-CA"/>
              </w:rPr>
            </w:pPr>
            <w:r w:rsidRPr="00756D59">
              <w:rPr>
                <w:sz w:val="20"/>
                <w:szCs w:val="20"/>
                <w:lang w:eastAsia="en-CA"/>
              </w:rPr>
              <w:t>Conversion from HFC-134a to isobutane in the manufacture of domestic refrigerators at Capri (SME Harare)</w:t>
            </w:r>
          </w:p>
        </w:tc>
        <w:tc>
          <w:tcPr>
            <w:tcW w:w="1236" w:type="dxa"/>
            <w:tcMar>
              <w:left w:w="58" w:type="dxa"/>
              <w:right w:w="58" w:type="dxa"/>
            </w:tcMar>
          </w:tcPr>
          <w:p w14:paraId="7D36BB90"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37C66B64" w14:textId="77777777" w:rsidR="000E2C9D" w:rsidRPr="00756D59" w:rsidRDefault="000E2C9D" w:rsidP="0051060F">
            <w:pPr>
              <w:jc w:val="center"/>
              <w:rPr>
                <w:sz w:val="20"/>
                <w:szCs w:val="20"/>
                <w:lang w:eastAsia="en-CA"/>
              </w:rPr>
            </w:pPr>
            <w:r w:rsidRPr="00756D59">
              <w:rPr>
                <w:sz w:val="20"/>
                <w:szCs w:val="20"/>
                <w:lang w:eastAsia="en-CA"/>
              </w:rPr>
              <w:t>0</w:t>
            </w:r>
          </w:p>
        </w:tc>
        <w:tc>
          <w:tcPr>
            <w:tcW w:w="4531" w:type="dxa"/>
            <w:tcMar>
              <w:left w:w="58" w:type="dxa"/>
              <w:right w:w="58" w:type="dxa"/>
            </w:tcMar>
          </w:tcPr>
          <w:p w14:paraId="52129A58" w14:textId="77777777" w:rsidR="000E2C9D" w:rsidRPr="00756D59" w:rsidRDefault="000E2C9D" w:rsidP="0051060F">
            <w:pPr>
              <w:jc w:val="left"/>
              <w:rPr>
                <w:sz w:val="20"/>
                <w:szCs w:val="20"/>
                <w:lang w:eastAsia="en-CA"/>
              </w:rPr>
            </w:pPr>
            <w:r w:rsidRPr="00756D59">
              <w:rPr>
                <w:sz w:val="20"/>
                <w:szCs w:val="20"/>
                <w:lang w:eastAsia="en-CA"/>
              </w:rPr>
              <w:t xml:space="preserve">Additional time needed by the beneficiary enterprise for finalization of co-financing required for implementing the project. </w:t>
            </w:r>
          </w:p>
        </w:tc>
        <w:tc>
          <w:tcPr>
            <w:tcW w:w="1629" w:type="dxa"/>
            <w:shd w:val="clear" w:color="auto" w:fill="auto"/>
            <w:tcMar>
              <w:left w:w="58" w:type="dxa"/>
              <w:right w:w="58" w:type="dxa"/>
            </w:tcMar>
          </w:tcPr>
          <w:p w14:paraId="2EB7F298" w14:textId="77777777" w:rsidR="000E2C9D" w:rsidRPr="00756D59" w:rsidRDefault="000E2C9D" w:rsidP="0051060F">
            <w:pPr>
              <w:jc w:val="center"/>
              <w:rPr>
                <w:sz w:val="20"/>
                <w:szCs w:val="20"/>
                <w:lang w:eastAsia="en-CA"/>
              </w:rPr>
            </w:pPr>
            <w:r w:rsidRPr="00756D59">
              <w:rPr>
                <w:sz w:val="20"/>
                <w:szCs w:val="20"/>
                <w:lang w:eastAsia="en-CA"/>
              </w:rPr>
              <w:t>Jun-23</w:t>
            </w:r>
          </w:p>
        </w:tc>
      </w:tr>
      <w:tr w:rsidR="000E2C9D" w:rsidRPr="00756D59" w14:paraId="738B6079" w14:textId="77777777" w:rsidTr="0051060F">
        <w:trPr>
          <w:trHeight w:val="337"/>
        </w:trPr>
        <w:tc>
          <w:tcPr>
            <w:tcW w:w="2261" w:type="dxa"/>
            <w:tcMar>
              <w:left w:w="58" w:type="dxa"/>
              <w:right w:w="58" w:type="dxa"/>
            </w:tcMar>
          </w:tcPr>
          <w:p w14:paraId="47CD34D9" w14:textId="77777777" w:rsidR="000E2C9D" w:rsidRPr="00756D59" w:rsidRDefault="000E2C9D" w:rsidP="0051060F">
            <w:pPr>
              <w:jc w:val="left"/>
              <w:rPr>
                <w:b/>
              </w:rPr>
            </w:pPr>
            <w:r w:rsidRPr="00756D59">
              <w:rPr>
                <w:b/>
              </w:rPr>
              <w:t>UNEP</w:t>
            </w:r>
          </w:p>
        </w:tc>
        <w:tc>
          <w:tcPr>
            <w:tcW w:w="3352" w:type="dxa"/>
            <w:tcMar>
              <w:left w:w="58" w:type="dxa"/>
              <w:right w:w="58" w:type="dxa"/>
            </w:tcMar>
          </w:tcPr>
          <w:p w14:paraId="267155B4" w14:textId="77777777" w:rsidR="000E2C9D" w:rsidRPr="00756D59" w:rsidRDefault="000E2C9D" w:rsidP="0051060F">
            <w:pPr>
              <w:jc w:val="left"/>
              <w:rPr>
                <w:sz w:val="20"/>
                <w:szCs w:val="20"/>
                <w:lang w:eastAsia="en-CA"/>
              </w:rPr>
            </w:pPr>
          </w:p>
        </w:tc>
        <w:tc>
          <w:tcPr>
            <w:tcW w:w="1236" w:type="dxa"/>
            <w:tcMar>
              <w:left w:w="58" w:type="dxa"/>
              <w:right w:w="58" w:type="dxa"/>
            </w:tcMar>
          </w:tcPr>
          <w:p w14:paraId="64F1B14E" w14:textId="77777777" w:rsidR="000E2C9D" w:rsidRPr="00756D59" w:rsidRDefault="000E2C9D" w:rsidP="0051060F">
            <w:pPr>
              <w:jc w:val="center"/>
              <w:rPr>
                <w:sz w:val="20"/>
                <w:szCs w:val="20"/>
                <w:lang w:eastAsia="en-CA"/>
              </w:rPr>
            </w:pPr>
          </w:p>
        </w:tc>
        <w:tc>
          <w:tcPr>
            <w:tcW w:w="1305" w:type="dxa"/>
            <w:shd w:val="clear" w:color="auto" w:fill="auto"/>
            <w:tcMar>
              <w:left w:w="58" w:type="dxa"/>
              <w:right w:w="58" w:type="dxa"/>
            </w:tcMar>
          </w:tcPr>
          <w:p w14:paraId="272BF227" w14:textId="77777777" w:rsidR="000E2C9D" w:rsidRPr="00756D59" w:rsidRDefault="000E2C9D" w:rsidP="0051060F">
            <w:pPr>
              <w:jc w:val="center"/>
              <w:rPr>
                <w:sz w:val="20"/>
                <w:szCs w:val="20"/>
                <w:lang w:eastAsia="en-CA"/>
              </w:rPr>
            </w:pPr>
          </w:p>
        </w:tc>
        <w:tc>
          <w:tcPr>
            <w:tcW w:w="4531" w:type="dxa"/>
            <w:tcMar>
              <w:left w:w="58" w:type="dxa"/>
              <w:right w:w="58" w:type="dxa"/>
            </w:tcMar>
          </w:tcPr>
          <w:p w14:paraId="5BF57C76" w14:textId="77777777" w:rsidR="000E2C9D" w:rsidRPr="00756D59" w:rsidRDefault="000E2C9D" w:rsidP="0051060F">
            <w:pPr>
              <w:jc w:val="left"/>
              <w:rPr>
                <w:sz w:val="20"/>
                <w:szCs w:val="20"/>
                <w:lang w:eastAsia="en-CA"/>
              </w:rPr>
            </w:pPr>
          </w:p>
        </w:tc>
        <w:tc>
          <w:tcPr>
            <w:tcW w:w="1629" w:type="dxa"/>
            <w:shd w:val="clear" w:color="auto" w:fill="auto"/>
            <w:tcMar>
              <w:left w:w="58" w:type="dxa"/>
              <w:right w:w="58" w:type="dxa"/>
            </w:tcMar>
          </w:tcPr>
          <w:p w14:paraId="73B4A0D7" w14:textId="77777777" w:rsidR="000E2C9D" w:rsidRPr="00756D59" w:rsidRDefault="000E2C9D" w:rsidP="0051060F">
            <w:pPr>
              <w:jc w:val="center"/>
              <w:rPr>
                <w:sz w:val="20"/>
                <w:szCs w:val="20"/>
                <w:lang w:eastAsia="en-CA"/>
              </w:rPr>
            </w:pPr>
          </w:p>
        </w:tc>
      </w:tr>
      <w:tr w:rsidR="000E2C9D" w:rsidRPr="00756D59" w14:paraId="4A498E60" w14:textId="77777777" w:rsidTr="0051060F">
        <w:trPr>
          <w:trHeight w:val="337"/>
        </w:trPr>
        <w:tc>
          <w:tcPr>
            <w:tcW w:w="2261" w:type="dxa"/>
            <w:tcMar>
              <w:left w:w="58" w:type="dxa"/>
              <w:right w:w="58" w:type="dxa"/>
            </w:tcMar>
          </w:tcPr>
          <w:p w14:paraId="4500F246" w14:textId="77777777" w:rsidR="000E2C9D" w:rsidRPr="00756D59" w:rsidRDefault="000E2C9D" w:rsidP="0051060F">
            <w:pPr>
              <w:jc w:val="left"/>
              <w:rPr>
                <w:sz w:val="20"/>
                <w:szCs w:val="20"/>
                <w:lang w:eastAsia="en-CA"/>
              </w:rPr>
            </w:pPr>
            <w:r w:rsidRPr="00756D59">
              <w:rPr>
                <w:bCs/>
                <w:sz w:val="20"/>
                <w:szCs w:val="20"/>
                <w:lang w:eastAsia="en-CA"/>
              </w:rPr>
              <w:t>Afghanistan</w:t>
            </w:r>
            <w:r w:rsidRPr="00756D59">
              <w:rPr>
                <w:sz w:val="20"/>
                <w:szCs w:val="20"/>
                <w:lang w:eastAsia="en-CA"/>
              </w:rPr>
              <w:t xml:space="preserve"> </w:t>
            </w:r>
          </w:p>
          <w:p w14:paraId="505B4C0F" w14:textId="77777777" w:rsidR="000E2C9D" w:rsidRPr="00756D59" w:rsidRDefault="000E2C9D" w:rsidP="0051060F">
            <w:pPr>
              <w:jc w:val="left"/>
              <w:rPr>
                <w:b/>
                <w:sz w:val="20"/>
                <w:szCs w:val="20"/>
              </w:rPr>
            </w:pPr>
            <w:r w:rsidRPr="00756D59">
              <w:rPr>
                <w:sz w:val="20"/>
                <w:szCs w:val="20"/>
                <w:lang w:eastAsia="en-CA"/>
              </w:rPr>
              <w:t>AFG/SEV/81/TAS/01+</w:t>
            </w:r>
          </w:p>
        </w:tc>
        <w:tc>
          <w:tcPr>
            <w:tcW w:w="3352" w:type="dxa"/>
            <w:tcMar>
              <w:left w:w="58" w:type="dxa"/>
              <w:right w:w="58" w:type="dxa"/>
            </w:tcMar>
          </w:tcPr>
          <w:p w14:paraId="5981B31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FC14D4E"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5BF8726" w14:textId="77777777" w:rsidR="000E2C9D" w:rsidRPr="00756D59" w:rsidRDefault="000E2C9D" w:rsidP="0051060F">
            <w:pPr>
              <w:jc w:val="center"/>
              <w:rPr>
                <w:sz w:val="20"/>
                <w:szCs w:val="20"/>
                <w:lang w:eastAsia="en-CA"/>
              </w:rPr>
            </w:pPr>
            <w:r w:rsidRPr="00756D59">
              <w:rPr>
                <w:bCs/>
                <w:sz w:val="20"/>
                <w:szCs w:val="20"/>
                <w:lang w:eastAsia="en-CA"/>
              </w:rPr>
              <w:t>80</w:t>
            </w:r>
          </w:p>
        </w:tc>
        <w:tc>
          <w:tcPr>
            <w:tcW w:w="4531" w:type="dxa"/>
            <w:tcMar>
              <w:left w:w="58" w:type="dxa"/>
              <w:right w:w="58" w:type="dxa"/>
            </w:tcMar>
          </w:tcPr>
          <w:p w14:paraId="6FB0802A" w14:textId="77777777" w:rsidR="000E2C9D" w:rsidRPr="00756D59" w:rsidRDefault="000E2C9D" w:rsidP="0051060F">
            <w:pPr>
              <w:jc w:val="left"/>
              <w:rPr>
                <w:sz w:val="20"/>
                <w:szCs w:val="20"/>
                <w:lang w:eastAsia="en-CA"/>
              </w:rPr>
            </w:pPr>
            <w:r w:rsidRPr="00756D59">
              <w:rPr>
                <w:sz w:val="20"/>
                <w:szCs w:val="20"/>
                <w:lang w:eastAsia="en-CA"/>
              </w:rPr>
              <w:t>Roundtable workshops on low</w:t>
            </w:r>
            <w:r w:rsidRPr="00756D59">
              <w:rPr>
                <w:sz w:val="20"/>
                <w:szCs w:val="20"/>
                <w:lang w:eastAsia="en-CA"/>
              </w:rPr>
              <w:noBreakHyphen/>
              <w:t>GWP alternatives for large end users and training for servicing sector; finalization of the amendment to draft regulations; and awareness activities.</w:t>
            </w:r>
          </w:p>
        </w:tc>
        <w:tc>
          <w:tcPr>
            <w:tcW w:w="1629" w:type="dxa"/>
            <w:shd w:val="clear" w:color="auto" w:fill="auto"/>
            <w:tcMar>
              <w:left w:w="58" w:type="dxa"/>
              <w:right w:w="58" w:type="dxa"/>
            </w:tcMar>
          </w:tcPr>
          <w:p w14:paraId="6131B069" w14:textId="77777777" w:rsidR="000E2C9D" w:rsidRPr="00756D59" w:rsidRDefault="000E2C9D" w:rsidP="0051060F">
            <w:pPr>
              <w:jc w:val="center"/>
              <w:rPr>
                <w:sz w:val="20"/>
                <w:szCs w:val="20"/>
                <w:lang w:eastAsia="en-CA"/>
              </w:rPr>
            </w:pPr>
            <w:r w:rsidRPr="00756D59">
              <w:rPr>
                <w:bCs/>
                <w:sz w:val="20"/>
                <w:szCs w:val="20"/>
                <w:lang w:eastAsia="en-CA"/>
              </w:rPr>
              <w:t>Jun-22</w:t>
            </w:r>
          </w:p>
        </w:tc>
      </w:tr>
      <w:tr w:rsidR="000E2C9D" w:rsidRPr="00756D59" w14:paraId="6377778C" w14:textId="77777777" w:rsidTr="0051060F">
        <w:trPr>
          <w:trHeight w:val="337"/>
        </w:trPr>
        <w:tc>
          <w:tcPr>
            <w:tcW w:w="2261" w:type="dxa"/>
            <w:tcMar>
              <w:left w:w="58" w:type="dxa"/>
              <w:right w:w="58" w:type="dxa"/>
            </w:tcMar>
          </w:tcPr>
          <w:p w14:paraId="02E7D7BD" w14:textId="77777777" w:rsidR="000E2C9D" w:rsidRPr="00756D59" w:rsidRDefault="000E2C9D" w:rsidP="0051060F">
            <w:pPr>
              <w:jc w:val="left"/>
              <w:rPr>
                <w:sz w:val="20"/>
                <w:szCs w:val="20"/>
                <w:lang w:eastAsia="en-CA"/>
              </w:rPr>
            </w:pPr>
            <w:r w:rsidRPr="00756D59">
              <w:rPr>
                <w:bCs/>
                <w:sz w:val="20"/>
                <w:szCs w:val="20"/>
                <w:lang w:eastAsia="en-CA"/>
              </w:rPr>
              <w:t>Angola</w:t>
            </w:r>
            <w:r w:rsidRPr="00756D59">
              <w:rPr>
                <w:sz w:val="20"/>
                <w:szCs w:val="20"/>
                <w:lang w:eastAsia="en-CA"/>
              </w:rPr>
              <w:t xml:space="preserve"> </w:t>
            </w:r>
          </w:p>
          <w:p w14:paraId="134C1F7E" w14:textId="77777777" w:rsidR="000E2C9D" w:rsidRPr="00756D59" w:rsidRDefault="000E2C9D" w:rsidP="0051060F">
            <w:pPr>
              <w:jc w:val="left"/>
              <w:rPr>
                <w:b/>
                <w:sz w:val="20"/>
                <w:szCs w:val="20"/>
              </w:rPr>
            </w:pPr>
            <w:r w:rsidRPr="00756D59">
              <w:rPr>
                <w:sz w:val="20"/>
                <w:szCs w:val="20"/>
                <w:lang w:eastAsia="en-CA"/>
              </w:rPr>
              <w:t>ANG/SEV/80/TAS/01+</w:t>
            </w:r>
          </w:p>
        </w:tc>
        <w:tc>
          <w:tcPr>
            <w:tcW w:w="3352" w:type="dxa"/>
            <w:tcMar>
              <w:left w:w="58" w:type="dxa"/>
              <w:right w:w="58" w:type="dxa"/>
            </w:tcMar>
          </w:tcPr>
          <w:p w14:paraId="6A60D03B"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2165C4"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F49CD1E" w14:textId="77777777" w:rsidR="000E2C9D" w:rsidRPr="00756D59" w:rsidRDefault="000E2C9D" w:rsidP="0051060F">
            <w:pPr>
              <w:jc w:val="center"/>
              <w:rPr>
                <w:sz w:val="20"/>
                <w:szCs w:val="20"/>
                <w:lang w:eastAsia="en-CA"/>
              </w:rPr>
            </w:pPr>
            <w:r w:rsidRPr="00756D59">
              <w:rPr>
                <w:bCs/>
                <w:sz w:val="20"/>
                <w:szCs w:val="20"/>
                <w:lang w:eastAsia="en-CA"/>
              </w:rPr>
              <w:t>86.7</w:t>
            </w:r>
          </w:p>
        </w:tc>
        <w:tc>
          <w:tcPr>
            <w:tcW w:w="4531" w:type="dxa"/>
            <w:tcMar>
              <w:left w:w="58" w:type="dxa"/>
              <w:right w:w="58" w:type="dxa"/>
            </w:tcMar>
          </w:tcPr>
          <w:p w14:paraId="2D4EEB97" w14:textId="77777777" w:rsidR="000E2C9D" w:rsidRPr="00756D59" w:rsidRDefault="000E2C9D" w:rsidP="0051060F">
            <w:pPr>
              <w:jc w:val="left"/>
              <w:rPr>
                <w:sz w:val="20"/>
                <w:szCs w:val="20"/>
                <w:lang w:eastAsia="en-CA"/>
              </w:rPr>
            </w:pPr>
            <w:r w:rsidRPr="00756D59">
              <w:rPr>
                <w:sz w:val="20"/>
                <w:szCs w:val="20"/>
                <w:lang w:eastAsia="en-CA"/>
              </w:rPr>
              <w:t>Revise the existing National Ozone Depleting Substances legislation; and workshop for technicians on safe handling of HFCs and alternatives.</w:t>
            </w:r>
          </w:p>
        </w:tc>
        <w:tc>
          <w:tcPr>
            <w:tcW w:w="1629" w:type="dxa"/>
            <w:shd w:val="clear" w:color="auto" w:fill="auto"/>
            <w:tcMar>
              <w:left w:w="58" w:type="dxa"/>
              <w:right w:w="58" w:type="dxa"/>
            </w:tcMar>
          </w:tcPr>
          <w:p w14:paraId="47B0C4B7" w14:textId="77777777" w:rsidR="000E2C9D" w:rsidRPr="00756D59" w:rsidRDefault="000E2C9D" w:rsidP="0051060F">
            <w:pPr>
              <w:jc w:val="center"/>
              <w:rPr>
                <w:sz w:val="20"/>
                <w:szCs w:val="20"/>
                <w:lang w:eastAsia="en-CA"/>
              </w:rPr>
            </w:pPr>
            <w:r w:rsidRPr="00756D59">
              <w:rPr>
                <w:bCs/>
                <w:sz w:val="20"/>
                <w:szCs w:val="20"/>
                <w:lang w:eastAsia="en-CA"/>
              </w:rPr>
              <w:t>Dec-21</w:t>
            </w:r>
          </w:p>
        </w:tc>
      </w:tr>
      <w:tr w:rsidR="000E2C9D" w:rsidRPr="00756D59" w14:paraId="3A78AB7A" w14:textId="77777777" w:rsidTr="0051060F">
        <w:trPr>
          <w:trHeight w:val="337"/>
        </w:trPr>
        <w:tc>
          <w:tcPr>
            <w:tcW w:w="2261" w:type="dxa"/>
            <w:tcMar>
              <w:left w:w="58" w:type="dxa"/>
              <w:right w:w="58" w:type="dxa"/>
            </w:tcMar>
          </w:tcPr>
          <w:p w14:paraId="7932123E" w14:textId="77777777" w:rsidR="000E2C9D" w:rsidRPr="00756D59" w:rsidRDefault="000E2C9D" w:rsidP="0051060F">
            <w:pPr>
              <w:jc w:val="left"/>
              <w:rPr>
                <w:sz w:val="20"/>
                <w:szCs w:val="20"/>
                <w:lang w:eastAsia="en-CA"/>
              </w:rPr>
            </w:pPr>
            <w:r w:rsidRPr="00756D59">
              <w:rPr>
                <w:bCs/>
                <w:sz w:val="20"/>
                <w:szCs w:val="20"/>
                <w:lang w:eastAsia="en-CA"/>
              </w:rPr>
              <w:t>Bahamas</w:t>
            </w:r>
            <w:r w:rsidRPr="00756D59">
              <w:rPr>
                <w:sz w:val="20"/>
                <w:szCs w:val="20"/>
                <w:lang w:eastAsia="en-CA"/>
              </w:rPr>
              <w:t xml:space="preserve"> (the)</w:t>
            </w:r>
          </w:p>
          <w:p w14:paraId="10F2D34E" w14:textId="77777777" w:rsidR="000E2C9D" w:rsidRPr="00756D59" w:rsidRDefault="000E2C9D" w:rsidP="0051060F">
            <w:pPr>
              <w:jc w:val="left"/>
              <w:rPr>
                <w:b/>
                <w:sz w:val="20"/>
                <w:szCs w:val="20"/>
              </w:rPr>
            </w:pPr>
            <w:r w:rsidRPr="00756D59">
              <w:rPr>
                <w:sz w:val="20"/>
                <w:szCs w:val="20"/>
                <w:lang w:eastAsia="en-CA"/>
              </w:rPr>
              <w:t>BHA/SEV/82/TAS/01+</w:t>
            </w:r>
          </w:p>
        </w:tc>
        <w:tc>
          <w:tcPr>
            <w:tcW w:w="3352" w:type="dxa"/>
            <w:tcMar>
              <w:left w:w="58" w:type="dxa"/>
              <w:right w:w="58" w:type="dxa"/>
            </w:tcMar>
          </w:tcPr>
          <w:p w14:paraId="4EA117B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51708FE"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2FC0BF62" w14:textId="77777777" w:rsidR="000E2C9D" w:rsidRPr="00756D59" w:rsidRDefault="000E2C9D" w:rsidP="0051060F">
            <w:pPr>
              <w:jc w:val="center"/>
              <w:rPr>
                <w:sz w:val="20"/>
                <w:szCs w:val="20"/>
                <w:lang w:eastAsia="en-CA"/>
              </w:rPr>
            </w:pPr>
            <w:r w:rsidRPr="00756D59">
              <w:rPr>
                <w:bCs/>
                <w:sz w:val="20"/>
                <w:szCs w:val="20"/>
                <w:lang w:eastAsia="en-CA"/>
              </w:rPr>
              <w:t>0</w:t>
            </w:r>
          </w:p>
        </w:tc>
        <w:tc>
          <w:tcPr>
            <w:tcW w:w="4531" w:type="dxa"/>
            <w:tcMar>
              <w:left w:w="58" w:type="dxa"/>
              <w:right w:w="58" w:type="dxa"/>
            </w:tcMar>
          </w:tcPr>
          <w:p w14:paraId="107AD48B" w14:textId="77777777" w:rsidR="000E2C9D" w:rsidRPr="00756D59" w:rsidRDefault="000E2C9D" w:rsidP="0051060F">
            <w:pPr>
              <w:jc w:val="left"/>
              <w:rPr>
                <w:sz w:val="20"/>
                <w:szCs w:val="20"/>
                <w:lang w:eastAsia="en-CA"/>
              </w:rPr>
            </w:pPr>
            <w:r w:rsidRPr="00756D59">
              <w:rPr>
                <w:sz w:val="20"/>
                <w:szCs w:val="20"/>
                <w:lang w:eastAsia="en-CA"/>
              </w:rPr>
              <w:t>Study relating to handling low</w:t>
            </w:r>
            <w:r w:rsidRPr="00756D59">
              <w:rPr>
                <w:sz w:val="20"/>
                <w:szCs w:val="20"/>
                <w:lang w:eastAsia="en-CA"/>
              </w:rPr>
              <w:noBreakHyphen/>
              <w:t>GWP flammable refrigerants for service sector; and national strategy for supporting the RAC servicing sector in handling HFC phase</w:t>
            </w:r>
            <w:r w:rsidRPr="00756D59">
              <w:rPr>
                <w:sz w:val="20"/>
                <w:szCs w:val="20"/>
                <w:lang w:eastAsia="en-CA"/>
              </w:rPr>
              <w:noBreakHyphen/>
              <w:t>down and staged approach to introducing low-GWP and energy efficiency.</w:t>
            </w:r>
          </w:p>
        </w:tc>
        <w:tc>
          <w:tcPr>
            <w:tcW w:w="1629" w:type="dxa"/>
            <w:shd w:val="clear" w:color="auto" w:fill="auto"/>
            <w:tcMar>
              <w:left w:w="58" w:type="dxa"/>
              <w:right w:w="58" w:type="dxa"/>
            </w:tcMar>
          </w:tcPr>
          <w:p w14:paraId="533885FA" w14:textId="77777777" w:rsidR="000E2C9D" w:rsidRPr="00756D59" w:rsidRDefault="000E2C9D" w:rsidP="0051060F">
            <w:pPr>
              <w:jc w:val="center"/>
              <w:rPr>
                <w:sz w:val="20"/>
                <w:szCs w:val="20"/>
                <w:lang w:eastAsia="en-CA"/>
              </w:rPr>
            </w:pPr>
            <w:r w:rsidRPr="00756D59">
              <w:rPr>
                <w:bCs/>
                <w:sz w:val="20"/>
                <w:szCs w:val="20"/>
                <w:lang w:eastAsia="en-CA"/>
              </w:rPr>
              <w:t>Jun-22</w:t>
            </w:r>
          </w:p>
        </w:tc>
      </w:tr>
      <w:tr w:rsidR="000E2C9D" w:rsidRPr="00756D59" w14:paraId="1E999F3A" w14:textId="77777777" w:rsidTr="0051060F">
        <w:trPr>
          <w:trHeight w:val="337"/>
        </w:trPr>
        <w:tc>
          <w:tcPr>
            <w:tcW w:w="2261" w:type="dxa"/>
            <w:tcMar>
              <w:left w:w="58" w:type="dxa"/>
              <w:right w:w="58" w:type="dxa"/>
            </w:tcMar>
          </w:tcPr>
          <w:p w14:paraId="42573120" w14:textId="77777777" w:rsidR="000E2C9D" w:rsidRPr="00756D59" w:rsidRDefault="000E2C9D" w:rsidP="0051060F">
            <w:pPr>
              <w:jc w:val="left"/>
              <w:rPr>
                <w:sz w:val="20"/>
                <w:szCs w:val="20"/>
                <w:lang w:eastAsia="en-CA"/>
              </w:rPr>
            </w:pPr>
            <w:r w:rsidRPr="00756D59">
              <w:rPr>
                <w:bCs/>
                <w:sz w:val="20"/>
                <w:szCs w:val="20"/>
                <w:lang w:eastAsia="en-CA"/>
              </w:rPr>
              <w:t>Bahrain</w:t>
            </w:r>
            <w:r w:rsidRPr="00756D59">
              <w:rPr>
                <w:sz w:val="20"/>
                <w:szCs w:val="20"/>
                <w:lang w:eastAsia="en-CA"/>
              </w:rPr>
              <w:t xml:space="preserve"> </w:t>
            </w:r>
          </w:p>
          <w:p w14:paraId="26046F3E" w14:textId="77777777" w:rsidR="000E2C9D" w:rsidRPr="00756D59" w:rsidRDefault="000E2C9D" w:rsidP="0051060F">
            <w:pPr>
              <w:jc w:val="left"/>
              <w:rPr>
                <w:bCs/>
                <w:sz w:val="20"/>
                <w:szCs w:val="20"/>
                <w:lang w:eastAsia="en-CA"/>
              </w:rPr>
            </w:pPr>
            <w:r w:rsidRPr="00756D59">
              <w:rPr>
                <w:sz w:val="20"/>
                <w:szCs w:val="20"/>
                <w:lang w:eastAsia="en-CA"/>
              </w:rPr>
              <w:t>BAH/SEV/81/TAS/34</w:t>
            </w:r>
          </w:p>
        </w:tc>
        <w:tc>
          <w:tcPr>
            <w:tcW w:w="3352" w:type="dxa"/>
            <w:tcMar>
              <w:left w:w="58" w:type="dxa"/>
              <w:right w:w="58" w:type="dxa"/>
            </w:tcMar>
          </w:tcPr>
          <w:p w14:paraId="132C767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BC97E03"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BF3F734" w14:textId="77777777" w:rsidR="000E2C9D" w:rsidRPr="00756D59" w:rsidRDefault="000E2C9D" w:rsidP="0051060F">
            <w:pPr>
              <w:jc w:val="center"/>
              <w:rPr>
                <w:bCs/>
                <w:sz w:val="20"/>
                <w:szCs w:val="20"/>
                <w:lang w:eastAsia="en-CA"/>
              </w:rPr>
            </w:pPr>
            <w:r w:rsidRPr="00756D59">
              <w:rPr>
                <w:bCs/>
                <w:sz w:val="20"/>
                <w:szCs w:val="20"/>
                <w:lang w:eastAsia="en-CA"/>
              </w:rPr>
              <w:t>50</w:t>
            </w:r>
          </w:p>
        </w:tc>
        <w:tc>
          <w:tcPr>
            <w:tcW w:w="4531" w:type="dxa"/>
            <w:tcMar>
              <w:left w:w="58" w:type="dxa"/>
              <w:right w:w="58" w:type="dxa"/>
            </w:tcMar>
          </w:tcPr>
          <w:p w14:paraId="095F75FD"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w:t>
            </w:r>
          </w:p>
        </w:tc>
        <w:tc>
          <w:tcPr>
            <w:tcW w:w="1629" w:type="dxa"/>
            <w:shd w:val="clear" w:color="auto" w:fill="auto"/>
            <w:tcMar>
              <w:left w:w="58" w:type="dxa"/>
              <w:right w:w="58" w:type="dxa"/>
            </w:tcMar>
          </w:tcPr>
          <w:p w14:paraId="2E3E1432"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3B3A526F" w14:textId="77777777" w:rsidTr="0051060F">
        <w:trPr>
          <w:trHeight w:val="337"/>
        </w:trPr>
        <w:tc>
          <w:tcPr>
            <w:tcW w:w="2261" w:type="dxa"/>
            <w:tcMar>
              <w:left w:w="58" w:type="dxa"/>
              <w:right w:w="58" w:type="dxa"/>
            </w:tcMar>
          </w:tcPr>
          <w:p w14:paraId="067E3E7A" w14:textId="77777777" w:rsidR="000E2C9D" w:rsidRPr="00756D59" w:rsidRDefault="000E2C9D" w:rsidP="0051060F">
            <w:pPr>
              <w:jc w:val="left"/>
              <w:rPr>
                <w:sz w:val="20"/>
                <w:szCs w:val="20"/>
                <w:lang w:eastAsia="en-CA"/>
              </w:rPr>
            </w:pPr>
            <w:r w:rsidRPr="00756D59">
              <w:rPr>
                <w:bCs/>
                <w:sz w:val="20"/>
                <w:szCs w:val="20"/>
                <w:lang w:eastAsia="en-CA"/>
              </w:rPr>
              <w:t>Bangladesh</w:t>
            </w:r>
            <w:r w:rsidRPr="00756D59">
              <w:rPr>
                <w:sz w:val="20"/>
                <w:szCs w:val="20"/>
                <w:lang w:eastAsia="en-CA"/>
              </w:rPr>
              <w:t xml:space="preserve"> </w:t>
            </w:r>
          </w:p>
          <w:p w14:paraId="342F8FF5" w14:textId="77777777" w:rsidR="000E2C9D" w:rsidRPr="00756D59" w:rsidRDefault="000E2C9D" w:rsidP="0051060F">
            <w:pPr>
              <w:jc w:val="left"/>
              <w:rPr>
                <w:bCs/>
                <w:sz w:val="20"/>
                <w:szCs w:val="20"/>
                <w:lang w:eastAsia="en-CA"/>
              </w:rPr>
            </w:pPr>
            <w:r w:rsidRPr="00756D59">
              <w:rPr>
                <w:sz w:val="20"/>
                <w:szCs w:val="20"/>
                <w:lang w:eastAsia="en-CA"/>
              </w:rPr>
              <w:t>BGD/SEV/81/TAS/54</w:t>
            </w:r>
          </w:p>
        </w:tc>
        <w:tc>
          <w:tcPr>
            <w:tcW w:w="3352" w:type="dxa"/>
            <w:tcMar>
              <w:left w:w="58" w:type="dxa"/>
              <w:right w:w="58" w:type="dxa"/>
            </w:tcMar>
          </w:tcPr>
          <w:p w14:paraId="1FB2885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253F62"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2FD5AE8" w14:textId="77777777" w:rsidR="000E2C9D" w:rsidRPr="00756D59" w:rsidRDefault="000E2C9D" w:rsidP="0051060F">
            <w:pPr>
              <w:jc w:val="center"/>
              <w:rPr>
                <w:bCs/>
                <w:sz w:val="20"/>
                <w:szCs w:val="20"/>
                <w:lang w:eastAsia="en-CA"/>
              </w:rPr>
            </w:pPr>
            <w:r w:rsidRPr="00756D59">
              <w:rPr>
                <w:bCs/>
                <w:sz w:val="20"/>
                <w:szCs w:val="20"/>
                <w:lang w:eastAsia="en-CA"/>
              </w:rPr>
              <w:t>12.1</w:t>
            </w:r>
          </w:p>
        </w:tc>
        <w:tc>
          <w:tcPr>
            <w:tcW w:w="4531" w:type="dxa"/>
            <w:tcMar>
              <w:left w:w="58" w:type="dxa"/>
              <w:right w:w="58" w:type="dxa"/>
            </w:tcMar>
          </w:tcPr>
          <w:p w14:paraId="7C955AFB" w14:textId="77777777" w:rsidR="000E2C9D" w:rsidRPr="00756D59" w:rsidRDefault="000E2C9D" w:rsidP="0051060F">
            <w:pPr>
              <w:jc w:val="left"/>
              <w:rPr>
                <w:sz w:val="20"/>
                <w:szCs w:val="20"/>
                <w:lang w:eastAsia="en-CA"/>
              </w:rPr>
            </w:pPr>
            <w:r w:rsidRPr="00756D59">
              <w:rPr>
                <w:sz w:val="20"/>
                <w:szCs w:val="20"/>
                <w:lang w:eastAsia="en-CA"/>
              </w:rPr>
              <w:t>Roundtable workshops on low-GWP alternatives for large end users and training for customs officers; finalization of the amendment to draft regulations and awareness activities; and development of knowledge products and information materials</w:t>
            </w:r>
            <w:r w:rsidRPr="00756D59">
              <w:rPr>
                <w:sz w:val="20"/>
                <w:szCs w:val="20"/>
              </w:rPr>
              <w:t xml:space="preserve"> </w:t>
            </w:r>
            <w:r w:rsidRPr="00756D59">
              <w:rPr>
                <w:sz w:val="20"/>
                <w:szCs w:val="20"/>
                <w:lang w:eastAsia="en-CA"/>
              </w:rPr>
              <w:t>on Kigali Amendment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08D0542F"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38CBC41C" w14:textId="77777777" w:rsidTr="0051060F">
        <w:trPr>
          <w:trHeight w:val="337"/>
        </w:trPr>
        <w:tc>
          <w:tcPr>
            <w:tcW w:w="2261" w:type="dxa"/>
            <w:tcMar>
              <w:left w:w="58" w:type="dxa"/>
              <w:right w:w="58" w:type="dxa"/>
            </w:tcMar>
          </w:tcPr>
          <w:p w14:paraId="4779517A" w14:textId="77777777" w:rsidR="000E2C9D" w:rsidRPr="00756D59" w:rsidRDefault="000E2C9D" w:rsidP="0051060F">
            <w:pPr>
              <w:jc w:val="left"/>
              <w:rPr>
                <w:sz w:val="20"/>
                <w:szCs w:val="20"/>
                <w:lang w:eastAsia="en-CA"/>
              </w:rPr>
            </w:pPr>
            <w:r w:rsidRPr="00756D59">
              <w:rPr>
                <w:bCs/>
                <w:sz w:val="20"/>
                <w:szCs w:val="20"/>
                <w:lang w:eastAsia="en-CA"/>
              </w:rPr>
              <w:t>Benin</w:t>
            </w:r>
            <w:r w:rsidRPr="00756D59">
              <w:rPr>
                <w:sz w:val="20"/>
                <w:szCs w:val="20"/>
                <w:lang w:eastAsia="en-CA"/>
              </w:rPr>
              <w:t xml:space="preserve"> </w:t>
            </w:r>
          </w:p>
          <w:p w14:paraId="14379768" w14:textId="77777777" w:rsidR="000E2C9D" w:rsidRPr="00756D59" w:rsidRDefault="000E2C9D" w:rsidP="0051060F">
            <w:pPr>
              <w:jc w:val="left"/>
              <w:rPr>
                <w:bCs/>
                <w:sz w:val="20"/>
                <w:szCs w:val="20"/>
                <w:lang w:eastAsia="en-CA"/>
              </w:rPr>
            </w:pPr>
            <w:r w:rsidRPr="00756D59">
              <w:rPr>
                <w:sz w:val="20"/>
                <w:szCs w:val="20"/>
                <w:lang w:eastAsia="en-CA"/>
              </w:rPr>
              <w:t>BEN/SEV/81/TAS/01+</w:t>
            </w:r>
          </w:p>
        </w:tc>
        <w:tc>
          <w:tcPr>
            <w:tcW w:w="3352" w:type="dxa"/>
            <w:tcMar>
              <w:left w:w="58" w:type="dxa"/>
              <w:right w:w="58" w:type="dxa"/>
            </w:tcMar>
          </w:tcPr>
          <w:p w14:paraId="33B81B5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8FDB90A"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8B085B4" w14:textId="77777777" w:rsidR="000E2C9D" w:rsidRPr="00756D59" w:rsidRDefault="000E2C9D" w:rsidP="0051060F">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270638C3" w14:textId="77777777" w:rsidR="000E2C9D" w:rsidRPr="00756D59" w:rsidRDefault="000E2C9D" w:rsidP="0051060F">
            <w:pPr>
              <w:jc w:val="left"/>
              <w:rPr>
                <w:sz w:val="20"/>
                <w:szCs w:val="20"/>
                <w:lang w:eastAsia="en-CA"/>
              </w:rPr>
            </w:pPr>
            <w:r w:rsidRPr="00756D59">
              <w:rPr>
                <w:sz w:val="20"/>
                <w:szCs w:val="20"/>
                <w:lang w:eastAsia="en-CA"/>
              </w:rPr>
              <w:t>Assisting customs office for developing country</w:t>
            </w:r>
            <w:r w:rsidRPr="00756D59">
              <w:rPr>
                <w:sz w:val="20"/>
                <w:szCs w:val="20"/>
                <w:lang w:eastAsia="en-CA"/>
              </w:rPr>
              <w:noBreakHyphen/>
              <w:t>specific Harmonized System (HS) codes for HFCs; training needs assessment for servicing sector; and revising the existing National Ozone</w:t>
            </w:r>
            <w:r w:rsidRPr="00756D59">
              <w:rPr>
                <w:sz w:val="20"/>
                <w:szCs w:val="20"/>
                <w:lang w:eastAsia="en-CA"/>
              </w:rPr>
              <w:noBreakHyphen/>
              <w:t>Depleting Substances Legislation (ODS</w:t>
            </w:r>
            <w:r w:rsidRPr="00756D59">
              <w:rPr>
                <w:sz w:val="20"/>
                <w:szCs w:val="20"/>
                <w:lang w:eastAsia="en-CA"/>
              </w:rPr>
              <w:noBreakHyphen/>
              <w:t>based equipment) and drafting the ODS alternative regulation.</w:t>
            </w:r>
          </w:p>
        </w:tc>
        <w:tc>
          <w:tcPr>
            <w:tcW w:w="1629" w:type="dxa"/>
            <w:shd w:val="clear" w:color="auto" w:fill="auto"/>
            <w:tcMar>
              <w:left w:w="58" w:type="dxa"/>
              <w:right w:w="58" w:type="dxa"/>
            </w:tcMar>
          </w:tcPr>
          <w:p w14:paraId="34BC59BF"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0C31BE03" w14:textId="77777777" w:rsidTr="0051060F">
        <w:trPr>
          <w:trHeight w:val="337"/>
        </w:trPr>
        <w:tc>
          <w:tcPr>
            <w:tcW w:w="2261" w:type="dxa"/>
            <w:tcMar>
              <w:left w:w="58" w:type="dxa"/>
              <w:right w:w="58" w:type="dxa"/>
            </w:tcMar>
          </w:tcPr>
          <w:p w14:paraId="7C2F4A33" w14:textId="77777777" w:rsidR="000E2C9D" w:rsidRPr="00756D59" w:rsidRDefault="000E2C9D" w:rsidP="0051060F">
            <w:pPr>
              <w:jc w:val="left"/>
              <w:rPr>
                <w:sz w:val="20"/>
                <w:szCs w:val="20"/>
                <w:lang w:eastAsia="en-CA"/>
              </w:rPr>
            </w:pPr>
            <w:r w:rsidRPr="00756D59">
              <w:rPr>
                <w:bCs/>
                <w:sz w:val="20"/>
                <w:szCs w:val="20"/>
                <w:lang w:eastAsia="en-CA"/>
              </w:rPr>
              <w:lastRenderedPageBreak/>
              <w:t>Bolivia (</w:t>
            </w:r>
            <w:proofErr w:type="spellStart"/>
            <w:r w:rsidRPr="00756D59">
              <w:rPr>
                <w:bCs/>
                <w:sz w:val="20"/>
                <w:szCs w:val="20"/>
                <w:lang w:eastAsia="en-CA"/>
              </w:rPr>
              <w:t>Plurinational</w:t>
            </w:r>
            <w:proofErr w:type="spellEnd"/>
            <w:r w:rsidRPr="00756D59">
              <w:rPr>
                <w:bCs/>
                <w:sz w:val="20"/>
                <w:szCs w:val="20"/>
                <w:lang w:eastAsia="en-CA"/>
              </w:rPr>
              <w:t xml:space="preserve"> State of)</w:t>
            </w:r>
          </w:p>
          <w:p w14:paraId="3D3E732D" w14:textId="77777777" w:rsidR="000E2C9D" w:rsidRPr="00756D59" w:rsidRDefault="000E2C9D" w:rsidP="0051060F">
            <w:pPr>
              <w:jc w:val="left"/>
              <w:rPr>
                <w:bCs/>
                <w:sz w:val="20"/>
                <w:szCs w:val="20"/>
                <w:lang w:eastAsia="en-CA"/>
              </w:rPr>
            </w:pPr>
            <w:r w:rsidRPr="00756D59">
              <w:rPr>
                <w:sz w:val="20"/>
                <w:szCs w:val="20"/>
                <w:lang w:eastAsia="en-CA"/>
              </w:rPr>
              <w:t>BOL/SEV/82/TAS/01+</w:t>
            </w:r>
          </w:p>
        </w:tc>
        <w:tc>
          <w:tcPr>
            <w:tcW w:w="3352" w:type="dxa"/>
            <w:tcMar>
              <w:left w:w="58" w:type="dxa"/>
              <w:right w:w="58" w:type="dxa"/>
            </w:tcMar>
          </w:tcPr>
          <w:p w14:paraId="1FD5478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4252EFA"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3188041D" w14:textId="77777777" w:rsidR="000E2C9D" w:rsidRPr="00756D59" w:rsidRDefault="000E2C9D" w:rsidP="0051060F">
            <w:pPr>
              <w:jc w:val="center"/>
              <w:rPr>
                <w:bCs/>
                <w:sz w:val="20"/>
                <w:szCs w:val="20"/>
                <w:lang w:eastAsia="en-CA"/>
              </w:rPr>
            </w:pPr>
            <w:r w:rsidRPr="00756D59">
              <w:rPr>
                <w:bCs/>
                <w:sz w:val="20"/>
                <w:szCs w:val="20"/>
                <w:lang w:eastAsia="en-CA"/>
              </w:rPr>
              <w:t>11.9</w:t>
            </w:r>
          </w:p>
        </w:tc>
        <w:tc>
          <w:tcPr>
            <w:tcW w:w="4531" w:type="dxa"/>
            <w:tcMar>
              <w:left w:w="58" w:type="dxa"/>
              <w:right w:w="58" w:type="dxa"/>
            </w:tcMar>
          </w:tcPr>
          <w:p w14:paraId="4A129777" w14:textId="77777777" w:rsidR="000E2C9D" w:rsidRPr="00756D59" w:rsidRDefault="000E2C9D" w:rsidP="0051060F">
            <w:pPr>
              <w:jc w:val="left"/>
              <w:rPr>
                <w:sz w:val="20"/>
                <w:szCs w:val="20"/>
                <w:lang w:eastAsia="en-CA"/>
              </w:rPr>
            </w:pPr>
            <w:r w:rsidRPr="00756D59">
              <w:rPr>
                <w:sz w:val="20"/>
                <w:szCs w:val="20"/>
                <w:lang w:eastAsia="en-CA"/>
              </w:rPr>
              <w:t xml:space="preserve">Training on design, installation and maintenance of energy efficient RAC systems; support to customs authorities in developing HS codes for HFCs; drafting of ministerial resolutions/procedure manual for HFC quotas and HFC import permits; training of technicians on the safe use of flammable refrigerants and training of end users; and market analysis for HFC refrigerants from domestic production; and development of a proposal of the national </w:t>
            </w:r>
            <w:proofErr w:type="spellStart"/>
            <w:r w:rsidRPr="00756D59">
              <w:rPr>
                <w:sz w:val="20"/>
                <w:szCs w:val="20"/>
                <w:lang w:eastAsia="en-CA"/>
              </w:rPr>
              <w:t>labor</w:t>
            </w:r>
            <w:proofErr w:type="spellEnd"/>
            <w:r w:rsidRPr="00756D59">
              <w:rPr>
                <w:sz w:val="20"/>
                <w:szCs w:val="20"/>
                <w:lang w:eastAsia="en-CA"/>
              </w:rPr>
              <w:t xml:space="preserve"> competency standards.</w:t>
            </w:r>
          </w:p>
        </w:tc>
        <w:tc>
          <w:tcPr>
            <w:tcW w:w="1629" w:type="dxa"/>
            <w:shd w:val="clear" w:color="auto" w:fill="auto"/>
            <w:tcMar>
              <w:left w:w="58" w:type="dxa"/>
              <w:right w:w="58" w:type="dxa"/>
            </w:tcMar>
          </w:tcPr>
          <w:p w14:paraId="46497C48"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68ED4F5B" w14:textId="77777777" w:rsidTr="0051060F">
        <w:trPr>
          <w:trHeight w:val="337"/>
        </w:trPr>
        <w:tc>
          <w:tcPr>
            <w:tcW w:w="2261" w:type="dxa"/>
            <w:tcMar>
              <w:left w:w="58" w:type="dxa"/>
              <w:right w:w="58" w:type="dxa"/>
            </w:tcMar>
          </w:tcPr>
          <w:p w14:paraId="6B53231F" w14:textId="77777777" w:rsidR="000E2C9D" w:rsidRPr="00756D59" w:rsidRDefault="000E2C9D" w:rsidP="0051060F">
            <w:pPr>
              <w:jc w:val="left"/>
              <w:rPr>
                <w:sz w:val="20"/>
                <w:szCs w:val="20"/>
                <w:lang w:eastAsia="en-CA"/>
              </w:rPr>
            </w:pPr>
            <w:r w:rsidRPr="00756D59">
              <w:rPr>
                <w:bCs/>
                <w:sz w:val="20"/>
                <w:szCs w:val="20"/>
                <w:lang w:eastAsia="en-CA"/>
              </w:rPr>
              <w:t>Botswana</w:t>
            </w:r>
            <w:r w:rsidRPr="00756D59">
              <w:rPr>
                <w:sz w:val="20"/>
                <w:szCs w:val="20"/>
                <w:lang w:eastAsia="en-CA"/>
              </w:rPr>
              <w:t xml:space="preserve"> </w:t>
            </w:r>
          </w:p>
          <w:p w14:paraId="6F7758A4" w14:textId="77777777" w:rsidR="000E2C9D" w:rsidRPr="00756D59" w:rsidRDefault="000E2C9D" w:rsidP="0051060F">
            <w:pPr>
              <w:jc w:val="left"/>
              <w:rPr>
                <w:bCs/>
                <w:sz w:val="20"/>
                <w:szCs w:val="20"/>
                <w:lang w:eastAsia="en-CA"/>
              </w:rPr>
            </w:pPr>
            <w:r w:rsidRPr="00756D59">
              <w:rPr>
                <w:sz w:val="20"/>
                <w:szCs w:val="20"/>
                <w:lang w:eastAsia="en-CA"/>
              </w:rPr>
              <w:t>BOT/SEV/81/TAS/01+</w:t>
            </w:r>
          </w:p>
        </w:tc>
        <w:tc>
          <w:tcPr>
            <w:tcW w:w="3352" w:type="dxa"/>
            <w:tcMar>
              <w:left w:w="58" w:type="dxa"/>
              <w:right w:w="58" w:type="dxa"/>
            </w:tcMar>
          </w:tcPr>
          <w:p w14:paraId="5090797F"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191E8F5"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5A2E774" w14:textId="77777777" w:rsidR="000E2C9D" w:rsidRPr="00756D59" w:rsidRDefault="000E2C9D" w:rsidP="0051060F">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35962EEC" w14:textId="77777777" w:rsidR="000E2C9D" w:rsidRPr="00756D59" w:rsidRDefault="000E2C9D" w:rsidP="0051060F">
            <w:pPr>
              <w:jc w:val="left"/>
              <w:rPr>
                <w:sz w:val="20"/>
                <w:szCs w:val="20"/>
                <w:lang w:eastAsia="en-CA"/>
              </w:rPr>
            </w:pPr>
            <w:r w:rsidRPr="00756D59">
              <w:rPr>
                <w:sz w:val="20"/>
                <w:szCs w:val="20"/>
                <w:lang w:eastAsia="en-CA"/>
              </w:rPr>
              <w:t>Training to Customs Department on the monitoring, recording and reporting of imports/exports of HFCs; RAC technology projection and analysis; conducting sensitization workshops to refrigeration technicians on safe use of alternatives of HFCs.</w:t>
            </w:r>
          </w:p>
        </w:tc>
        <w:tc>
          <w:tcPr>
            <w:tcW w:w="1629" w:type="dxa"/>
            <w:shd w:val="clear" w:color="auto" w:fill="auto"/>
            <w:tcMar>
              <w:left w:w="58" w:type="dxa"/>
              <w:right w:w="58" w:type="dxa"/>
            </w:tcMar>
          </w:tcPr>
          <w:p w14:paraId="5D92EF25"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7DD7CDE9" w14:textId="77777777" w:rsidTr="0051060F">
        <w:trPr>
          <w:trHeight w:val="337"/>
        </w:trPr>
        <w:tc>
          <w:tcPr>
            <w:tcW w:w="2261" w:type="dxa"/>
            <w:tcMar>
              <w:left w:w="58" w:type="dxa"/>
              <w:right w:w="58" w:type="dxa"/>
            </w:tcMar>
          </w:tcPr>
          <w:p w14:paraId="730A4BFE" w14:textId="77777777" w:rsidR="000E2C9D" w:rsidRPr="00756D59" w:rsidRDefault="000E2C9D" w:rsidP="0051060F">
            <w:pPr>
              <w:jc w:val="left"/>
              <w:rPr>
                <w:sz w:val="20"/>
                <w:szCs w:val="20"/>
                <w:lang w:val="fr-FR" w:eastAsia="en-CA"/>
              </w:rPr>
            </w:pPr>
            <w:r w:rsidRPr="00756D59">
              <w:rPr>
                <w:bCs/>
                <w:sz w:val="20"/>
                <w:szCs w:val="20"/>
                <w:lang w:val="fr-FR" w:eastAsia="en-CA"/>
              </w:rPr>
              <w:t>Brunei Darussalam</w:t>
            </w:r>
            <w:r w:rsidRPr="00756D59">
              <w:rPr>
                <w:sz w:val="20"/>
                <w:szCs w:val="20"/>
                <w:lang w:val="fr-FR" w:eastAsia="en-CA"/>
              </w:rPr>
              <w:t xml:space="preserve"> </w:t>
            </w:r>
          </w:p>
          <w:p w14:paraId="6D124BBA" w14:textId="77777777" w:rsidR="000E2C9D" w:rsidRPr="00756D59" w:rsidRDefault="000E2C9D" w:rsidP="0051060F">
            <w:pPr>
              <w:jc w:val="left"/>
              <w:rPr>
                <w:bCs/>
                <w:sz w:val="20"/>
                <w:szCs w:val="20"/>
                <w:lang w:val="fr-FR" w:eastAsia="en-CA"/>
              </w:rPr>
            </w:pPr>
            <w:r w:rsidRPr="00756D59">
              <w:rPr>
                <w:sz w:val="20"/>
                <w:szCs w:val="20"/>
                <w:lang w:val="fr-FR" w:eastAsia="en-CA"/>
              </w:rPr>
              <w:t>BRU/SEV/82/TAS/01+</w:t>
            </w:r>
          </w:p>
        </w:tc>
        <w:tc>
          <w:tcPr>
            <w:tcW w:w="3352" w:type="dxa"/>
            <w:tcMar>
              <w:left w:w="58" w:type="dxa"/>
              <w:right w:w="58" w:type="dxa"/>
            </w:tcMar>
          </w:tcPr>
          <w:p w14:paraId="71F01388"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22A3714"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488FB8AE" w14:textId="77777777" w:rsidR="000E2C9D" w:rsidRPr="00756D59" w:rsidRDefault="000E2C9D" w:rsidP="0051060F">
            <w:pPr>
              <w:jc w:val="center"/>
              <w:rPr>
                <w:bCs/>
                <w:sz w:val="20"/>
                <w:szCs w:val="20"/>
                <w:lang w:eastAsia="en-CA"/>
              </w:rPr>
            </w:pPr>
            <w:r w:rsidRPr="00756D59">
              <w:rPr>
                <w:bCs/>
                <w:sz w:val="20"/>
                <w:szCs w:val="20"/>
                <w:lang w:eastAsia="en-CA"/>
              </w:rPr>
              <w:t>17.2</w:t>
            </w:r>
          </w:p>
        </w:tc>
        <w:tc>
          <w:tcPr>
            <w:tcW w:w="4531" w:type="dxa"/>
            <w:tcMar>
              <w:left w:w="58" w:type="dxa"/>
              <w:right w:w="58" w:type="dxa"/>
            </w:tcMar>
          </w:tcPr>
          <w:p w14:paraId="4CACD0D0" w14:textId="77777777" w:rsidR="000E2C9D" w:rsidRPr="00756D59" w:rsidRDefault="000E2C9D" w:rsidP="0051060F">
            <w:pPr>
              <w:jc w:val="left"/>
              <w:rPr>
                <w:sz w:val="20"/>
                <w:szCs w:val="20"/>
                <w:lang w:eastAsia="en-CA"/>
              </w:rPr>
            </w:pPr>
            <w:r w:rsidRPr="00756D59">
              <w:rPr>
                <w:sz w:val="20"/>
                <w:szCs w:val="20"/>
                <w:lang w:eastAsia="en-CA"/>
              </w:rPr>
              <w:t xml:space="preserve">Consultations on Kigali Amendment ratification; roundtable workshops and trainings; finalization of regulation amendment drafts; support for developing HS codes based on revision in 2022; finalization of stickers for </w:t>
            </w:r>
            <w:proofErr w:type="spellStart"/>
            <w:r w:rsidRPr="00756D59">
              <w:rPr>
                <w:sz w:val="20"/>
                <w:szCs w:val="20"/>
                <w:lang w:eastAsia="en-CA"/>
              </w:rPr>
              <w:t>labeling</w:t>
            </w:r>
            <w:proofErr w:type="spellEnd"/>
            <w:r w:rsidRPr="00756D59">
              <w:rPr>
                <w:sz w:val="20"/>
                <w:szCs w:val="20"/>
                <w:lang w:eastAsia="en-CA"/>
              </w:rPr>
              <w:t xml:space="preserve"> of cylinders; development of knowledge products and information materials; and organizing public awareness programme with the energy office.</w:t>
            </w:r>
          </w:p>
        </w:tc>
        <w:tc>
          <w:tcPr>
            <w:tcW w:w="1629" w:type="dxa"/>
            <w:shd w:val="clear" w:color="auto" w:fill="auto"/>
            <w:tcMar>
              <w:left w:w="58" w:type="dxa"/>
              <w:right w:w="58" w:type="dxa"/>
            </w:tcMar>
          </w:tcPr>
          <w:p w14:paraId="1CD3A118"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1ED5CA4A" w14:textId="77777777" w:rsidTr="0051060F">
        <w:trPr>
          <w:trHeight w:val="337"/>
        </w:trPr>
        <w:tc>
          <w:tcPr>
            <w:tcW w:w="2261" w:type="dxa"/>
            <w:tcMar>
              <w:left w:w="58" w:type="dxa"/>
              <w:right w:w="58" w:type="dxa"/>
            </w:tcMar>
          </w:tcPr>
          <w:p w14:paraId="5B036CB0" w14:textId="77777777" w:rsidR="000E2C9D" w:rsidRPr="00756D59" w:rsidRDefault="000E2C9D" w:rsidP="0051060F">
            <w:pPr>
              <w:jc w:val="left"/>
              <w:rPr>
                <w:sz w:val="20"/>
                <w:szCs w:val="20"/>
                <w:lang w:val="es-419" w:eastAsia="en-CA"/>
              </w:rPr>
            </w:pPr>
            <w:r w:rsidRPr="00756D59">
              <w:rPr>
                <w:bCs/>
                <w:sz w:val="20"/>
                <w:szCs w:val="20"/>
                <w:lang w:val="es-419" w:eastAsia="en-CA"/>
              </w:rPr>
              <w:t>Cabo Verde</w:t>
            </w:r>
            <w:r w:rsidRPr="00756D59">
              <w:rPr>
                <w:sz w:val="20"/>
                <w:szCs w:val="20"/>
                <w:lang w:val="es-419" w:eastAsia="en-CA"/>
              </w:rPr>
              <w:t xml:space="preserve"> </w:t>
            </w:r>
          </w:p>
          <w:p w14:paraId="2D6D7E52" w14:textId="77777777" w:rsidR="000E2C9D" w:rsidRPr="00756D59" w:rsidRDefault="000E2C9D" w:rsidP="0051060F">
            <w:pPr>
              <w:jc w:val="left"/>
              <w:rPr>
                <w:bCs/>
                <w:sz w:val="20"/>
                <w:szCs w:val="20"/>
                <w:lang w:val="es-419" w:eastAsia="en-CA"/>
              </w:rPr>
            </w:pPr>
            <w:r w:rsidRPr="00756D59">
              <w:rPr>
                <w:sz w:val="20"/>
                <w:szCs w:val="20"/>
                <w:lang w:val="es-419" w:eastAsia="en-CA"/>
              </w:rPr>
              <w:t>CBI/SEV/82/TAS/01+</w:t>
            </w:r>
          </w:p>
        </w:tc>
        <w:tc>
          <w:tcPr>
            <w:tcW w:w="3352" w:type="dxa"/>
            <w:tcMar>
              <w:left w:w="58" w:type="dxa"/>
              <w:right w:w="58" w:type="dxa"/>
            </w:tcMar>
          </w:tcPr>
          <w:p w14:paraId="5C93D638"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E8E18A8"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1C54B79B" w14:textId="77777777" w:rsidR="000E2C9D" w:rsidRPr="00756D59" w:rsidRDefault="000E2C9D" w:rsidP="0051060F">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79146F3A" w14:textId="77777777" w:rsidR="000E2C9D" w:rsidRPr="00756D59" w:rsidRDefault="000E2C9D" w:rsidP="0051060F">
            <w:pPr>
              <w:jc w:val="left"/>
              <w:rPr>
                <w:sz w:val="20"/>
                <w:szCs w:val="20"/>
                <w:lang w:eastAsia="en-CA"/>
              </w:rPr>
            </w:pPr>
            <w:r w:rsidRPr="00756D59">
              <w:rPr>
                <w:sz w:val="20"/>
                <w:szCs w:val="20"/>
                <w:lang w:eastAsia="en-CA"/>
              </w:rPr>
              <w:t>Development of country-specific HS codes for HFCs; sensitization meetings for technicians on safe handling of HFCs and their alternatives; and assisting Customs Office in developing national custom codes for different HFCs and including them into the Customs Tariff for proper monitoring and recording of imports/exports or re-export of individual HFCs.</w:t>
            </w:r>
          </w:p>
        </w:tc>
        <w:tc>
          <w:tcPr>
            <w:tcW w:w="1629" w:type="dxa"/>
            <w:shd w:val="clear" w:color="auto" w:fill="auto"/>
            <w:tcMar>
              <w:left w:w="58" w:type="dxa"/>
              <w:right w:w="58" w:type="dxa"/>
            </w:tcMar>
          </w:tcPr>
          <w:p w14:paraId="1FFBED92" w14:textId="77777777" w:rsidR="000E2C9D" w:rsidRPr="00756D59" w:rsidRDefault="000E2C9D" w:rsidP="0051060F">
            <w:pPr>
              <w:jc w:val="center"/>
              <w:rPr>
                <w:bCs/>
                <w:sz w:val="20"/>
                <w:szCs w:val="20"/>
                <w:lang w:eastAsia="en-CA"/>
              </w:rPr>
            </w:pPr>
            <w:r w:rsidRPr="00756D59">
              <w:rPr>
                <w:bCs/>
                <w:sz w:val="20"/>
                <w:szCs w:val="20"/>
                <w:lang w:eastAsia="en-CA"/>
              </w:rPr>
              <w:t>Dec-22</w:t>
            </w:r>
          </w:p>
        </w:tc>
      </w:tr>
      <w:tr w:rsidR="000E2C9D" w:rsidRPr="00756D59" w14:paraId="7710F6CE" w14:textId="77777777" w:rsidTr="0051060F">
        <w:trPr>
          <w:trHeight w:val="337"/>
        </w:trPr>
        <w:tc>
          <w:tcPr>
            <w:tcW w:w="2261" w:type="dxa"/>
            <w:tcMar>
              <w:left w:w="58" w:type="dxa"/>
              <w:right w:w="58" w:type="dxa"/>
            </w:tcMar>
          </w:tcPr>
          <w:p w14:paraId="0ABE40F8" w14:textId="77777777" w:rsidR="000E2C9D" w:rsidRPr="00756D59" w:rsidRDefault="000E2C9D" w:rsidP="0051060F">
            <w:pPr>
              <w:jc w:val="left"/>
              <w:rPr>
                <w:sz w:val="20"/>
                <w:szCs w:val="20"/>
                <w:lang w:eastAsia="en-CA"/>
              </w:rPr>
            </w:pPr>
            <w:r w:rsidRPr="00756D59">
              <w:rPr>
                <w:bCs/>
                <w:sz w:val="20"/>
                <w:szCs w:val="20"/>
                <w:lang w:eastAsia="en-CA"/>
              </w:rPr>
              <w:t>Chad</w:t>
            </w:r>
            <w:r w:rsidRPr="00756D59">
              <w:rPr>
                <w:sz w:val="20"/>
                <w:szCs w:val="20"/>
                <w:lang w:eastAsia="en-CA"/>
              </w:rPr>
              <w:t xml:space="preserve"> </w:t>
            </w:r>
          </w:p>
          <w:p w14:paraId="3FCF1388" w14:textId="77777777" w:rsidR="000E2C9D" w:rsidRPr="00756D59" w:rsidRDefault="000E2C9D" w:rsidP="0051060F">
            <w:pPr>
              <w:jc w:val="left"/>
              <w:rPr>
                <w:bCs/>
                <w:sz w:val="20"/>
                <w:szCs w:val="20"/>
                <w:lang w:eastAsia="en-CA"/>
              </w:rPr>
            </w:pPr>
            <w:r w:rsidRPr="00756D59">
              <w:rPr>
                <w:sz w:val="20"/>
                <w:szCs w:val="20"/>
                <w:lang w:eastAsia="en-CA"/>
              </w:rPr>
              <w:t>CHD/SEV/81/TAS/01+</w:t>
            </w:r>
          </w:p>
        </w:tc>
        <w:tc>
          <w:tcPr>
            <w:tcW w:w="3352" w:type="dxa"/>
            <w:tcMar>
              <w:left w:w="58" w:type="dxa"/>
              <w:right w:w="58" w:type="dxa"/>
            </w:tcMar>
          </w:tcPr>
          <w:p w14:paraId="062D0D0B"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95A2129"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1B6E447" w14:textId="77777777" w:rsidR="000E2C9D" w:rsidRPr="00756D59" w:rsidRDefault="000E2C9D" w:rsidP="0051060F">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40607573" w14:textId="77777777" w:rsidR="000E2C9D" w:rsidRPr="00756D59" w:rsidRDefault="000E2C9D" w:rsidP="0051060F">
            <w:pPr>
              <w:jc w:val="left"/>
              <w:rPr>
                <w:sz w:val="20"/>
                <w:szCs w:val="20"/>
                <w:lang w:eastAsia="en-CA"/>
              </w:rPr>
            </w:pPr>
            <w:r w:rsidRPr="00756D59">
              <w:rPr>
                <w:sz w:val="20"/>
                <w:szCs w:val="20"/>
                <w:lang w:eastAsia="en-CA"/>
              </w:rPr>
              <w:t>Supporting Customs Department to develop country-specific national HS codes for HFCs for proper monitoring and recording of imports/exports of individual HFCs/alternatives; and hiring national and international consultants for conducting training needs assessment.</w:t>
            </w:r>
          </w:p>
        </w:tc>
        <w:tc>
          <w:tcPr>
            <w:tcW w:w="1629" w:type="dxa"/>
            <w:shd w:val="clear" w:color="auto" w:fill="auto"/>
            <w:tcMar>
              <w:left w:w="58" w:type="dxa"/>
              <w:right w:w="58" w:type="dxa"/>
            </w:tcMar>
          </w:tcPr>
          <w:p w14:paraId="4F8687B4"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23278DBB" w14:textId="77777777" w:rsidTr="0051060F">
        <w:trPr>
          <w:trHeight w:val="337"/>
        </w:trPr>
        <w:tc>
          <w:tcPr>
            <w:tcW w:w="2261" w:type="dxa"/>
            <w:tcMar>
              <w:left w:w="58" w:type="dxa"/>
              <w:right w:w="58" w:type="dxa"/>
            </w:tcMar>
          </w:tcPr>
          <w:p w14:paraId="60D924AF" w14:textId="77777777" w:rsidR="000E2C9D" w:rsidRPr="00756D59" w:rsidRDefault="000E2C9D" w:rsidP="0051060F">
            <w:pPr>
              <w:jc w:val="left"/>
              <w:rPr>
                <w:sz w:val="20"/>
                <w:szCs w:val="20"/>
                <w:lang w:eastAsia="en-CA"/>
              </w:rPr>
            </w:pPr>
            <w:r w:rsidRPr="00756D59">
              <w:rPr>
                <w:bCs/>
                <w:sz w:val="20"/>
                <w:szCs w:val="20"/>
                <w:lang w:eastAsia="en-CA"/>
              </w:rPr>
              <w:lastRenderedPageBreak/>
              <w:t>Chile</w:t>
            </w:r>
            <w:r w:rsidRPr="00756D59">
              <w:rPr>
                <w:sz w:val="20"/>
                <w:szCs w:val="20"/>
                <w:lang w:eastAsia="en-CA"/>
              </w:rPr>
              <w:t xml:space="preserve"> </w:t>
            </w:r>
          </w:p>
          <w:p w14:paraId="0561447D" w14:textId="77777777" w:rsidR="000E2C9D" w:rsidRPr="00756D59" w:rsidRDefault="000E2C9D" w:rsidP="0051060F">
            <w:pPr>
              <w:jc w:val="left"/>
              <w:rPr>
                <w:bCs/>
                <w:sz w:val="20"/>
                <w:szCs w:val="20"/>
                <w:lang w:eastAsia="en-CA"/>
              </w:rPr>
            </w:pPr>
            <w:r w:rsidRPr="00756D59">
              <w:rPr>
                <w:sz w:val="20"/>
                <w:szCs w:val="20"/>
                <w:lang w:eastAsia="en-CA"/>
              </w:rPr>
              <w:t>CHI/SEV/80/TAS/01+</w:t>
            </w:r>
          </w:p>
        </w:tc>
        <w:tc>
          <w:tcPr>
            <w:tcW w:w="3352" w:type="dxa"/>
            <w:tcMar>
              <w:left w:w="58" w:type="dxa"/>
              <w:right w:w="58" w:type="dxa"/>
            </w:tcMar>
          </w:tcPr>
          <w:p w14:paraId="7F8D2CFF"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6043EAD"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BE55F6B" w14:textId="77777777" w:rsidR="000E2C9D" w:rsidRPr="00756D59" w:rsidRDefault="000E2C9D" w:rsidP="0051060F">
            <w:pPr>
              <w:jc w:val="center"/>
              <w:rPr>
                <w:bCs/>
                <w:sz w:val="20"/>
                <w:szCs w:val="20"/>
                <w:lang w:eastAsia="en-CA"/>
              </w:rPr>
            </w:pPr>
            <w:r w:rsidRPr="00756D59">
              <w:rPr>
                <w:bCs/>
                <w:sz w:val="20"/>
                <w:szCs w:val="20"/>
                <w:lang w:eastAsia="en-CA"/>
              </w:rPr>
              <w:t>52.1</w:t>
            </w:r>
          </w:p>
        </w:tc>
        <w:tc>
          <w:tcPr>
            <w:tcW w:w="4531" w:type="dxa"/>
            <w:tcMar>
              <w:left w:w="58" w:type="dxa"/>
              <w:right w:w="58" w:type="dxa"/>
            </w:tcMar>
          </w:tcPr>
          <w:p w14:paraId="398A6D47" w14:textId="77777777" w:rsidR="000E2C9D" w:rsidRPr="00756D59" w:rsidRDefault="000E2C9D" w:rsidP="0051060F">
            <w:pPr>
              <w:jc w:val="left"/>
              <w:rPr>
                <w:sz w:val="20"/>
                <w:szCs w:val="20"/>
                <w:lang w:eastAsia="en-CA"/>
              </w:rPr>
            </w:pPr>
            <w:r w:rsidRPr="00756D59">
              <w:rPr>
                <w:sz w:val="20"/>
                <w:szCs w:val="20"/>
                <w:lang w:eastAsia="en-CA"/>
              </w:rPr>
              <w:t>Specialized training in HFC controls for customs officers.</w:t>
            </w:r>
          </w:p>
        </w:tc>
        <w:tc>
          <w:tcPr>
            <w:tcW w:w="1629" w:type="dxa"/>
            <w:shd w:val="clear" w:color="auto" w:fill="auto"/>
            <w:tcMar>
              <w:left w:w="58" w:type="dxa"/>
              <w:right w:w="58" w:type="dxa"/>
            </w:tcMar>
          </w:tcPr>
          <w:p w14:paraId="0E8F1BBB"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4A44E21B" w14:textId="77777777" w:rsidTr="0051060F">
        <w:trPr>
          <w:trHeight w:val="337"/>
        </w:trPr>
        <w:tc>
          <w:tcPr>
            <w:tcW w:w="2261" w:type="dxa"/>
            <w:tcMar>
              <w:left w:w="58" w:type="dxa"/>
              <w:right w:w="58" w:type="dxa"/>
            </w:tcMar>
          </w:tcPr>
          <w:p w14:paraId="3F750CA2" w14:textId="77777777" w:rsidR="000E2C9D" w:rsidRPr="00756D59" w:rsidRDefault="000E2C9D" w:rsidP="0051060F">
            <w:pPr>
              <w:jc w:val="left"/>
              <w:rPr>
                <w:sz w:val="20"/>
                <w:szCs w:val="20"/>
                <w:lang w:eastAsia="en-CA"/>
              </w:rPr>
            </w:pPr>
            <w:r w:rsidRPr="00756D59">
              <w:rPr>
                <w:bCs/>
                <w:sz w:val="20"/>
                <w:szCs w:val="20"/>
                <w:lang w:eastAsia="en-CA"/>
              </w:rPr>
              <w:t>Comoros</w:t>
            </w:r>
            <w:r w:rsidRPr="00756D59">
              <w:rPr>
                <w:sz w:val="20"/>
                <w:szCs w:val="20"/>
                <w:lang w:eastAsia="en-CA"/>
              </w:rPr>
              <w:t xml:space="preserve"> (the)</w:t>
            </w:r>
          </w:p>
          <w:p w14:paraId="08728A8E" w14:textId="77777777" w:rsidR="000E2C9D" w:rsidRPr="00756D59" w:rsidRDefault="000E2C9D" w:rsidP="0051060F">
            <w:pPr>
              <w:jc w:val="left"/>
              <w:rPr>
                <w:bCs/>
                <w:sz w:val="20"/>
                <w:szCs w:val="20"/>
                <w:lang w:eastAsia="en-CA"/>
              </w:rPr>
            </w:pPr>
            <w:r w:rsidRPr="00756D59">
              <w:rPr>
                <w:sz w:val="20"/>
                <w:szCs w:val="20"/>
                <w:lang w:eastAsia="en-CA"/>
              </w:rPr>
              <w:t>COI/SEV/81/TAS/01+</w:t>
            </w:r>
          </w:p>
        </w:tc>
        <w:tc>
          <w:tcPr>
            <w:tcW w:w="3352" w:type="dxa"/>
            <w:tcMar>
              <w:left w:w="58" w:type="dxa"/>
              <w:right w:w="58" w:type="dxa"/>
            </w:tcMar>
          </w:tcPr>
          <w:p w14:paraId="2D3A2C0C"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BB8A69F"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5DCE891" w14:textId="77777777" w:rsidR="000E2C9D" w:rsidRPr="00756D59" w:rsidRDefault="000E2C9D" w:rsidP="0051060F">
            <w:pPr>
              <w:jc w:val="center"/>
              <w:rPr>
                <w:bCs/>
                <w:sz w:val="20"/>
                <w:szCs w:val="20"/>
                <w:lang w:eastAsia="en-CA"/>
              </w:rPr>
            </w:pPr>
            <w:r w:rsidRPr="00756D59">
              <w:rPr>
                <w:bCs/>
                <w:sz w:val="20"/>
                <w:szCs w:val="20"/>
                <w:lang w:eastAsia="en-CA"/>
              </w:rPr>
              <w:t>79.6</w:t>
            </w:r>
          </w:p>
        </w:tc>
        <w:tc>
          <w:tcPr>
            <w:tcW w:w="4531" w:type="dxa"/>
            <w:tcMar>
              <w:left w:w="58" w:type="dxa"/>
              <w:right w:w="58" w:type="dxa"/>
            </w:tcMar>
          </w:tcPr>
          <w:p w14:paraId="66D2F577" w14:textId="77777777" w:rsidR="000E2C9D" w:rsidRPr="00756D59" w:rsidRDefault="000E2C9D" w:rsidP="0051060F">
            <w:pPr>
              <w:jc w:val="left"/>
              <w:rPr>
                <w:sz w:val="20"/>
                <w:szCs w:val="20"/>
                <w:lang w:eastAsia="en-CA"/>
              </w:rPr>
            </w:pPr>
            <w:r w:rsidRPr="00756D59">
              <w:rPr>
                <w:sz w:val="20"/>
                <w:szCs w:val="20"/>
                <w:lang w:eastAsia="en-CA"/>
              </w:rPr>
              <w:t>Conduct sensitization meetings for technicians on safe handling of HFCs/alternatives; hiring international consultant for training need assessment; and assisting the Customs Department for developing country-specific HS codes for HFCs to facilitate proper monitoring and recording of imports/exports of individual HFCs/alternatives.</w:t>
            </w:r>
          </w:p>
        </w:tc>
        <w:tc>
          <w:tcPr>
            <w:tcW w:w="1629" w:type="dxa"/>
            <w:shd w:val="clear" w:color="auto" w:fill="auto"/>
            <w:tcMar>
              <w:left w:w="58" w:type="dxa"/>
              <w:right w:w="58" w:type="dxa"/>
            </w:tcMar>
          </w:tcPr>
          <w:p w14:paraId="461FBA8F"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7F34706D" w14:textId="77777777" w:rsidTr="0051060F">
        <w:trPr>
          <w:trHeight w:val="337"/>
        </w:trPr>
        <w:tc>
          <w:tcPr>
            <w:tcW w:w="2261" w:type="dxa"/>
            <w:tcMar>
              <w:left w:w="58" w:type="dxa"/>
              <w:right w:w="58" w:type="dxa"/>
            </w:tcMar>
          </w:tcPr>
          <w:p w14:paraId="4FA2FDB3" w14:textId="77777777" w:rsidR="000E2C9D" w:rsidRPr="00756D59" w:rsidRDefault="000E2C9D" w:rsidP="0051060F">
            <w:pPr>
              <w:jc w:val="left"/>
              <w:rPr>
                <w:sz w:val="20"/>
                <w:szCs w:val="20"/>
                <w:lang w:eastAsia="en-CA"/>
              </w:rPr>
            </w:pPr>
            <w:r w:rsidRPr="00756D59">
              <w:rPr>
                <w:bCs/>
                <w:sz w:val="20"/>
                <w:szCs w:val="20"/>
                <w:lang w:eastAsia="en-CA"/>
              </w:rPr>
              <w:t>Cook Islands</w:t>
            </w:r>
            <w:r w:rsidRPr="00756D59">
              <w:rPr>
                <w:sz w:val="20"/>
                <w:szCs w:val="20"/>
                <w:lang w:eastAsia="en-CA"/>
              </w:rPr>
              <w:t xml:space="preserve"> (the)</w:t>
            </w:r>
          </w:p>
          <w:p w14:paraId="3AEB9857" w14:textId="77777777" w:rsidR="000E2C9D" w:rsidRPr="00756D59" w:rsidRDefault="000E2C9D" w:rsidP="0051060F">
            <w:pPr>
              <w:jc w:val="left"/>
              <w:rPr>
                <w:bCs/>
                <w:sz w:val="20"/>
                <w:szCs w:val="20"/>
                <w:lang w:eastAsia="en-CA"/>
              </w:rPr>
            </w:pPr>
            <w:r w:rsidRPr="00756D59">
              <w:rPr>
                <w:sz w:val="20"/>
                <w:szCs w:val="20"/>
                <w:lang w:eastAsia="en-CA"/>
              </w:rPr>
              <w:t>CKI/SEV/82/TAS/01+</w:t>
            </w:r>
          </w:p>
        </w:tc>
        <w:tc>
          <w:tcPr>
            <w:tcW w:w="3352" w:type="dxa"/>
            <w:tcMar>
              <w:left w:w="58" w:type="dxa"/>
              <w:right w:w="58" w:type="dxa"/>
            </w:tcMar>
          </w:tcPr>
          <w:p w14:paraId="7B40130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427C492"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64ACEFC6" w14:textId="77777777" w:rsidR="000E2C9D" w:rsidRPr="00756D59" w:rsidRDefault="000E2C9D" w:rsidP="0051060F">
            <w:pPr>
              <w:jc w:val="center"/>
              <w:rPr>
                <w:bCs/>
                <w:sz w:val="20"/>
                <w:szCs w:val="20"/>
                <w:lang w:eastAsia="en-CA"/>
              </w:rPr>
            </w:pPr>
            <w:r w:rsidRPr="00756D59">
              <w:rPr>
                <w:bCs/>
                <w:sz w:val="20"/>
                <w:szCs w:val="20"/>
                <w:lang w:eastAsia="en-CA"/>
              </w:rPr>
              <w:t>47.4</w:t>
            </w:r>
          </w:p>
        </w:tc>
        <w:tc>
          <w:tcPr>
            <w:tcW w:w="4531" w:type="dxa"/>
            <w:tcMar>
              <w:left w:w="58" w:type="dxa"/>
              <w:right w:w="58" w:type="dxa"/>
            </w:tcMar>
          </w:tcPr>
          <w:p w14:paraId="59777DDB"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 roundtable workshops and trainings for servicing sector; finalization of the amendment to the ozone layer protection regulation for strengthening HFC controls; and development of knowledge products and information materials on Kigali Amendment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58242F3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34713B92" w14:textId="77777777" w:rsidTr="0051060F">
        <w:trPr>
          <w:trHeight w:val="337"/>
        </w:trPr>
        <w:tc>
          <w:tcPr>
            <w:tcW w:w="2261" w:type="dxa"/>
            <w:tcMar>
              <w:left w:w="58" w:type="dxa"/>
              <w:right w:w="58" w:type="dxa"/>
            </w:tcMar>
          </w:tcPr>
          <w:p w14:paraId="19C9F3D2" w14:textId="77777777" w:rsidR="000E2C9D" w:rsidRPr="00756D59" w:rsidRDefault="000E2C9D" w:rsidP="0051060F">
            <w:pPr>
              <w:jc w:val="left"/>
              <w:rPr>
                <w:sz w:val="20"/>
                <w:szCs w:val="20"/>
                <w:lang w:val="fr-FR" w:eastAsia="en-CA"/>
              </w:rPr>
            </w:pPr>
            <w:r w:rsidRPr="00756D59">
              <w:rPr>
                <w:bCs/>
                <w:sz w:val="20"/>
                <w:szCs w:val="20"/>
                <w:lang w:val="fr-FR" w:eastAsia="en-CA"/>
              </w:rPr>
              <w:t>Cote d’Ivoire</w:t>
            </w:r>
            <w:r w:rsidRPr="00756D59">
              <w:rPr>
                <w:sz w:val="20"/>
                <w:szCs w:val="20"/>
                <w:lang w:val="fr-FR" w:eastAsia="en-CA"/>
              </w:rPr>
              <w:t xml:space="preserve"> </w:t>
            </w:r>
          </w:p>
          <w:p w14:paraId="739B7A41" w14:textId="77777777" w:rsidR="000E2C9D" w:rsidRPr="00756D59" w:rsidRDefault="000E2C9D" w:rsidP="0051060F">
            <w:pPr>
              <w:jc w:val="left"/>
              <w:rPr>
                <w:bCs/>
                <w:sz w:val="20"/>
                <w:szCs w:val="20"/>
                <w:lang w:val="fr-FR" w:eastAsia="en-CA"/>
              </w:rPr>
            </w:pPr>
            <w:r w:rsidRPr="00756D59">
              <w:rPr>
                <w:sz w:val="20"/>
                <w:szCs w:val="20"/>
                <w:lang w:val="fr-FR" w:eastAsia="en-CA"/>
              </w:rPr>
              <w:t>IVC/SEV/81/TAS/01+</w:t>
            </w:r>
          </w:p>
        </w:tc>
        <w:tc>
          <w:tcPr>
            <w:tcW w:w="3352" w:type="dxa"/>
            <w:tcMar>
              <w:left w:w="58" w:type="dxa"/>
              <w:right w:w="58" w:type="dxa"/>
            </w:tcMar>
          </w:tcPr>
          <w:p w14:paraId="2EAE0DF2"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659B9F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B40AD73" w14:textId="77777777" w:rsidR="000E2C9D" w:rsidRPr="00756D59" w:rsidRDefault="000E2C9D" w:rsidP="0051060F">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1B4AD166" w14:textId="77777777" w:rsidR="000E2C9D" w:rsidRPr="00756D59" w:rsidRDefault="000E2C9D" w:rsidP="0051060F">
            <w:pPr>
              <w:jc w:val="left"/>
              <w:rPr>
                <w:sz w:val="20"/>
                <w:szCs w:val="20"/>
                <w:lang w:eastAsia="en-CA"/>
              </w:rPr>
            </w:pPr>
            <w:r w:rsidRPr="00756D59">
              <w:rPr>
                <w:sz w:val="20"/>
                <w:szCs w:val="20"/>
                <w:lang w:eastAsia="en-CA"/>
              </w:rPr>
              <w:t>Assisting Customs Office in developing national custom codes for different HFCs and including them into the Customs Tariff for proper monitoring and recording of imports/exports or re</w:t>
            </w:r>
            <w:r w:rsidRPr="00756D59">
              <w:rPr>
                <w:sz w:val="20"/>
                <w:szCs w:val="20"/>
                <w:lang w:eastAsia="en-CA"/>
              </w:rPr>
              <w:noBreakHyphen/>
              <w:t>export of individual HFCs; and hiring international consultant for training needs assessment.</w:t>
            </w:r>
          </w:p>
        </w:tc>
        <w:tc>
          <w:tcPr>
            <w:tcW w:w="1629" w:type="dxa"/>
            <w:shd w:val="clear" w:color="auto" w:fill="auto"/>
            <w:tcMar>
              <w:left w:w="58" w:type="dxa"/>
              <w:right w:w="58" w:type="dxa"/>
            </w:tcMar>
          </w:tcPr>
          <w:p w14:paraId="204FE782"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EDBCE27" w14:textId="77777777" w:rsidTr="0051060F">
        <w:trPr>
          <w:trHeight w:val="337"/>
        </w:trPr>
        <w:tc>
          <w:tcPr>
            <w:tcW w:w="2261" w:type="dxa"/>
            <w:tcMar>
              <w:left w:w="58" w:type="dxa"/>
              <w:right w:w="58" w:type="dxa"/>
            </w:tcMar>
          </w:tcPr>
          <w:p w14:paraId="7707259B" w14:textId="77777777" w:rsidR="000E2C9D" w:rsidRPr="00756D59" w:rsidRDefault="000E2C9D" w:rsidP="0051060F">
            <w:pPr>
              <w:jc w:val="left"/>
              <w:rPr>
                <w:sz w:val="20"/>
                <w:szCs w:val="20"/>
                <w:lang w:eastAsia="en-CA"/>
              </w:rPr>
            </w:pPr>
            <w:r w:rsidRPr="00756D59">
              <w:rPr>
                <w:bCs/>
                <w:sz w:val="20"/>
                <w:szCs w:val="20"/>
                <w:lang w:eastAsia="en-CA"/>
              </w:rPr>
              <w:t>Democratic Republic of the Congo (the)</w:t>
            </w:r>
            <w:r w:rsidRPr="00756D59">
              <w:rPr>
                <w:sz w:val="20"/>
                <w:szCs w:val="20"/>
                <w:lang w:eastAsia="en-CA"/>
              </w:rPr>
              <w:t xml:space="preserve"> </w:t>
            </w:r>
          </w:p>
          <w:p w14:paraId="683A95C8" w14:textId="77777777" w:rsidR="000E2C9D" w:rsidRPr="00756D59" w:rsidRDefault="000E2C9D" w:rsidP="0051060F">
            <w:pPr>
              <w:jc w:val="left"/>
              <w:rPr>
                <w:bCs/>
                <w:sz w:val="20"/>
                <w:szCs w:val="20"/>
                <w:lang w:eastAsia="en-CA"/>
              </w:rPr>
            </w:pPr>
            <w:r w:rsidRPr="00756D59">
              <w:rPr>
                <w:sz w:val="20"/>
                <w:szCs w:val="20"/>
                <w:lang w:eastAsia="en-CA"/>
              </w:rPr>
              <w:t>DRC/SEV/81/TAS/01+</w:t>
            </w:r>
          </w:p>
        </w:tc>
        <w:tc>
          <w:tcPr>
            <w:tcW w:w="3352" w:type="dxa"/>
            <w:tcMar>
              <w:left w:w="58" w:type="dxa"/>
              <w:right w:w="58" w:type="dxa"/>
            </w:tcMar>
          </w:tcPr>
          <w:p w14:paraId="2A90F7D8"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680D94F"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81D7C3F" w14:textId="77777777" w:rsidR="000E2C9D" w:rsidRPr="00756D59" w:rsidRDefault="000E2C9D" w:rsidP="0051060F">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4E3460D7" w14:textId="77777777" w:rsidR="000E2C9D" w:rsidRPr="00756D59" w:rsidRDefault="000E2C9D" w:rsidP="0051060F">
            <w:pPr>
              <w:jc w:val="left"/>
              <w:rPr>
                <w:sz w:val="20"/>
                <w:szCs w:val="20"/>
                <w:lang w:eastAsia="en-CA"/>
              </w:rPr>
            </w:pPr>
            <w:r w:rsidRPr="00756D59">
              <w:rPr>
                <w:sz w:val="20"/>
                <w:szCs w:val="20"/>
                <w:lang w:eastAsia="en-CA"/>
              </w:rPr>
              <w:t>Drafting the law on ratification of the Kigali Amendment with the justification; analysis of the ozone and climate policy/legislation and drafting the amendments to the existing legislation to allow for ratification of the Kigali Amendment; conducting training needs assessment for the servicing sector and preparing an assessment report; and finalizing the package on the ratification of Kigali Amendment and advancing the ratification process.</w:t>
            </w:r>
          </w:p>
        </w:tc>
        <w:tc>
          <w:tcPr>
            <w:tcW w:w="1629" w:type="dxa"/>
            <w:shd w:val="clear" w:color="auto" w:fill="auto"/>
            <w:tcMar>
              <w:left w:w="58" w:type="dxa"/>
              <w:right w:w="58" w:type="dxa"/>
            </w:tcMar>
          </w:tcPr>
          <w:p w14:paraId="4A73FDC8"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3EF15AF5" w14:textId="77777777" w:rsidTr="0051060F">
        <w:trPr>
          <w:trHeight w:val="337"/>
        </w:trPr>
        <w:tc>
          <w:tcPr>
            <w:tcW w:w="2261" w:type="dxa"/>
            <w:tcMar>
              <w:left w:w="58" w:type="dxa"/>
              <w:right w:w="58" w:type="dxa"/>
            </w:tcMar>
          </w:tcPr>
          <w:p w14:paraId="3180889C" w14:textId="77777777" w:rsidR="000E2C9D" w:rsidRPr="00756D59" w:rsidRDefault="000E2C9D" w:rsidP="0051060F">
            <w:pPr>
              <w:jc w:val="left"/>
              <w:rPr>
                <w:sz w:val="20"/>
                <w:szCs w:val="20"/>
                <w:lang w:eastAsia="en-CA"/>
              </w:rPr>
            </w:pPr>
            <w:r w:rsidRPr="00756D59">
              <w:rPr>
                <w:bCs/>
                <w:sz w:val="20"/>
                <w:szCs w:val="20"/>
                <w:lang w:eastAsia="en-CA"/>
              </w:rPr>
              <w:t>Djibouti</w:t>
            </w:r>
            <w:r w:rsidRPr="00756D59">
              <w:rPr>
                <w:sz w:val="20"/>
                <w:szCs w:val="20"/>
                <w:lang w:eastAsia="en-CA"/>
              </w:rPr>
              <w:t xml:space="preserve"> </w:t>
            </w:r>
          </w:p>
          <w:p w14:paraId="2B05855E" w14:textId="77777777" w:rsidR="000E2C9D" w:rsidRPr="00756D59" w:rsidRDefault="000E2C9D" w:rsidP="0051060F">
            <w:pPr>
              <w:jc w:val="left"/>
              <w:rPr>
                <w:bCs/>
                <w:sz w:val="20"/>
                <w:szCs w:val="20"/>
                <w:lang w:eastAsia="en-CA"/>
              </w:rPr>
            </w:pPr>
            <w:r w:rsidRPr="00756D59">
              <w:rPr>
                <w:sz w:val="20"/>
                <w:szCs w:val="20"/>
                <w:lang w:eastAsia="en-CA"/>
              </w:rPr>
              <w:t>DJI/SEV/81/TAS/01+</w:t>
            </w:r>
          </w:p>
        </w:tc>
        <w:tc>
          <w:tcPr>
            <w:tcW w:w="3352" w:type="dxa"/>
            <w:tcMar>
              <w:left w:w="58" w:type="dxa"/>
              <w:right w:w="58" w:type="dxa"/>
            </w:tcMar>
          </w:tcPr>
          <w:p w14:paraId="0DDA1F9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3F9F544"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742E149" w14:textId="77777777" w:rsidR="000E2C9D" w:rsidRPr="00756D59" w:rsidRDefault="000E2C9D" w:rsidP="0051060F">
            <w:pPr>
              <w:jc w:val="center"/>
              <w:rPr>
                <w:bCs/>
                <w:sz w:val="20"/>
                <w:szCs w:val="20"/>
                <w:lang w:eastAsia="en-CA"/>
              </w:rPr>
            </w:pPr>
            <w:r w:rsidRPr="00756D59">
              <w:rPr>
                <w:bCs/>
                <w:sz w:val="20"/>
                <w:szCs w:val="20"/>
                <w:lang w:eastAsia="en-CA"/>
              </w:rPr>
              <w:t>40</w:t>
            </w:r>
          </w:p>
        </w:tc>
        <w:tc>
          <w:tcPr>
            <w:tcW w:w="4531" w:type="dxa"/>
            <w:tcMar>
              <w:left w:w="58" w:type="dxa"/>
              <w:right w:w="58" w:type="dxa"/>
            </w:tcMar>
          </w:tcPr>
          <w:p w14:paraId="4BC96E1B" w14:textId="77777777" w:rsidR="000E2C9D" w:rsidRPr="00756D59" w:rsidRDefault="000E2C9D" w:rsidP="0051060F">
            <w:pPr>
              <w:jc w:val="left"/>
              <w:rPr>
                <w:sz w:val="20"/>
                <w:szCs w:val="20"/>
                <w:lang w:eastAsia="en-CA"/>
              </w:rPr>
            </w:pPr>
            <w:r w:rsidRPr="00756D59">
              <w:rPr>
                <w:sz w:val="20"/>
                <w:szCs w:val="20"/>
                <w:lang w:eastAsia="en-CA"/>
              </w:rPr>
              <w:t>Finalizing the package on the ratification of the Kigali Amendment and advancing the ratification process; undertaking the training needs assessment for the servicing sector and preparing an assessment report; and conducting sensitization meetings for technicians on safe handling of HFCs and their alternatives.</w:t>
            </w:r>
          </w:p>
        </w:tc>
        <w:tc>
          <w:tcPr>
            <w:tcW w:w="1629" w:type="dxa"/>
            <w:shd w:val="clear" w:color="auto" w:fill="auto"/>
            <w:tcMar>
              <w:left w:w="58" w:type="dxa"/>
              <w:right w:w="58" w:type="dxa"/>
            </w:tcMar>
          </w:tcPr>
          <w:p w14:paraId="0991F1AE"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34166265" w14:textId="77777777" w:rsidTr="0051060F">
        <w:trPr>
          <w:trHeight w:val="337"/>
        </w:trPr>
        <w:tc>
          <w:tcPr>
            <w:tcW w:w="2261" w:type="dxa"/>
            <w:tcMar>
              <w:left w:w="58" w:type="dxa"/>
              <w:right w:w="58" w:type="dxa"/>
            </w:tcMar>
          </w:tcPr>
          <w:p w14:paraId="4C3B2C10" w14:textId="77777777" w:rsidR="000E2C9D" w:rsidRPr="00756D59" w:rsidRDefault="000E2C9D" w:rsidP="0051060F">
            <w:pPr>
              <w:jc w:val="left"/>
              <w:rPr>
                <w:sz w:val="20"/>
                <w:szCs w:val="20"/>
                <w:lang w:eastAsia="en-CA"/>
              </w:rPr>
            </w:pPr>
            <w:r w:rsidRPr="00756D59">
              <w:rPr>
                <w:bCs/>
                <w:sz w:val="20"/>
                <w:szCs w:val="20"/>
                <w:lang w:eastAsia="en-CA"/>
              </w:rPr>
              <w:lastRenderedPageBreak/>
              <w:t>Dominica</w:t>
            </w:r>
            <w:r w:rsidRPr="00756D59">
              <w:rPr>
                <w:sz w:val="20"/>
                <w:szCs w:val="20"/>
                <w:lang w:eastAsia="en-CA"/>
              </w:rPr>
              <w:t xml:space="preserve"> </w:t>
            </w:r>
          </w:p>
          <w:p w14:paraId="15165175" w14:textId="77777777" w:rsidR="000E2C9D" w:rsidRPr="00756D59" w:rsidRDefault="000E2C9D" w:rsidP="0051060F">
            <w:pPr>
              <w:jc w:val="left"/>
              <w:rPr>
                <w:bCs/>
                <w:sz w:val="20"/>
                <w:szCs w:val="20"/>
                <w:lang w:eastAsia="en-CA"/>
              </w:rPr>
            </w:pPr>
            <w:r w:rsidRPr="00756D59">
              <w:rPr>
                <w:sz w:val="20"/>
                <w:szCs w:val="20"/>
                <w:lang w:eastAsia="en-CA"/>
              </w:rPr>
              <w:t>DMI/SEV/80/TAS/01+</w:t>
            </w:r>
          </w:p>
        </w:tc>
        <w:tc>
          <w:tcPr>
            <w:tcW w:w="3352" w:type="dxa"/>
            <w:tcMar>
              <w:left w:w="58" w:type="dxa"/>
              <w:right w:w="58" w:type="dxa"/>
            </w:tcMar>
          </w:tcPr>
          <w:p w14:paraId="143FC1B5"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CF70C2D"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C9B08DE" w14:textId="77777777" w:rsidR="000E2C9D" w:rsidRPr="00756D59" w:rsidRDefault="000E2C9D" w:rsidP="0051060F">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42B0037E" w14:textId="77777777" w:rsidR="000E2C9D" w:rsidRPr="00756D59" w:rsidRDefault="000E2C9D" w:rsidP="0051060F">
            <w:pPr>
              <w:jc w:val="left"/>
              <w:rPr>
                <w:sz w:val="20"/>
                <w:szCs w:val="20"/>
                <w:lang w:eastAsia="en-CA"/>
              </w:rPr>
            </w:pPr>
            <w:r w:rsidRPr="00756D59">
              <w:rPr>
                <w:sz w:val="20"/>
                <w:szCs w:val="20"/>
                <w:lang w:eastAsia="en-CA"/>
              </w:rPr>
              <w:t>Analysis of ozone and climate legislation to support the Kigali Amendment; policy paper on Kigali Amendment ratification; stakeholder consultations meetings and awareness raising on HFC phase-down and energy efficiency; training needs assessment for the RAC service sector; mapping of HFCs available on the local market; technical assistance on HFC data collection; RAC technology trends projection; symposium on Kigali Amendment ratification impacts, seminar on the transition to low-GWP alternatives; training for technicians on management of alternatives; consultations on the revision/review of the ODS licensing and quota systems; developing country-specific HS codes for HFCs; and knowledge, attitude, and practices study of the RAC service sector, national strategy on staged approach to introducing low</w:t>
            </w:r>
            <w:r w:rsidRPr="00756D59">
              <w:rPr>
                <w:sz w:val="20"/>
                <w:szCs w:val="20"/>
                <w:lang w:eastAsia="en-CA"/>
              </w:rPr>
              <w:noBreakHyphen/>
              <w:t>GWP and energy efficient alternatives and support the RAC service sector in adopting new alternatives.</w:t>
            </w:r>
          </w:p>
        </w:tc>
        <w:tc>
          <w:tcPr>
            <w:tcW w:w="1629" w:type="dxa"/>
            <w:shd w:val="clear" w:color="auto" w:fill="auto"/>
            <w:tcMar>
              <w:left w:w="58" w:type="dxa"/>
              <w:right w:w="58" w:type="dxa"/>
            </w:tcMar>
          </w:tcPr>
          <w:p w14:paraId="7582C041"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1B86C9AD" w14:textId="77777777" w:rsidTr="0051060F">
        <w:trPr>
          <w:trHeight w:val="337"/>
        </w:trPr>
        <w:tc>
          <w:tcPr>
            <w:tcW w:w="2261" w:type="dxa"/>
            <w:tcMar>
              <w:left w:w="58" w:type="dxa"/>
              <w:right w:w="58" w:type="dxa"/>
            </w:tcMar>
          </w:tcPr>
          <w:p w14:paraId="59C97C01" w14:textId="77777777" w:rsidR="000E2C9D" w:rsidRPr="00756D59" w:rsidRDefault="000E2C9D" w:rsidP="0051060F">
            <w:pPr>
              <w:jc w:val="left"/>
              <w:rPr>
                <w:sz w:val="20"/>
                <w:szCs w:val="20"/>
                <w:lang w:eastAsia="en-CA"/>
              </w:rPr>
            </w:pPr>
            <w:r w:rsidRPr="00756D59">
              <w:rPr>
                <w:bCs/>
                <w:sz w:val="20"/>
                <w:szCs w:val="20"/>
                <w:lang w:eastAsia="en-CA"/>
              </w:rPr>
              <w:t>Dominican Republic</w:t>
            </w:r>
            <w:r w:rsidRPr="00756D59">
              <w:rPr>
                <w:sz w:val="20"/>
                <w:szCs w:val="20"/>
                <w:lang w:eastAsia="en-CA"/>
              </w:rPr>
              <w:t xml:space="preserve"> (the)</w:t>
            </w:r>
          </w:p>
          <w:p w14:paraId="21A71EDD" w14:textId="77777777" w:rsidR="000E2C9D" w:rsidRPr="00756D59" w:rsidRDefault="000E2C9D" w:rsidP="0051060F">
            <w:pPr>
              <w:jc w:val="left"/>
              <w:rPr>
                <w:bCs/>
                <w:sz w:val="20"/>
                <w:szCs w:val="20"/>
                <w:lang w:eastAsia="en-CA"/>
              </w:rPr>
            </w:pPr>
            <w:r w:rsidRPr="00756D59">
              <w:rPr>
                <w:sz w:val="20"/>
                <w:szCs w:val="20"/>
                <w:lang w:eastAsia="en-CA"/>
              </w:rPr>
              <w:t>DOM/SEV/80/TAS/02+</w:t>
            </w:r>
          </w:p>
        </w:tc>
        <w:tc>
          <w:tcPr>
            <w:tcW w:w="3352" w:type="dxa"/>
            <w:tcMar>
              <w:left w:w="58" w:type="dxa"/>
              <w:right w:w="58" w:type="dxa"/>
            </w:tcMar>
          </w:tcPr>
          <w:p w14:paraId="2357B85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7488479"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40F1B1B" w14:textId="77777777" w:rsidR="000E2C9D" w:rsidRPr="00756D59" w:rsidRDefault="000E2C9D" w:rsidP="0051060F">
            <w:pPr>
              <w:jc w:val="center"/>
              <w:rPr>
                <w:bCs/>
                <w:sz w:val="20"/>
                <w:szCs w:val="20"/>
                <w:lang w:eastAsia="en-CA"/>
              </w:rPr>
            </w:pPr>
            <w:r w:rsidRPr="00756D59">
              <w:rPr>
                <w:bCs/>
                <w:sz w:val="20"/>
                <w:szCs w:val="20"/>
                <w:lang w:eastAsia="en-CA"/>
              </w:rPr>
              <w:t>84.3</w:t>
            </w:r>
          </w:p>
        </w:tc>
        <w:tc>
          <w:tcPr>
            <w:tcW w:w="4531" w:type="dxa"/>
            <w:tcMar>
              <w:left w:w="58" w:type="dxa"/>
              <w:right w:w="58" w:type="dxa"/>
            </w:tcMar>
          </w:tcPr>
          <w:p w14:paraId="428FAC1B" w14:textId="77777777" w:rsidR="000E2C9D" w:rsidRPr="00756D59" w:rsidRDefault="000E2C9D" w:rsidP="0051060F">
            <w:pPr>
              <w:jc w:val="left"/>
              <w:rPr>
                <w:sz w:val="20"/>
                <w:szCs w:val="20"/>
                <w:lang w:eastAsia="en-CA"/>
              </w:rPr>
            </w:pPr>
            <w:r w:rsidRPr="00756D59">
              <w:rPr>
                <w:sz w:val="20"/>
                <w:szCs w:val="20"/>
                <w:lang w:eastAsia="en-CA"/>
              </w:rPr>
              <w:t>Targeted public awareness and outreach campaigns on alternative low-/zero-GWP refrigerants, energy efficiency, servicing procedures and certification of technicians.</w:t>
            </w:r>
          </w:p>
        </w:tc>
        <w:tc>
          <w:tcPr>
            <w:tcW w:w="1629" w:type="dxa"/>
            <w:shd w:val="clear" w:color="auto" w:fill="auto"/>
            <w:tcMar>
              <w:left w:w="58" w:type="dxa"/>
              <w:right w:w="58" w:type="dxa"/>
            </w:tcMar>
          </w:tcPr>
          <w:p w14:paraId="1CCA64B9"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09C0523A" w14:textId="77777777" w:rsidTr="0051060F">
        <w:trPr>
          <w:trHeight w:val="337"/>
        </w:trPr>
        <w:tc>
          <w:tcPr>
            <w:tcW w:w="2261" w:type="dxa"/>
            <w:tcMar>
              <w:left w:w="58" w:type="dxa"/>
              <w:right w:w="58" w:type="dxa"/>
            </w:tcMar>
          </w:tcPr>
          <w:p w14:paraId="1CF3BBBB" w14:textId="77777777" w:rsidR="000E2C9D" w:rsidRPr="00756D59" w:rsidRDefault="000E2C9D" w:rsidP="0051060F">
            <w:pPr>
              <w:jc w:val="left"/>
              <w:rPr>
                <w:sz w:val="20"/>
                <w:szCs w:val="20"/>
                <w:lang w:eastAsia="en-CA"/>
              </w:rPr>
            </w:pPr>
            <w:r w:rsidRPr="00756D59">
              <w:rPr>
                <w:bCs/>
                <w:sz w:val="20"/>
                <w:szCs w:val="20"/>
                <w:lang w:eastAsia="en-CA"/>
              </w:rPr>
              <w:t>Ecuador</w:t>
            </w:r>
            <w:r w:rsidRPr="00756D59">
              <w:rPr>
                <w:sz w:val="20"/>
                <w:szCs w:val="20"/>
                <w:lang w:eastAsia="en-CA"/>
              </w:rPr>
              <w:t xml:space="preserve"> </w:t>
            </w:r>
          </w:p>
          <w:p w14:paraId="4D75AC28" w14:textId="77777777" w:rsidR="000E2C9D" w:rsidRPr="00756D59" w:rsidRDefault="000E2C9D" w:rsidP="0051060F">
            <w:pPr>
              <w:jc w:val="left"/>
              <w:rPr>
                <w:bCs/>
                <w:sz w:val="20"/>
                <w:szCs w:val="20"/>
                <w:lang w:eastAsia="en-CA"/>
              </w:rPr>
            </w:pPr>
            <w:r w:rsidRPr="00756D59">
              <w:rPr>
                <w:sz w:val="20"/>
                <w:szCs w:val="20"/>
                <w:lang w:eastAsia="en-CA"/>
              </w:rPr>
              <w:t>ECU/SEV/80/TAS/02+</w:t>
            </w:r>
          </w:p>
        </w:tc>
        <w:tc>
          <w:tcPr>
            <w:tcW w:w="3352" w:type="dxa"/>
            <w:tcMar>
              <w:left w:w="58" w:type="dxa"/>
              <w:right w:w="58" w:type="dxa"/>
            </w:tcMar>
          </w:tcPr>
          <w:p w14:paraId="365A4F5A"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1A2FAD9"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47E37CB" w14:textId="77777777" w:rsidR="000E2C9D" w:rsidRPr="00756D59" w:rsidRDefault="000E2C9D" w:rsidP="0051060F">
            <w:pPr>
              <w:jc w:val="center"/>
              <w:rPr>
                <w:bCs/>
                <w:sz w:val="20"/>
                <w:szCs w:val="20"/>
                <w:lang w:eastAsia="en-CA"/>
              </w:rPr>
            </w:pPr>
            <w:r w:rsidRPr="00756D59">
              <w:rPr>
                <w:bCs/>
                <w:sz w:val="20"/>
                <w:szCs w:val="20"/>
                <w:lang w:eastAsia="en-CA"/>
              </w:rPr>
              <w:t>56.5</w:t>
            </w:r>
          </w:p>
        </w:tc>
        <w:tc>
          <w:tcPr>
            <w:tcW w:w="4531" w:type="dxa"/>
            <w:tcMar>
              <w:left w:w="58" w:type="dxa"/>
              <w:right w:w="58" w:type="dxa"/>
            </w:tcMar>
          </w:tcPr>
          <w:p w14:paraId="192F1BDF" w14:textId="77777777" w:rsidR="000E2C9D" w:rsidRPr="00756D59" w:rsidRDefault="000E2C9D" w:rsidP="0051060F">
            <w:pPr>
              <w:jc w:val="left"/>
              <w:rPr>
                <w:sz w:val="20"/>
                <w:szCs w:val="20"/>
                <w:lang w:eastAsia="en-CA"/>
              </w:rPr>
            </w:pPr>
            <w:r w:rsidRPr="00756D59">
              <w:rPr>
                <w:sz w:val="20"/>
                <w:szCs w:val="20"/>
                <w:lang w:eastAsia="en-CA"/>
              </w:rPr>
              <w:t>Training of end-users in RAC applications and manufacturing industries on alternatives.</w:t>
            </w:r>
          </w:p>
        </w:tc>
        <w:tc>
          <w:tcPr>
            <w:tcW w:w="1629" w:type="dxa"/>
            <w:shd w:val="clear" w:color="auto" w:fill="auto"/>
            <w:tcMar>
              <w:left w:w="58" w:type="dxa"/>
              <w:right w:w="58" w:type="dxa"/>
            </w:tcMar>
          </w:tcPr>
          <w:p w14:paraId="3F4D0B89"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161ACD5A" w14:textId="77777777" w:rsidTr="0051060F">
        <w:trPr>
          <w:trHeight w:val="337"/>
        </w:trPr>
        <w:tc>
          <w:tcPr>
            <w:tcW w:w="2261" w:type="dxa"/>
            <w:tcMar>
              <w:left w:w="58" w:type="dxa"/>
              <w:right w:w="58" w:type="dxa"/>
            </w:tcMar>
          </w:tcPr>
          <w:p w14:paraId="321F2B2D" w14:textId="77777777" w:rsidR="000E2C9D" w:rsidRPr="00756D59" w:rsidRDefault="000E2C9D" w:rsidP="0051060F">
            <w:pPr>
              <w:jc w:val="left"/>
              <w:rPr>
                <w:sz w:val="20"/>
                <w:szCs w:val="20"/>
                <w:lang w:eastAsia="en-CA"/>
              </w:rPr>
            </w:pPr>
            <w:r w:rsidRPr="00756D59">
              <w:rPr>
                <w:bCs/>
                <w:sz w:val="20"/>
                <w:szCs w:val="20"/>
                <w:lang w:eastAsia="en-CA"/>
              </w:rPr>
              <w:t>Egypt</w:t>
            </w:r>
            <w:r w:rsidRPr="00756D59">
              <w:rPr>
                <w:sz w:val="20"/>
                <w:szCs w:val="20"/>
                <w:lang w:eastAsia="en-CA"/>
              </w:rPr>
              <w:t xml:space="preserve"> </w:t>
            </w:r>
          </w:p>
          <w:p w14:paraId="70C82859" w14:textId="77777777" w:rsidR="000E2C9D" w:rsidRPr="00756D59" w:rsidRDefault="000E2C9D" w:rsidP="0051060F">
            <w:pPr>
              <w:jc w:val="left"/>
              <w:rPr>
                <w:bCs/>
                <w:sz w:val="20"/>
                <w:szCs w:val="20"/>
                <w:lang w:eastAsia="en-CA"/>
              </w:rPr>
            </w:pPr>
            <w:r w:rsidRPr="00756D59">
              <w:rPr>
                <w:sz w:val="20"/>
                <w:szCs w:val="20"/>
                <w:lang w:eastAsia="en-CA"/>
              </w:rPr>
              <w:t>EGY/SEV/81/TAS/03+</w:t>
            </w:r>
          </w:p>
        </w:tc>
        <w:tc>
          <w:tcPr>
            <w:tcW w:w="3352" w:type="dxa"/>
            <w:tcMar>
              <w:left w:w="58" w:type="dxa"/>
              <w:right w:w="58" w:type="dxa"/>
            </w:tcMar>
          </w:tcPr>
          <w:p w14:paraId="49C0D7B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6206B37"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4BDC764" w14:textId="77777777" w:rsidR="000E2C9D" w:rsidRPr="00756D59" w:rsidRDefault="000E2C9D" w:rsidP="0051060F">
            <w:pPr>
              <w:jc w:val="center"/>
              <w:rPr>
                <w:bCs/>
                <w:sz w:val="20"/>
                <w:szCs w:val="20"/>
                <w:lang w:eastAsia="en-CA"/>
              </w:rPr>
            </w:pPr>
            <w:r w:rsidRPr="00756D59">
              <w:rPr>
                <w:bCs/>
                <w:sz w:val="20"/>
                <w:szCs w:val="20"/>
                <w:lang w:eastAsia="en-CA"/>
              </w:rPr>
              <w:t>34.5</w:t>
            </w:r>
          </w:p>
        </w:tc>
        <w:tc>
          <w:tcPr>
            <w:tcW w:w="4531" w:type="dxa"/>
            <w:tcMar>
              <w:left w:w="58" w:type="dxa"/>
              <w:right w:w="58" w:type="dxa"/>
            </w:tcMar>
          </w:tcPr>
          <w:p w14:paraId="1F9719D4" w14:textId="77777777" w:rsidR="000E2C9D" w:rsidRPr="00756D59" w:rsidRDefault="000E2C9D" w:rsidP="0051060F">
            <w:pPr>
              <w:jc w:val="left"/>
              <w:rPr>
                <w:sz w:val="20"/>
                <w:szCs w:val="20"/>
                <w:lang w:eastAsia="en-CA"/>
              </w:rPr>
            </w:pPr>
            <w:r w:rsidRPr="00756D59">
              <w:rPr>
                <w:sz w:val="20"/>
                <w:szCs w:val="20"/>
                <w:lang w:eastAsia="en-CA"/>
              </w:rPr>
              <w:t>Analysis of existing ozone and climate policy/legislation; and drafting the amendments in the existing legislation to allow for ratification of the Kigali Amendment; preparing the package on the ratification of the Kigali Amendment; and undertaking the training needs assessment for the servicing sector and preparing an assessment report.</w:t>
            </w:r>
          </w:p>
        </w:tc>
        <w:tc>
          <w:tcPr>
            <w:tcW w:w="1629" w:type="dxa"/>
            <w:shd w:val="clear" w:color="auto" w:fill="auto"/>
            <w:tcMar>
              <w:left w:w="58" w:type="dxa"/>
              <w:right w:w="58" w:type="dxa"/>
            </w:tcMar>
          </w:tcPr>
          <w:p w14:paraId="02C68CF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37EEAA8" w14:textId="77777777" w:rsidTr="0051060F">
        <w:trPr>
          <w:trHeight w:val="337"/>
        </w:trPr>
        <w:tc>
          <w:tcPr>
            <w:tcW w:w="2261" w:type="dxa"/>
            <w:tcMar>
              <w:left w:w="58" w:type="dxa"/>
              <w:right w:w="58" w:type="dxa"/>
            </w:tcMar>
          </w:tcPr>
          <w:p w14:paraId="1D44C593" w14:textId="77777777" w:rsidR="000E2C9D" w:rsidRPr="00756D59" w:rsidRDefault="000E2C9D" w:rsidP="0051060F">
            <w:pPr>
              <w:jc w:val="left"/>
              <w:rPr>
                <w:sz w:val="20"/>
                <w:szCs w:val="20"/>
                <w:lang w:eastAsia="en-CA"/>
              </w:rPr>
            </w:pPr>
            <w:r w:rsidRPr="00756D59">
              <w:rPr>
                <w:bCs/>
                <w:sz w:val="20"/>
                <w:szCs w:val="20"/>
                <w:lang w:eastAsia="en-CA"/>
              </w:rPr>
              <w:t>Equatorial Guinea</w:t>
            </w:r>
            <w:r w:rsidRPr="00756D59">
              <w:rPr>
                <w:sz w:val="20"/>
                <w:szCs w:val="20"/>
                <w:lang w:eastAsia="en-CA"/>
              </w:rPr>
              <w:t xml:space="preserve"> </w:t>
            </w:r>
          </w:p>
          <w:p w14:paraId="725C54A4" w14:textId="77777777" w:rsidR="000E2C9D" w:rsidRPr="00756D59" w:rsidRDefault="000E2C9D" w:rsidP="0051060F">
            <w:pPr>
              <w:jc w:val="left"/>
              <w:rPr>
                <w:bCs/>
                <w:sz w:val="20"/>
                <w:szCs w:val="20"/>
                <w:lang w:eastAsia="en-CA"/>
              </w:rPr>
            </w:pPr>
            <w:r w:rsidRPr="00756D59">
              <w:rPr>
                <w:sz w:val="20"/>
                <w:szCs w:val="20"/>
                <w:lang w:eastAsia="en-CA"/>
              </w:rPr>
              <w:t>EQG/SEV/81/TAS/01+</w:t>
            </w:r>
          </w:p>
        </w:tc>
        <w:tc>
          <w:tcPr>
            <w:tcW w:w="3352" w:type="dxa"/>
            <w:tcMar>
              <w:left w:w="58" w:type="dxa"/>
              <w:right w:w="58" w:type="dxa"/>
            </w:tcMar>
          </w:tcPr>
          <w:p w14:paraId="5B28194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C5EA2D1"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5990697" w14:textId="77777777" w:rsidR="000E2C9D" w:rsidRPr="00756D59" w:rsidRDefault="000E2C9D" w:rsidP="0051060F">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1A9EA074" w14:textId="77777777" w:rsidR="000E2C9D" w:rsidRPr="00756D59" w:rsidRDefault="000E2C9D" w:rsidP="0051060F">
            <w:pPr>
              <w:jc w:val="left"/>
              <w:rPr>
                <w:sz w:val="20"/>
                <w:szCs w:val="20"/>
                <w:lang w:eastAsia="en-CA"/>
              </w:rPr>
            </w:pPr>
            <w:r w:rsidRPr="00756D59">
              <w:rPr>
                <w:sz w:val="20"/>
                <w:szCs w:val="20"/>
                <w:lang w:eastAsia="en-CA"/>
              </w:rPr>
              <w:t xml:space="preserve">Drafting law on ratification of the Kigali Amendment with the justification; finalizing the package on the ratification of Kigali Amendment and advancing the ratification process; and assisting the customs </w:t>
            </w:r>
            <w:r w:rsidRPr="00756D59">
              <w:rPr>
                <w:sz w:val="20"/>
                <w:szCs w:val="20"/>
                <w:lang w:eastAsia="en-CA"/>
              </w:rPr>
              <w:lastRenderedPageBreak/>
              <w:t>department to develop country</w:t>
            </w:r>
            <w:r w:rsidRPr="00756D59">
              <w:rPr>
                <w:sz w:val="20"/>
                <w:szCs w:val="20"/>
                <w:lang w:eastAsia="en-CA"/>
              </w:rPr>
              <w:noBreakHyphen/>
              <w:t>specific national HS codes for HFCs.</w:t>
            </w:r>
          </w:p>
        </w:tc>
        <w:tc>
          <w:tcPr>
            <w:tcW w:w="1629" w:type="dxa"/>
            <w:shd w:val="clear" w:color="auto" w:fill="auto"/>
            <w:tcMar>
              <w:left w:w="58" w:type="dxa"/>
              <w:right w:w="58" w:type="dxa"/>
            </w:tcMar>
          </w:tcPr>
          <w:p w14:paraId="527E5490" w14:textId="77777777" w:rsidR="000E2C9D" w:rsidRPr="00756D59" w:rsidRDefault="000E2C9D" w:rsidP="0051060F">
            <w:pPr>
              <w:jc w:val="center"/>
              <w:rPr>
                <w:bCs/>
                <w:sz w:val="20"/>
                <w:szCs w:val="20"/>
                <w:lang w:eastAsia="en-CA"/>
              </w:rPr>
            </w:pPr>
            <w:r w:rsidRPr="00756D59">
              <w:rPr>
                <w:bCs/>
                <w:sz w:val="20"/>
                <w:szCs w:val="20"/>
                <w:lang w:eastAsia="en-CA"/>
              </w:rPr>
              <w:lastRenderedPageBreak/>
              <w:t>Jun-22</w:t>
            </w:r>
          </w:p>
        </w:tc>
      </w:tr>
      <w:tr w:rsidR="000E2C9D" w:rsidRPr="00756D59" w14:paraId="7177332B" w14:textId="77777777" w:rsidTr="0051060F">
        <w:trPr>
          <w:trHeight w:val="337"/>
        </w:trPr>
        <w:tc>
          <w:tcPr>
            <w:tcW w:w="2261" w:type="dxa"/>
            <w:tcMar>
              <w:left w:w="58" w:type="dxa"/>
              <w:right w:w="58" w:type="dxa"/>
            </w:tcMar>
          </w:tcPr>
          <w:p w14:paraId="46FD20C6" w14:textId="77777777" w:rsidR="000E2C9D" w:rsidRPr="00756D59" w:rsidRDefault="000E2C9D" w:rsidP="0051060F">
            <w:pPr>
              <w:jc w:val="left"/>
              <w:rPr>
                <w:sz w:val="20"/>
                <w:szCs w:val="20"/>
                <w:lang w:eastAsia="en-CA"/>
              </w:rPr>
            </w:pPr>
            <w:r w:rsidRPr="00756D59">
              <w:rPr>
                <w:bCs/>
                <w:sz w:val="20"/>
                <w:szCs w:val="20"/>
                <w:lang w:eastAsia="en-CA"/>
              </w:rPr>
              <w:lastRenderedPageBreak/>
              <w:t>Eritrea</w:t>
            </w:r>
            <w:r w:rsidRPr="00756D59">
              <w:rPr>
                <w:sz w:val="20"/>
                <w:szCs w:val="20"/>
                <w:lang w:eastAsia="en-CA"/>
              </w:rPr>
              <w:t xml:space="preserve"> </w:t>
            </w:r>
          </w:p>
          <w:p w14:paraId="77DF1B6D" w14:textId="77777777" w:rsidR="000E2C9D" w:rsidRPr="00756D59" w:rsidRDefault="000E2C9D" w:rsidP="0051060F">
            <w:pPr>
              <w:jc w:val="left"/>
              <w:rPr>
                <w:bCs/>
                <w:sz w:val="20"/>
                <w:szCs w:val="20"/>
                <w:lang w:eastAsia="en-CA"/>
              </w:rPr>
            </w:pPr>
            <w:r w:rsidRPr="00756D59">
              <w:rPr>
                <w:sz w:val="20"/>
                <w:szCs w:val="20"/>
                <w:lang w:eastAsia="en-CA"/>
              </w:rPr>
              <w:t>ERI/SEV/80/TAS/01+</w:t>
            </w:r>
          </w:p>
        </w:tc>
        <w:tc>
          <w:tcPr>
            <w:tcW w:w="3352" w:type="dxa"/>
            <w:tcMar>
              <w:left w:w="58" w:type="dxa"/>
              <w:right w:w="58" w:type="dxa"/>
            </w:tcMar>
          </w:tcPr>
          <w:p w14:paraId="452C1A16"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7F190A3"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1946A478" w14:textId="77777777" w:rsidR="000E2C9D" w:rsidRPr="00756D59" w:rsidRDefault="000E2C9D" w:rsidP="0051060F">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46204E9C" w14:textId="77777777" w:rsidR="000E2C9D" w:rsidRPr="00756D59" w:rsidRDefault="000E2C9D" w:rsidP="0051060F">
            <w:pPr>
              <w:jc w:val="left"/>
              <w:rPr>
                <w:sz w:val="20"/>
                <w:szCs w:val="20"/>
                <w:lang w:eastAsia="en-CA"/>
              </w:rPr>
            </w:pPr>
            <w:r w:rsidRPr="00756D59">
              <w:rPr>
                <w:sz w:val="20"/>
                <w:szCs w:val="20"/>
                <w:lang w:eastAsia="en-CA"/>
              </w:rPr>
              <w:t>Reviewing the current licensing system to regulate controlled substances and products; undertaking the training needs assessment for the servicing sector and preparing an assessment report; and sensitizing the public on the phase</w:t>
            </w:r>
            <w:r w:rsidRPr="00756D59">
              <w:rPr>
                <w:sz w:val="20"/>
                <w:szCs w:val="20"/>
                <w:lang w:eastAsia="en-CA"/>
              </w:rPr>
              <w:noBreakHyphen/>
              <w:t>down of HFCs and the Kigali Amendment.</w:t>
            </w:r>
          </w:p>
        </w:tc>
        <w:tc>
          <w:tcPr>
            <w:tcW w:w="1629" w:type="dxa"/>
            <w:shd w:val="clear" w:color="auto" w:fill="auto"/>
            <w:tcMar>
              <w:left w:w="58" w:type="dxa"/>
              <w:right w:w="58" w:type="dxa"/>
            </w:tcMar>
          </w:tcPr>
          <w:p w14:paraId="6074874B"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08879D37" w14:textId="77777777" w:rsidTr="0051060F">
        <w:trPr>
          <w:trHeight w:val="337"/>
        </w:trPr>
        <w:tc>
          <w:tcPr>
            <w:tcW w:w="2261" w:type="dxa"/>
            <w:tcMar>
              <w:left w:w="58" w:type="dxa"/>
              <w:right w:w="58" w:type="dxa"/>
            </w:tcMar>
          </w:tcPr>
          <w:p w14:paraId="04F2DA2F" w14:textId="77777777" w:rsidR="000E2C9D" w:rsidRPr="00756D59" w:rsidRDefault="000E2C9D" w:rsidP="0051060F">
            <w:pPr>
              <w:jc w:val="left"/>
              <w:rPr>
                <w:sz w:val="20"/>
                <w:szCs w:val="20"/>
                <w:lang w:eastAsia="en-CA"/>
              </w:rPr>
            </w:pPr>
            <w:r w:rsidRPr="00756D59">
              <w:rPr>
                <w:bCs/>
                <w:sz w:val="20"/>
                <w:szCs w:val="20"/>
                <w:lang w:eastAsia="en-CA"/>
              </w:rPr>
              <w:t>Eswatini</w:t>
            </w:r>
            <w:r w:rsidRPr="00756D59">
              <w:rPr>
                <w:sz w:val="20"/>
                <w:szCs w:val="20"/>
                <w:lang w:eastAsia="en-CA"/>
              </w:rPr>
              <w:t xml:space="preserve"> </w:t>
            </w:r>
          </w:p>
          <w:p w14:paraId="73A8DD5E" w14:textId="77777777" w:rsidR="000E2C9D" w:rsidRPr="00756D59" w:rsidRDefault="000E2C9D" w:rsidP="0051060F">
            <w:pPr>
              <w:jc w:val="left"/>
              <w:rPr>
                <w:bCs/>
                <w:sz w:val="20"/>
                <w:szCs w:val="20"/>
                <w:lang w:eastAsia="en-CA"/>
              </w:rPr>
            </w:pPr>
            <w:r w:rsidRPr="00756D59">
              <w:rPr>
                <w:sz w:val="20"/>
                <w:szCs w:val="20"/>
                <w:lang w:eastAsia="en-CA"/>
              </w:rPr>
              <w:t>SWA/SEV/81/TAS/01+</w:t>
            </w:r>
          </w:p>
        </w:tc>
        <w:tc>
          <w:tcPr>
            <w:tcW w:w="3352" w:type="dxa"/>
            <w:tcMar>
              <w:left w:w="58" w:type="dxa"/>
              <w:right w:w="58" w:type="dxa"/>
            </w:tcMar>
          </w:tcPr>
          <w:p w14:paraId="30414401"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2DAA0B8"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854A230" w14:textId="77777777" w:rsidR="000E2C9D" w:rsidRPr="00756D59" w:rsidRDefault="000E2C9D" w:rsidP="0051060F">
            <w:pPr>
              <w:jc w:val="center"/>
              <w:rPr>
                <w:bCs/>
                <w:sz w:val="20"/>
                <w:szCs w:val="20"/>
                <w:lang w:eastAsia="en-CA"/>
              </w:rPr>
            </w:pPr>
            <w:r w:rsidRPr="00756D59">
              <w:rPr>
                <w:bCs/>
                <w:sz w:val="20"/>
                <w:szCs w:val="20"/>
                <w:lang w:eastAsia="en-CA"/>
              </w:rPr>
              <w:t>84.2</w:t>
            </w:r>
          </w:p>
        </w:tc>
        <w:tc>
          <w:tcPr>
            <w:tcW w:w="4531" w:type="dxa"/>
            <w:tcMar>
              <w:left w:w="58" w:type="dxa"/>
              <w:right w:w="58" w:type="dxa"/>
            </w:tcMar>
          </w:tcPr>
          <w:p w14:paraId="51DEE221" w14:textId="77777777" w:rsidR="000E2C9D" w:rsidRPr="00756D59" w:rsidRDefault="000E2C9D" w:rsidP="0051060F">
            <w:pPr>
              <w:jc w:val="left"/>
              <w:rPr>
                <w:sz w:val="20"/>
                <w:szCs w:val="20"/>
                <w:lang w:eastAsia="en-CA"/>
              </w:rPr>
            </w:pPr>
            <w:r w:rsidRPr="00756D59">
              <w:rPr>
                <w:sz w:val="20"/>
                <w:szCs w:val="20"/>
                <w:lang w:eastAsia="en-CA"/>
              </w:rPr>
              <w:t>Assessment of market profile of alternative technologies and development of strategies to promote availability and quick adoption of low</w:t>
            </w:r>
            <w:r w:rsidRPr="00756D59">
              <w:rPr>
                <w:sz w:val="20"/>
                <w:szCs w:val="20"/>
                <w:lang w:eastAsia="en-CA"/>
              </w:rPr>
              <w:noBreakHyphen/>
              <w:t>GWP technologies; and conducting workshops for technicians on safe handling of HFCs and their alternatives.</w:t>
            </w:r>
          </w:p>
        </w:tc>
        <w:tc>
          <w:tcPr>
            <w:tcW w:w="1629" w:type="dxa"/>
            <w:shd w:val="clear" w:color="auto" w:fill="auto"/>
            <w:tcMar>
              <w:left w:w="58" w:type="dxa"/>
              <w:right w:w="58" w:type="dxa"/>
            </w:tcMar>
          </w:tcPr>
          <w:p w14:paraId="6E95EBE5"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447CCC9F" w14:textId="77777777" w:rsidTr="0051060F">
        <w:trPr>
          <w:trHeight w:val="337"/>
        </w:trPr>
        <w:tc>
          <w:tcPr>
            <w:tcW w:w="2261" w:type="dxa"/>
            <w:tcMar>
              <w:left w:w="58" w:type="dxa"/>
              <w:right w:w="58" w:type="dxa"/>
            </w:tcMar>
          </w:tcPr>
          <w:p w14:paraId="55A7058B" w14:textId="77777777" w:rsidR="000E2C9D" w:rsidRPr="00756D59" w:rsidRDefault="000E2C9D" w:rsidP="0051060F">
            <w:pPr>
              <w:jc w:val="left"/>
              <w:rPr>
                <w:sz w:val="20"/>
                <w:szCs w:val="20"/>
                <w:lang w:eastAsia="en-CA"/>
              </w:rPr>
            </w:pPr>
            <w:r w:rsidRPr="00756D59">
              <w:rPr>
                <w:bCs/>
                <w:sz w:val="20"/>
                <w:szCs w:val="20"/>
                <w:lang w:eastAsia="en-CA"/>
              </w:rPr>
              <w:t>Ethiopia</w:t>
            </w:r>
            <w:r w:rsidRPr="00756D59">
              <w:rPr>
                <w:sz w:val="20"/>
                <w:szCs w:val="20"/>
                <w:lang w:eastAsia="en-CA"/>
              </w:rPr>
              <w:t xml:space="preserve"> </w:t>
            </w:r>
          </w:p>
          <w:p w14:paraId="038C990A" w14:textId="77777777" w:rsidR="000E2C9D" w:rsidRPr="00756D59" w:rsidRDefault="000E2C9D" w:rsidP="0051060F">
            <w:pPr>
              <w:jc w:val="left"/>
              <w:rPr>
                <w:bCs/>
                <w:sz w:val="20"/>
                <w:szCs w:val="20"/>
                <w:lang w:eastAsia="en-CA"/>
              </w:rPr>
            </w:pPr>
            <w:r w:rsidRPr="00756D59">
              <w:rPr>
                <w:sz w:val="20"/>
                <w:szCs w:val="20"/>
                <w:lang w:eastAsia="en-CA"/>
              </w:rPr>
              <w:t>ETH/SEV/81/TAS/01+</w:t>
            </w:r>
          </w:p>
        </w:tc>
        <w:tc>
          <w:tcPr>
            <w:tcW w:w="3352" w:type="dxa"/>
            <w:tcMar>
              <w:left w:w="58" w:type="dxa"/>
              <w:right w:w="58" w:type="dxa"/>
            </w:tcMar>
          </w:tcPr>
          <w:p w14:paraId="43D7CB8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8A8E5E5"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2885DD5" w14:textId="77777777" w:rsidR="000E2C9D" w:rsidRPr="00756D59" w:rsidRDefault="000E2C9D" w:rsidP="0051060F">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14846D7A" w14:textId="77777777" w:rsidR="000E2C9D" w:rsidRPr="00756D59" w:rsidRDefault="000E2C9D" w:rsidP="0051060F">
            <w:pPr>
              <w:jc w:val="left"/>
              <w:rPr>
                <w:sz w:val="20"/>
                <w:szCs w:val="20"/>
                <w:lang w:eastAsia="en-CA"/>
              </w:rPr>
            </w:pPr>
            <w:r w:rsidRPr="00756D59">
              <w:rPr>
                <w:sz w:val="20"/>
                <w:szCs w:val="20"/>
                <w:lang w:eastAsia="en-CA"/>
              </w:rPr>
              <w:t>Organization of informative workshops and a survey to identify barriers for introduction of low</w:t>
            </w:r>
            <w:r w:rsidRPr="00756D59">
              <w:rPr>
                <w:sz w:val="20"/>
                <w:szCs w:val="20"/>
                <w:lang w:eastAsia="en-CA"/>
              </w:rPr>
              <w:noBreakHyphen/>
              <w:t>GWP alternatives on the servicing sector; assisting national customs authorities in establishing national custom codes for HFCs; and sensitizing consumers on low</w:t>
            </w:r>
            <w:r w:rsidRPr="00756D59">
              <w:rPr>
                <w:sz w:val="20"/>
                <w:szCs w:val="20"/>
                <w:lang w:eastAsia="en-CA"/>
              </w:rPr>
              <w:noBreakHyphen/>
              <w:t>GWP technologies.</w:t>
            </w:r>
          </w:p>
        </w:tc>
        <w:tc>
          <w:tcPr>
            <w:tcW w:w="1629" w:type="dxa"/>
            <w:shd w:val="clear" w:color="auto" w:fill="auto"/>
            <w:tcMar>
              <w:left w:w="58" w:type="dxa"/>
              <w:right w:w="58" w:type="dxa"/>
            </w:tcMar>
          </w:tcPr>
          <w:p w14:paraId="3768A488"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0B0CEC9B" w14:textId="77777777" w:rsidTr="0051060F">
        <w:trPr>
          <w:trHeight w:val="337"/>
        </w:trPr>
        <w:tc>
          <w:tcPr>
            <w:tcW w:w="2261" w:type="dxa"/>
            <w:tcMar>
              <w:left w:w="58" w:type="dxa"/>
              <w:right w:w="58" w:type="dxa"/>
            </w:tcMar>
          </w:tcPr>
          <w:p w14:paraId="02C2DA17" w14:textId="77777777" w:rsidR="000E2C9D" w:rsidRPr="00756D59" w:rsidRDefault="000E2C9D" w:rsidP="0051060F">
            <w:pPr>
              <w:jc w:val="left"/>
              <w:rPr>
                <w:sz w:val="20"/>
                <w:szCs w:val="20"/>
                <w:lang w:eastAsia="en-CA"/>
              </w:rPr>
            </w:pPr>
            <w:r w:rsidRPr="00756D59">
              <w:rPr>
                <w:bCs/>
                <w:sz w:val="20"/>
                <w:szCs w:val="20"/>
                <w:lang w:eastAsia="en-CA"/>
              </w:rPr>
              <w:t>Gabon</w:t>
            </w:r>
            <w:r w:rsidRPr="00756D59">
              <w:rPr>
                <w:sz w:val="20"/>
                <w:szCs w:val="20"/>
                <w:lang w:eastAsia="en-CA"/>
              </w:rPr>
              <w:t xml:space="preserve"> </w:t>
            </w:r>
          </w:p>
          <w:p w14:paraId="08354E2B" w14:textId="77777777" w:rsidR="000E2C9D" w:rsidRPr="00756D59" w:rsidRDefault="000E2C9D" w:rsidP="0051060F">
            <w:pPr>
              <w:jc w:val="left"/>
              <w:rPr>
                <w:bCs/>
                <w:sz w:val="20"/>
                <w:szCs w:val="20"/>
                <w:lang w:eastAsia="en-CA"/>
              </w:rPr>
            </w:pPr>
            <w:r w:rsidRPr="00756D59">
              <w:rPr>
                <w:sz w:val="20"/>
                <w:szCs w:val="20"/>
                <w:lang w:eastAsia="en-CA"/>
              </w:rPr>
              <w:t>GAB/SEV/80/TAS/01+</w:t>
            </w:r>
          </w:p>
        </w:tc>
        <w:tc>
          <w:tcPr>
            <w:tcW w:w="3352" w:type="dxa"/>
            <w:tcMar>
              <w:left w:w="58" w:type="dxa"/>
              <w:right w:w="58" w:type="dxa"/>
            </w:tcMar>
          </w:tcPr>
          <w:p w14:paraId="000488B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8FE7F36"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6630CEA" w14:textId="77777777" w:rsidR="000E2C9D" w:rsidRPr="00756D59" w:rsidRDefault="000E2C9D" w:rsidP="0051060F">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00F36CFD" w14:textId="77777777" w:rsidR="000E2C9D" w:rsidRPr="00756D59" w:rsidRDefault="000E2C9D" w:rsidP="0051060F">
            <w:pPr>
              <w:jc w:val="left"/>
              <w:rPr>
                <w:sz w:val="20"/>
                <w:szCs w:val="20"/>
                <w:lang w:eastAsia="en-CA"/>
              </w:rPr>
            </w:pPr>
            <w:r w:rsidRPr="00756D59">
              <w:rPr>
                <w:sz w:val="20"/>
                <w:szCs w:val="20"/>
                <w:lang w:eastAsia="en-CA"/>
              </w:rPr>
              <w:t>Sensitization meetings for technicians on safe handling of HFCs and their alternatives; assisting customs office in developing national custom codes for different HFCs and including them into the Customs Tariff; and conducting sensitization meetings for technicians on safe handling of HFCs and their alternatives.</w:t>
            </w:r>
          </w:p>
        </w:tc>
        <w:tc>
          <w:tcPr>
            <w:tcW w:w="1629" w:type="dxa"/>
            <w:shd w:val="clear" w:color="auto" w:fill="auto"/>
            <w:tcMar>
              <w:left w:w="58" w:type="dxa"/>
              <w:right w:w="58" w:type="dxa"/>
            </w:tcMar>
          </w:tcPr>
          <w:p w14:paraId="15A8E2AE"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4DDB5490" w14:textId="77777777" w:rsidTr="0051060F">
        <w:trPr>
          <w:trHeight w:val="337"/>
        </w:trPr>
        <w:tc>
          <w:tcPr>
            <w:tcW w:w="2261" w:type="dxa"/>
            <w:tcMar>
              <w:left w:w="58" w:type="dxa"/>
              <w:right w:w="58" w:type="dxa"/>
            </w:tcMar>
          </w:tcPr>
          <w:p w14:paraId="09DDA88D" w14:textId="77777777" w:rsidR="000E2C9D" w:rsidRPr="00756D59" w:rsidRDefault="000E2C9D" w:rsidP="0051060F">
            <w:pPr>
              <w:jc w:val="left"/>
              <w:rPr>
                <w:sz w:val="20"/>
                <w:szCs w:val="20"/>
                <w:lang w:eastAsia="en-CA"/>
              </w:rPr>
            </w:pPr>
            <w:r w:rsidRPr="00756D59">
              <w:rPr>
                <w:bCs/>
                <w:sz w:val="20"/>
                <w:szCs w:val="20"/>
                <w:lang w:eastAsia="en-CA"/>
              </w:rPr>
              <w:t>Georgia</w:t>
            </w:r>
            <w:r w:rsidRPr="00756D59">
              <w:rPr>
                <w:sz w:val="20"/>
                <w:szCs w:val="20"/>
                <w:lang w:eastAsia="en-CA"/>
              </w:rPr>
              <w:t xml:space="preserve"> </w:t>
            </w:r>
          </w:p>
          <w:p w14:paraId="1797E7D4" w14:textId="77777777" w:rsidR="000E2C9D" w:rsidRPr="00756D59" w:rsidRDefault="000E2C9D" w:rsidP="0051060F">
            <w:pPr>
              <w:jc w:val="left"/>
              <w:rPr>
                <w:bCs/>
                <w:sz w:val="20"/>
                <w:szCs w:val="20"/>
                <w:lang w:eastAsia="en-CA"/>
              </w:rPr>
            </w:pPr>
            <w:r w:rsidRPr="00756D59">
              <w:rPr>
                <w:sz w:val="20"/>
                <w:szCs w:val="20"/>
                <w:lang w:eastAsia="en-CA"/>
              </w:rPr>
              <w:t>GEO/SEV/81/TAS/01+</w:t>
            </w:r>
          </w:p>
        </w:tc>
        <w:tc>
          <w:tcPr>
            <w:tcW w:w="3352" w:type="dxa"/>
            <w:tcMar>
              <w:left w:w="58" w:type="dxa"/>
              <w:right w:w="58" w:type="dxa"/>
            </w:tcMar>
          </w:tcPr>
          <w:p w14:paraId="39A56D7F"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A66692F"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5DDE92B" w14:textId="77777777" w:rsidR="000E2C9D" w:rsidRPr="00756D59" w:rsidRDefault="000E2C9D" w:rsidP="0051060F">
            <w:pPr>
              <w:jc w:val="center"/>
              <w:rPr>
                <w:bCs/>
                <w:sz w:val="20"/>
                <w:szCs w:val="20"/>
                <w:lang w:eastAsia="en-CA"/>
              </w:rPr>
            </w:pPr>
            <w:r w:rsidRPr="00756D59">
              <w:rPr>
                <w:bCs/>
                <w:sz w:val="20"/>
                <w:szCs w:val="20"/>
                <w:lang w:eastAsia="en-CA"/>
              </w:rPr>
              <w:t>38.4</w:t>
            </w:r>
          </w:p>
        </w:tc>
        <w:tc>
          <w:tcPr>
            <w:tcW w:w="4531" w:type="dxa"/>
            <w:tcMar>
              <w:left w:w="58" w:type="dxa"/>
              <w:right w:w="58" w:type="dxa"/>
            </w:tcMar>
          </w:tcPr>
          <w:p w14:paraId="0D470033" w14:textId="77777777" w:rsidR="000E2C9D" w:rsidRPr="00756D59" w:rsidRDefault="000E2C9D" w:rsidP="0051060F">
            <w:pPr>
              <w:jc w:val="left"/>
              <w:rPr>
                <w:sz w:val="20"/>
                <w:szCs w:val="20"/>
                <w:lang w:eastAsia="en-CA"/>
              </w:rPr>
            </w:pPr>
            <w:r w:rsidRPr="00756D59">
              <w:rPr>
                <w:sz w:val="20"/>
                <w:szCs w:val="20"/>
                <w:lang w:eastAsia="en-CA"/>
              </w:rPr>
              <w:t>Supporting the adoption of legal acts related to the control of HFCs and the establishment of the HFC licensing system by Parliament, and ratification of the Kigali Amendment; and international training of trainers on the safe use of alternative technologies.</w:t>
            </w:r>
          </w:p>
        </w:tc>
        <w:tc>
          <w:tcPr>
            <w:tcW w:w="1629" w:type="dxa"/>
            <w:shd w:val="clear" w:color="auto" w:fill="auto"/>
            <w:tcMar>
              <w:left w:w="58" w:type="dxa"/>
              <w:right w:w="58" w:type="dxa"/>
            </w:tcMar>
          </w:tcPr>
          <w:p w14:paraId="77DF5561"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4FA58368" w14:textId="77777777" w:rsidTr="0051060F">
        <w:trPr>
          <w:trHeight w:val="337"/>
        </w:trPr>
        <w:tc>
          <w:tcPr>
            <w:tcW w:w="2261" w:type="dxa"/>
            <w:tcMar>
              <w:left w:w="58" w:type="dxa"/>
              <w:right w:w="58" w:type="dxa"/>
            </w:tcMar>
          </w:tcPr>
          <w:p w14:paraId="7247E88F" w14:textId="77777777" w:rsidR="000E2C9D" w:rsidRPr="00756D59" w:rsidRDefault="000E2C9D" w:rsidP="0051060F">
            <w:pPr>
              <w:jc w:val="left"/>
              <w:rPr>
                <w:sz w:val="20"/>
                <w:szCs w:val="20"/>
                <w:lang w:eastAsia="en-CA"/>
              </w:rPr>
            </w:pPr>
            <w:r w:rsidRPr="00756D59">
              <w:rPr>
                <w:bCs/>
                <w:sz w:val="20"/>
                <w:szCs w:val="20"/>
                <w:lang w:eastAsia="en-CA"/>
              </w:rPr>
              <w:t>Guinea-Bissau</w:t>
            </w:r>
            <w:r w:rsidRPr="00756D59">
              <w:rPr>
                <w:sz w:val="20"/>
                <w:szCs w:val="20"/>
                <w:lang w:eastAsia="en-CA"/>
              </w:rPr>
              <w:t xml:space="preserve"> </w:t>
            </w:r>
          </w:p>
          <w:p w14:paraId="4BB1A465" w14:textId="77777777" w:rsidR="000E2C9D" w:rsidRPr="00756D59" w:rsidRDefault="000E2C9D" w:rsidP="0051060F">
            <w:pPr>
              <w:jc w:val="left"/>
              <w:rPr>
                <w:bCs/>
                <w:sz w:val="20"/>
                <w:szCs w:val="20"/>
                <w:lang w:eastAsia="en-CA"/>
              </w:rPr>
            </w:pPr>
            <w:r w:rsidRPr="00756D59">
              <w:rPr>
                <w:sz w:val="20"/>
                <w:szCs w:val="20"/>
                <w:lang w:eastAsia="en-CA"/>
              </w:rPr>
              <w:t>GBS/SEV/81/TAS/01+</w:t>
            </w:r>
          </w:p>
        </w:tc>
        <w:tc>
          <w:tcPr>
            <w:tcW w:w="3352" w:type="dxa"/>
            <w:tcMar>
              <w:left w:w="58" w:type="dxa"/>
              <w:right w:w="58" w:type="dxa"/>
            </w:tcMar>
          </w:tcPr>
          <w:p w14:paraId="78FC86A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AC61427"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BFFD63C" w14:textId="77777777" w:rsidR="000E2C9D" w:rsidRPr="00756D59" w:rsidRDefault="000E2C9D" w:rsidP="0051060F">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50CAB33B" w14:textId="77777777" w:rsidR="000E2C9D" w:rsidRPr="00756D59" w:rsidRDefault="000E2C9D" w:rsidP="0051060F">
            <w:pPr>
              <w:jc w:val="left"/>
              <w:rPr>
                <w:sz w:val="20"/>
                <w:szCs w:val="20"/>
                <w:lang w:eastAsia="en-CA"/>
              </w:rPr>
            </w:pPr>
            <w:r w:rsidRPr="00756D59">
              <w:rPr>
                <w:sz w:val="20"/>
                <w:szCs w:val="20"/>
                <w:lang w:eastAsia="en-CA"/>
              </w:rPr>
              <w:t xml:space="preserve">Development of country-specific national HS codes for HFCs; sensitization meetings for technicians on safe handling of HFCs and their alternatives; assisting customs office in developing national custom codes for different HFCs and including them into the </w:t>
            </w:r>
            <w:r w:rsidRPr="00756D59">
              <w:rPr>
                <w:sz w:val="20"/>
                <w:szCs w:val="20"/>
                <w:lang w:eastAsia="en-CA"/>
              </w:rPr>
              <w:lastRenderedPageBreak/>
              <w:t xml:space="preserve">Customs Tariff; and undertaking a training need assessment for the servicing sector. </w:t>
            </w:r>
          </w:p>
        </w:tc>
        <w:tc>
          <w:tcPr>
            <w:tcW w:w="1629" w:type="dxa"/>
            <w:shd w:val="clear" w:color="auto" w:fill="auto"/>
            <w:tcMar>
              <w:left w:w="58" w:type="dxa"/>
              <w:right w:w="58" w:type="dxa"/>
            </w:tcMar>
          </w:tcPr>
          <w:p w14:paraId="0B4ACCF5" w14:textId="77777777" w:rsidR="000E2C9D" w:rsidRPr="00756D59" w:rsidRDefault="000E2C9D" w:rsidP="0051060F">
            <w:pPr>
              <w:jc w:val="center"/>
              <w:rPr>
                <w:bCs/>
                <w:sz w:val="20"/>
                <w:szCs w:val="20"/>
                <w:lang w:eastAsia="en-CA"/>
              </w:rPr>
            </w:pPr>
            <w:r w:rsidRPr="00756D59">
              <w:rPr>
                <w:bCs/>
                <w:sz w:val="20"/>
                <w:szCs w:val="20"/>
                <w:lang w:eastAsia="en-CA"/>
              </w:rPr>
              <w:lastRenderedPageBreak/>
              <w:t>Jun-22</w:t>
            </w:r>
          </w:p>
        </w:tc>
      </w:tr>
      <w:tr w:rsidR="000E2C9D" w:rsidRPr="00756D59" w14:paraId="6D7E5211" w14:textId="77777777" w:rsidTr="0051060F">
        <w:trPr>
          <w:trHeight w:val="337"/>
        </w:trPr>
        <w:tc>
          <w:tcPr>
            <w:tcW w:w="2261" w:type="dxa"/>
            <w:tcMar>
              <w:left w:w="58" w:type="dxa"/>
              <w:right w:w="58" w:type="dxa"/>
            </w:tcMar>
          </w:tcPr>
          <w:p w14:paraId="1BAF13A9" w14:textId="77777777" w:rsidR="000E2C9D" w:rsidRPr="00756D59" w:rsidRDefault="000E2C9D" w:rsidP="0051060F">
            <w:pPr>
              <w:jc w:val="left"/>
              <w:rPr>
                <w:sz w:val="20"/>
                <w:szCs w:val="20"/>
                <w:lang w:eastAsia="en-CA"/>
              </w:rPr>
            </w:pPr>
            <w:r w:rsidRPr="00756D59">
              <w:rPr>
                <w:bCs/>
                <w:sz w:val="20"/>
                <w:szCs w:val="20"/>
                <w:lang w:eastAsia="en-CA"/>
              </w:rPr>
              <w:lastRenderedPageBreak/>
              <w:t>Guyana</w:t>
            </w:r>
            <w:r w:rsidRPr="00756D59">
              <w:rPr>
                <w:sz w:val="20"/>
                <w:szCs w:val="20"/>
                <w:lang w:eastAsia="en-CA"/>
              </w:rPr>
              <w:t xml:space="preserve"> </w:t>
            </w:r>
          </w:p>
          <w:p w14:paraId="2691FCEF" w14:textId="77777777" w:rsidR="000E2C9D" w:rsidRPr="00756D59" w:rsidRDefault="000E2C9D" w:rsidP="0051060F">
            <w:pPr>
              <w:jc w:val="left"/>
              <w:rPr>
                <w:bCs/>
                <w:sz w:val="20"/>
                <w:szCs w:val="20"/>
                <w:lang w:eastAsia="en-CA"/>
              </w:rPr>
            </w:pPr>
            <w:r w:rsidRPr="00756D59">
              <w:rPr>
                <w:sz w:val="20"/>
                <w:szCs w:val="20"/>
                <w:lang w:eastAsia="en-CA"/>
              </w:rPr>
              <w:t>GUY/SEV/81/TAS/01+</w:t>
            </w:r>
          </w:p>
        </w:tc>
        <w:tc>
          <w:tcPr>
            <w:tcW w:w="3352" w:type="dxa"/>
            <w:tcMar>
              <w:left w:w="58" w:type="dxa"/>
              <w:right w:w="58" w:type="dxa"/>
            </w:tcMar>
          </w:tcPr>
          <w:p w14:paraId="49A11BB0"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4B017FD"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29511B6" w14:textId="77777777" w:rsidR="000E2C9D" w:rsidRPr="00756D59" w:rsidRDefault="000E2C9D" w:rsidP="0051060F">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1BD553ED" w14:textId="77777777" w:rsidR="000E2C9D" w:rsidRPr="00756D59" w:rsidRDefault="000E2C9D" w:rsidP="0051060F">
            <w:pPr>
              <w:jc w:val="left"/>
              <w:rPr>
                <w:sz w:val="20"/>
                <w:szCs w:val="20"/>
                <w:lang w:eastAsia="en-CA"/>
              </w:rPr>
            </w:pPr>
            <w:r w:rsidRPr="00756D59">
              <w:rPr>
                <w:sz w:val="20"/>
                <w:szCs w:val="20"/>
                <w:lang w:eastAsia="en-CA"/>
              </w:rPr>
              <w:t>Analysis of ozone and climate legislation to support the Kigali Amendment; developing policy paper on Kigali Amendment ratification; stakeholder consultations meetings and awareness raising on HFC phase-down and energy efficiency; undertaking training needs assessment for the RAC service sector; mapping of HFCs available on the local market; technical assistance on HFC data collection; RAC technology projection; symposium on impacts of the Kigali Amendment ratification and seminar on the transition to low</w:t>
            </w:r>
            <w:r w:rsidRPr="00756D59">
              <w:rPr>
                <w:sz w:val="20"/>
                <w:szCs w:val="20"/>
                <w:lang w:eastAsia="en-CA"/>
              </w:rPr>
              <w:noBreakHyphen/>
              <w:t>GWP alternatives; developing country</w:t>
            </w:r>
            <w:r w:rsidRPr="00756D59">
              <w:rPr>
                <w:sz w:val="20"/>
                <w:szCs w:val="20"/>
                <w:lang w:eastAsia="en-CA"/>
              </w:rPr>
              <w:noBreakHyphen/>
              <w:t>specific HS codes for HFCs; and knowledge, attitude, and practices study of the RAC service sector, national strategies on a staged approach to introducing low</w:t>
            </w:r>
            <w:r w:rsidRPr="00756D59">
              <w:rPr>
                <w:sz w:val="20"/>
                <w:szCs w:val="20"/>
                <w:lang w:eastAsia="en-CA"/>
              </w:rPr>
              <w:noBreakHyphen/>
              <w:t>GWP energy efficient alternatives and support to RAC service sector on transition from HFCs to alternatives.</w:t>
            </w:r>
          </w:p>
        </w:tc>
        <w:tc>
          <w:tcPr>
            <w:tcW w:w="1629" w:type="dxa"/>
            <w:shd w:val="clear" w:color="auto" w:fill="auto"/>
            <w:tcMar>
              <w:left w:w="58" w:type="dxa"/>
              <w:right w:w="58" w:type="dxa"/>
            </w:tcMar>
          </w:tcPr>
          <w:p w14:paraId="620178A6"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4C635FEC" w14:textId="77777777" w:rsidTr="0051060F">
        <w:trPr>
          <w:trHeight w:val="337"/>
        </w:trPr>
        <w:tc>
          <w:tcPr>
            <w:tcW w:w="2261" w:type="dxa"/>
            <w:tcMar>
              <w:left w:w="58" w:type="dxa"/>
              <w:right w:w="58" w:type="dxa"/>
            </w:tcMar>
          </w:tcPr>
          <w:p w14:paraId="221F473F" w14:textId="77777777" w:rsidR="000E2C9D" w:rsidRPr="00756D59" w:rsidRDefault="000E2C9D" w:rsidP="0051060F">
            <w:pPr>
              <w:jc w:val="left"/>
              <w:rPr>
                <w:sz w:val="20"/>
                <w:szCs w:val="20"/>
                <w:lang w:eastAsia="en-CA"/>
              </w:rPr>
            </w:pPr>
            <w:r w:rsidRPr="00756D59">
              <w:rPr>
                <w:bCs/>
                <w:sz w:val="20"/>
                <w:szCs w:val="20"/>
                <w:lang w:eastAsia="en-CA"/>
              </w:rPr>
              <w:t>Honduras</w:t>
            </w:r>
            <w:r w:rsidRPr="00756D59">
              <w:rPr>
                <w:sz w:val="20"/>
                <w:szCs w:val="20"/>
                <w:lang w:eastAsia="en-CA"/>
              </w:rPr>
              <w:t xml:space="preserve"> </w:t>
            </w:r>
          </w:p>
          <w:p w14:paraId="24FCF31C" w14:textId="77777777" w:rsidR="000E2C9D" w:rsidRPr="00756D59" w:rsidRDefault="000E2C9D" w:rsidP="0051060F">
            <w:pPr>
              <w:jc w:val="left"/>
              <w:rPr>
                <w:bCs/>
                <w:sz w:val="20"/>
                <w:szCs w:val="20"/>
                <w:lang w:eastAsia="en-CA"/>
              </w:rPr>
            </w:pPr>
            <w:r w:rsidRPr="00756D59">
              <w:rPr>
                <w:sz w:val="20"/>
                <w:szCs w:val="20"/>
                <w:lang w:eastAsia="en-CA"/>
              </w:rPr>
              <w:t>HON/SEV/81/TAS/01+</w:t>
            </w:r>
          </w:p>
        </w:tc>
        <w:tc>
          <w:tcPr>
            <w:tcW w:w="3352" w:type="dxa"/>
            <w:tcMar>
              <w:left w:w="58" w:type="dxa"/>
              <w:right w:w="58" w:type="dxa"/>
            </w:tcMar>
          </w:tcPr>
          <w:p w14:paraId="17074DF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E47D46E"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4AD3A8D" w14:textId="77777777" w:rsidR="000E2C9D" w:rsidRPr="00756D59" w:rsidRDefault="000E2C9D" w:rsidP="0051060F">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34AC3513" w14:textId="77777777" w:rsidR="000E2C9D" w:rsidRPr="00756D59" w:rsidRDefault="000E2C9D" w:rsidP="0051060F">
            <w:pPr>
              <w:jc w:val="left"/>
              <w:rPr>
                <w:sz w:val="20"/>
                <w:szCs w:val="20"/>
                <w:lang w:eastAsia="en-CA"/>
              </w:rPr>
            </w:pPr>
            <w:r w:rsidRPr="00756D59">
              <w:rPr>
                <w:sz w:val="20"/>
                <w:szCs w:val="20"/>
                <w:lang w:eastAsia="en-CA"/>
              </w:rPr>
              <w:t>Assessing the existing technical barriers and gaps for the adoption of alternatives to HFCs in the RAC, polyurethane foam, fire-fighting sectors, mobile air-conditioning and refrigerated transport; analysis of the available zero</w:t>
            </w:r>
            <w:r w:rsidRPr="00756D59">
              <w:rPr>
                <w:sz w:val="20"/>
                <w:szCs w:val="20"/>
                <w:lang w:eastAsia="en-CA"/>
              </w:rPr>
              <w:noBreakHyphen/>
              <w:t>/low</w:t>
            </w:r>
            <w:r w:rsidRPr="00756D59">
              <w:rPr>
                <w:sz w:val="20"/>
                <w:szCs w:val="20"/>
                <w:lang w:eastAsia="en-CA"/>
              </w:rPr>
              <w:noBreakHyphen/>
              <w:t>GWP energy efficient alternatives and its environmental/socio-economic impacts; and preparing technical reports on the specific requirements of each alternative technology for the main sectors to facilitate consultations and adoption by stakeholders.</w:t>
            </w:r>
          </w:p>
        </w:tc>
        <w:tc>
          <w:tcPr>
            <w:tcW w:w="1629" w:type="dxa"/>
            <w:shd w:val="clear" w:color="auto" w:fill="auto"/>
            <w:tcMar>
              <w:left w:w="58" w:type="dxa"/>
              <w:right w:w="58" w:type="dxa"/>
            </w:tcMar>
          </w:tcPr>
          <w:p w14:paraId="4D7CEB80"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62124C27" w14:textId="77777777" w:rsidTr="0051060F">
        <w:trPr>
          <w:trHeight w:val="337"/>
        </w:trPr>
        <w:tc>
          <w:tcPr>
            <w:tcW w:w="2261" w:type="dxa"/>
            <w:tcMar>
              <w:left w:w="58" w:type="dxa"/>
              <w:right w:w="58" w:type="dxa"/>
            </w:tcMar>
          </w:tcPr>
          <w:p w14:paraId="1B63B315" w14:textId="77777777" w:rsidR="000E2C9D" w:rsidRPr="00756D59" w:rsidRDefault="000E2C9D" w:rsidP="0051060F">
            <w:pPr>
              <w:jc w:val="left"/>
              <w:rPr>
                <w:sz w:val="20"/>
                <w:szCs w:val="20"/>
                <w:lang w:eastAsia="en-CA"/>
              </w:rPr>
            </w:pPr>
            <w:r w:rsidRPr="00756D59">
              <w:rPr>
                <w:bCs/>
                <w:sz w:val="20"/>
                <w:szCs w:val="20"/>
                <w:lang w:eastAsia="en-CA"/>
              </w:rPr>
              <w:t>Iran</w:t>
            </w:r>
            <w:r w:rsidRPr="00756D59">
              <w:rPr>
                <w:sz w:val="20"/>
                <w:szCs w:val="20"/>
                <w:lang w:eastAsia="en-CA"/>
              </w:rPr>
              <w:t xml:space="preserve"> (Islamic Republic of)</w:t>
            </w:r>
          </w:p>
          <w:p w14:paraId="5AD9F801" w14:textId="77777777" w:rsidR="000E2C9D" w:rsidRPr="00756D59" w:rsidRDefault="000E2C9D" w:rsidP="0051060F">
            <w:pPr>
              <w:jc w:val="left"/>
              <w:rPr>
                <w:bCs/>
                <w:sz w:val="20"/>
                <w:szCs w:val="20"/>
                <w:lang w:eastAsia="en-CA"/>
              </w:rPr>
            </w:pPr>
            <w:r w:rsidRPr="00756D59">
              <w:rPr>
                <w:sz w:val="20"/>
                <w:szCs w:val="20"/>
                <w:lang w:eastAsia="en-CA"/>
              </w:rPr>
              <w:t>IRA/SEV/82/TAS/233</w:t>
            </w:r>
          </w:p>
        </w:tc>
        <w:tc>
          <w:tcPr>
            <w:tcW w:w="3352" w:type="dxa"/>
            <w:tcMar>
              <w:left w:w="58" w:type="dxa"/>
              <w:right w:w="58" w:type="dxa"/>
            </w:tcMar>
          </w:tcPr>
          <w:p w14:paraId="770C3439"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A3C6432"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69DCA4CF" w14:textId="77777777" w:rsidR="000E2C9D" w:rsidRPr="00756D59" w:rsidRDefault="000E2C9D" w:rsidP="0051060F">
            <w:pPr>
              <w:jc w:val="center"/>
              <w:rPr>
                <w:bCs/>
                <w:sz w:val="20"/>
                <w:szCs w:val="20"/>
                <w:lang w:eastAsia="en-CA"/>
              </w:rPr>
            </w:pPr>
            <w:r w:rsidRPr="00756D59">
              <w:rPr>
                <w:bCs/>
                <w:sz w:val="20"/>
                <w:szCs w:val="20"/>
                <w:lang w:eastAsia="en-CA"/>
              </w:rPr>
              <w:t>30.2</w:t>
            </w:r>
          </w:p>
        </w:tc>
        <w:tc>
          <w:tcPr>
            <w:tcW w:w="4531" w:type="dxa"/>
            <w:tcMar>
              <w:left w:w="58" w:type="dxa"/>
              <w:right w:w="58" w:type="dxa"/>
            </w:tcMar>
          </w:tcPr>
          <w:p w14:paraId="50AB8073" w14:textId="77777777" w:rsidR="000E2C9D" w:rsidRPr="00756D59" w:rsidRDefault="000E2C9D" w:rsidP="0051060F">
            <w:pPr>
              <w:jc w:val="left"/>
              <w:rPr>
                <w:sz w:val="20"/>
                <w:szCs w:val="20"/>
                <w:lang w:eastAsia="en-CA"/>
              </w:rPr>
            </w:pPr>
            <w:r w:rsidRPr="00756D59">
              <w:rPr>
                <w:sz w:val="20"/>
                <w:szCs w:val="20"/>
                <w:lang w:eastAsia="en-CA"/>
              </w:rPr>
              <w:t>Finalization of the amendment to the draft regulation; development of knowledge products and information materials on Kigali Amendment and safe-handling of low</w:t>
            </w:r>
            <w:r w:rsidRPr="00756D59">
              <w:rPr>
                <w:sz w:val="20"/>
                <w:szCs w:val="20"/>
                <w:lang w:eastAsia="en-CA"/>
              </w:rPr>
              <w:noBreakHyphen/>
              <w:t>GWP technologies for large end users, servicing sector, importers and consumers; and roundtable discussions on low</w:t>
            </w:r>
            <w:r w:rsidRPr="00756D59">
              <w:rPr>
                <w:sz w:val="20"/>
                <w:szCs w:val="20"/>
                <w:lang w:eastAsia="en-CA"/>
              </w:rPr>
              <w:noBreakHyphen/>
              <w:t>GWP alternatives.</w:t>
            </w:r>
          </w:p>
        </w:tc>
        <w:tc>
          <w:tcPr>
            <w:tcW w:w="1629" w:type="dxa"/>
            <w:shd w:val="clear" w:color="auto" w:fill="auto"/>
            <w:tcMar>
              <w:left w:w="58" w:type="dxa"/>
              <w:right w:w="58" w:type="dxa"/>
            </w:tcMar>
          </w:tcPr>
          <w:p w14:paraId="5E6BA127" w14:textId="77777777" w:rsidR="000E2C9D" w:rsidRPr="00756D59" w:rsidRDefault="000E2C9D" w:rsidP="0051060F">
            <w:pPr>
              <w:jc w:val="center"/>
              <w:rPr>
                <w:bCs/>
                <w:sz w:val="20"/>
                <w:szCs w:val="20"/>
                <w:lang w:eastAsia="en-CA"/>
              </w:rPr>
            </w:pPr>
            <w:r w:rsidRPr="00756D59">
              <w:rPr>
                <w:bCs/>
                <w:sz w:val="20"/>
                <w:szCs w:val="20"/>
                <w:lang w:eastAsia="en-CA"/>
              </w:rPr>
              <w:t>Mar-22</w:t>
            </w:r>
          </w:p>
        </w:tc>
      </w:tr>
      <w:tr w:rsidR="000E2C9D" w:rsidRPr="00756D59" w14:paraId="256C9139" w14:textId="77777777" w:rsidTr="0051060F">
        <w:trPr>
          <w:trHeight w:val="337"/>
        </w:trPr>
        <w:tc>
          <w:tcPr>
            <w:tcW w:w="2261" w:type="dxa"/>
            <w:tcMar>
              <w:left w:w="58" w:type="dxa"/>
              <w:right w:w="58" w:type="dxa"/>
            </w:tcMar>
          </w:tcPr>
          <w:p w14:paraId="73005F16" w14:textId="77777777" w:rsidR="000E2C9D" w:rsidRPr="00756D59" w:rsidRDefault="000E2C9D" w:rsidP="0051060F">
            <w:pPr>
              <w:jc w:val="left"/>
              <w:rPr>
                <w:sz w:val="20"/>
                <w:szCs w:val="20"/>
                <w:lang w:eastAsia="en-CA"/>
              </w:rPr>
            </w:pPr>
            <w:r w:rsidRPr="00756D59">
              <w:rPr>
                <w:bCs/>
                <w:sz w:val="20"/>
                <w:szCs w:val="20"/>
                <w:lang w:eastAsia="en-CA"/>
              </w:rPr>
              <w:t>Iraq</w:t>
            </w:r>
            <w:r w:rsidRPr="00756D59">
              <w:rPr>
                <w:sz w:val="20"/>
                <w:szCs w:val="20"/>
                <w:lang w:eastAsia="en-CA"/>
              </w:rPr>
              <w:t xml:space="preserve"> </w:t>
            </w:r>
          </w:p>
          <w:p w14:paraId="704CD6E9" w14:textId="77777777" w:rsidR="000E2C9D" w:rsidRPr="00756D59" w:rsidRDefault="000E2C9D" w:rsidP="0051060F">
            <w:pPr>
              <w:jc w:val="left"/>
              <w:rPr>
                <w:bCs/>
                <w:sz w:val="20"/>
                <w:szCs w:val="20"/>
                <w:lang w:eastAsia="en-CA"/>
              </w:rPr>
            </w:pPr>
            <w:r w:rsidRPr="00756D59">
              <w:rPr>
                <w:sz w:val="20"/>
                <w:szCs w:val="20"/>
                <w:lang w:eastAsia="en-CA"/>
              </w:rPr>
              <w:t>IRQ/SEV/81/TAS/26</w:t>
            </w:r>
          </w:p>
        </w:tc>
        <w:tc>
          <w:tcPr>
            <w:tcW w:w="3352" w:type="dxa"/>
            <w:tcMar>
              <w:left w:w="58" w:type="dxa"/>
              <w:right w:w="58" w:type="dxa"/>
            </w:tcMar>
          </w:tcPr>
          <w:p w14:paraId="4EDD95AA"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5C37FB0"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806501D" w14:textId="77777777" w:rsidR="000E2C9D" w:rsidRPr="00756D59" w:rsidRDefault="000E2C9D" w:rsidP="0051060F">
            <w:pPr>
              <w:jc w:val="center"/>
              <w:rPr>
                <w:bCs/>
                <w:sz w:val="20"/>
                <w:szCs w:val="20"/>
                <w:lang w:eastAsia="en-CA"/>
              </w:rPr>
            </w:pPr>
            <w:r w:rsidRPr="00756D59">
              <w:rPr>
                <w:bCs/>
                <w:sz w:val="20"/>
                <w:szCs w:val="20"/>
                <w:lang w:eastAsia="en-CA"/>
              </w:rPr>
              <w:t>30.1</w:t>
            </w:r>
          </w:p>
        </w:tc>
        <w:tc>
          <w:tcPr>
            <w:tcW w:w="4531" w:type="dxa"/>
            <w:tcMar>
              <w:left w:w="58" w:type="dxa"/>
              <w:right w:w="58" w:type="dxa"/>
            </w:tcMar>
          </w:tcPr>
          <w:p w14:paraId="053C45D3" w14:textId="77777777" w:rsidR="000E2C9D" w:rsidRPr="00756D59" w:rsidRDefault="000E2C9D" w:rsidP="0051060F">
            <w:pPr>
              <w:jc w:val="left"/>
              <w:rPr>
                <w:sz w:val="20"/>
                <w:szCs w:val="20"/>
                <w:lang w:eastAsia="en-CA"/>
              </w:rPr>
            </w:pPr>
            <w:r w:rsidRPr="00756D59">
              <w:rPr>
                <w:sz w:val="20"/>
                <w:szCs w:val="20"/>
                <w:lang w:eastAsia="en-CA"/>
              </w:rPr>
              <w:t xml:space="preserve">Drafting required ratification instrument; updating the HFC licensing system along with related capacity </w:t>
            </w:r>
            <w:r w:rsidRPr="00756D59">
              <w:rPr>
                <w:sz w:val="20"/>
                <w:szCs w:val="20"/>
                <w:lang w:eastAsia="en-CA"/>
              </w:rPr>
              <w:lastRenderedPageBreak/>
              <w:t>building; and the finalization of country assessment report.</w:t>
            </w:r>
          </w:p>
        </w:tc>
        <w:tc>
          <w:tcPr>
            <w:tcW w:w="1629" w:type="dxa"/>
            <w:shd w:val="clear" w:color="auto" w:fill="auto"/>
            <w:tcMar>
              <w:left w:w="58" w:type="dxa"/>
              <w:right w:w="58" w:type="dxa"/>
            </w:tcMar>
          </w:tcPr>
          <w:p w14:paraId="744F6898" w14:textId="77777777" w:rsidR="000E2C9D" w:rsidRPr="00756D59" w:rsidRDefault="000E2C9D" w:rsidP="0051060F">
            <w:pPr>
              <w:jc w:val="center"/>
              <w:rPr>
                <w:bCs/>
                <w:sz w:val="20"/>
                <w:szCs w:val="20"/>
                <w:lang w:eastAsia="en-CA"/>
              </w:rPr>
            </w:pPr>
            <w:r w:rsidRPr="00756D59">
              <w:rPr>
                <w:bCs/>
                <w:sz w:val="20"/>
                <w:szCs w:val="20"/>
                <w:lang w:eastAsia="en-CA"/>
              </w:rPr>
              <w:lastRenderedPageBreak/>
              <w:t>Dec-21</w:t>
            </w:r>
          </w:p>
        </w:tc>
      </w:tr>
      <w:tr w:rsidR="000E2C9D" w:rsidRPr="00756D59" w14:paraId="14AB0F3D" w14:textId="77777777" w:rsidTr="0051060F">
        <w:trPr>
          <w:trHeight w:val="337"/>
        </w:trPr>
        <w:tc>
          <w:tcPr>
            <w:tcW w:w="2261" w:type="dxa"/>
            <w:tcMar>
              <w:left w:w="58" w:type="dxa"/>
              <w:right w:w="58" w:type="dxa"/>
            </w:tcMar>
          </w:tcPr>
          <w:p w14:paraId="510BF0E0" w14:textId="77777777" w:rsidR="000E2C9D" w:rsidRPr="00756D59" w:rsidRDefault="000E2C9D" w:rsidP="0051060F">
            <w:pPr>
              <w:jc w:val="left"/>
              <w:rPr>
                <w:sz w:val="20"/>
                <w:szCs w:val="20"/>
                <w:lang w:eastAsia="en-CA"/>
              </w:rPr>
            </w:pPr>
            <w:r w:rsidRPr="00756D59">
              <w:rPr>
                <w:bCs/>
                <w:sz w:val="20"/>
                <w:szCs w:val="20"/>
                <w:lang w:eastAsia="en-CA"/>
              </w:rPr>
              <w:lastRenderedPageBreak/>
              <w:t>Kenya</w:t>
            </w:r>
            <w:r w:rsidRPr="00756D59">
              <w:rPr>
                <w:sz w:val="20"/>
                <w:szCs w:val="20"/>
                <w:lang w:eastAsia="en-CA"/>
              </w:rPr>
              <w:t xml:space="preserve"> </w:t>
            </w:r>
          </w:p>
          <w:p w14:paraId="5224B1EB" w14:textId="77777777" w:rsidR="000E2C9D" w:rsidRPr="00756D59" w:rsidRDefault="000E2C9D" w:rsidP="0051060F">
            <w:pPr>
              <w:jc w:val="left"/>
              <w:rPr>
                <w:bCs/>
                <w:sz w:val="20"/>
                <w:szCs w:val="20"/>
                <w:lang w:eastAsia="en-CA"/>
              </w:rPr>
            </w:pPr>
            <w:r w:rsidRPr="00756D59">
              <w:rPr>
                <w:sz w:val="20"/>
                <w:szCs w:val="20"/>
                <w:lang w:eastAsia="en-CA"/>
              </w:rPr>
              <w:t>KEN/SEV/81/TAS/01+</w:t>
            </w:r>
          </w:p>
        </w:tc>
        <w:tc>
          <w:tcPr>
            <w:tcW w:w="3352" w:type="dxa"/>
            <w:tcMar>
              <w:left w:w="58" w:type="dxa"/>
              <w:right w:w="58" w:type="dxa"/>
            </w:tcMar>
          </w:tcPr>
          <w:p w14:paraId="64CA577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18A5AEE"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3CF291C" w14:textId="77777777" w:rsidR="000E2C9D" w:rsidRPr="00756D59" w:rsidRDefault="000E2C9D" w:rsidP="0051060F">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6D691067" w14:textId="77777777" w:rsidR="000E2C9D" w:rsidRPr="00756D59" w:rsidRDefault="000E2C9D" w:rsidP="0051060F">
            <w:pPr>
              <w:jc w:val="left"/>
              <w:rPr>
                <w:sz w:val="20"/>
                <w:szCs w:val="20"/>
                <w:lang w:eastAsia="en-CA"/>
              </w:rPr>
            </w:pPr>
            <w:r w:rsidRPr="00756D59">
              <w:rPr>
                <w:sz w:val="20"/>
                <w:szCs w:val="20"/>
                <w:lang w:eastAsia="en-CA"/>
              </w:rPr>
              <w:t>Conducting sensitization meetings/workshops for technicians on safe handling of HFCs and their alternatives; sensitizing the public on the phase</w:t>
            </w:r>
            <w:r w:rsidRPr="00756D59">
              <w:rPr>
                <w:sz w:val="20"/>
                <w:szCs w:val="20"/>
                <w:lang w:eastAsia="en-CA"/>
              </w:rPr>
              <w:noBreakHyphen/>
              <w:t>down of HFCs and the Kigali Amendment; and organization of informative workshops and surveys to identify barriers for introduction of low-GWP alternatives for the servicing sector.</w:t>
            </w:r>
          </w:p>
        </w:tc>
        <w:tc>
          <w:tcPr>
            <w:tcW w:w="1629" w:type="dxa"/>
            <w:shd w:val="clear" w:color="auto" w:fill="auto"/>
            <w:tcMar>
              <w:left w:w="58" w:type="dxa"/>
              <w:right w:w="58" w:type="dxa"/>
            </w:tcMar>
          </w:tcPr>
          <w:p w14:paraId="72A73BB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628B8EC4" w14:textId="77777777" w:rsidTr="0051060F">
        <w:trPr>
          <w:trHeight w:val="337"/>
        </w:trPr>
        <w:tc>
          <w:tcPr>
            <w:tcW w:w="2261" w:type="dxa"/>
            <w:tcMar>
              <w:left w:w="58" w:type="dxa"/>
              <w:right w:w="58" w:type="dxa"/>
            </w:tcMar>
          </w:tcPr>
          <w:p w14:paraId="01744159" w14:textId="77777777" w:rsidR="000E2C9D" w:rsidRPr="00756D59" w:rsidRDefault="000E2C9D" w:rsidP="0051060F">
            <w:pPr>
              <w:jc w:val="left"/>
              <w:rPr>
                <w:sz w:val="20"/>
                <w:szCs w:val="20"/>
                <w:lang w:eastAsia="en-CA"/>
              </w:rPr>
            </w:pPr>
            <w:r w:rsidRPr="00756D59">
              <w:rPr>
                <w:bCs/>
                <w:sz w:val="20"/>
                <w:szCs w:val="20"/>
                <w:lang w:eastAsia="en-CA"/>
              </w:rPr>
              <w:t>Kiribati</w:t>
            </w:r>
            <w:r w:rsidRPr="00756D59">
              <w:rPr>
                <w:sz w:val="20"/>
                <w:szCs w:val="20"/>
                <w:lang w:eastAsia="en-CA"/>
              </w:rPr>
              <w:t xml:space="preserve"> </w:t>
            </w:r>
          </w:p>
          <w:p w14:paraId="63FBB0EC" w14:textId="77777777" w:rsidR="000E2C9D" w:rsidRPr="00756D59" w:rsidRDefault="000E2C9D" w:rsidP="0051060F">
            <w:pPr>
              <w:jc w:val="left"/>
              <w:rPr>
                <w:bCs/>
                <w:sz w:val="20"/>
                <w:szCs w:val="20"/>
                <w:lang w:eastAsia="en-CA"/>
              </w:rPr>
            </w:pPr>
            <w:r w:rsidRPr="00756D59">
              <w:rPr>
                <w:sz w:val="20"/>
                <w:szCs w:val="20"/>
                <w:lang w:eastAsia="en-CA"/>
              </w:rPr>
              <w:t>KIR/SEV/81/TAS/01+</w:t>
            </w:r>
          </w:p>
        </w:tc>
        <w:tc>
          <w:tcPr>
            <w:tcW w:w="3352" w:type="dxa"/>
            <w:tcMar>
              <w:left w:w="58" w:type="dxa"/>
              <w:right w:w="58" w:type="dxa"/>
            </w:tcMar>
          </w:tcPr>
          <w:p w14:paraId="49BF336A"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7243B1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3FC4D3B" w14:textId="77777777" w:rsidR="000E2C9D" w:rsidRPr="00756D59" w:rsidRDefault="000E2C9D" w:rsidP="0051060F">
            <w:pPr>
              <w:jc w:val="center"/>
              <w:rPr>
                <w:bCs/>
                <w:sz w:val="20"/>
                <w:szCs w:val="20"/>
                <w:lang w:eastAsia="en-CA"/>
              </w:rPr>
            </w:pPr>
            <w:r w:rsidRPr="00756D59">
              <w:rPr>
                <w:bCs/>
                <w:sz w:val="20"/>
                <w:szCs w:val="20"/>
                <w:lang w:eastAsia="en-CA"/>
              </w:rPr>
              <w:t>50.3</w:t>
            </w:r>
          </w:p>
        </w:tc>
        <w:tc>
          <w:tcPr>
            <w:tcW w:w="4531" w:type="dxa"/>
            <w:tcMar>
              <w:left w:w="58" w:type="dxa"/>
              <w:right w:w="58" w:type="dxa"/>
            </w:tcMar>
          </w:tcPr>
          <w:p w14:paraId="112BA2C8"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 roundtable workshops and trainings for servicing sector; finalization of draft regulation amendment; and development of knowledge products and information materials on Kigali Amendment and safe 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52109E0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2DADCEEF" w14:textId="77777777" w:rsidTr="0051060F">
        <w:trPr>
          <w:trHeight w:val="337"/>
        </w:trPr>
        <w:tc>
          <w:tcPr>
            <w:tcW w:w="2261" w:type="dxa"/>
            <w:tcMar>
              <w:left w:w="58" w:type="dxa"/>
              <w:right w:w="58" w:type="dxa"/>
            </w:tcMar>
          </w:tcPr>
          <w:p w14:paraId="1EF0EAB1" w14:textId="77777777" w:rsidR="000E2C9D" w:rsidRPr="00756D59" w:rsidRDefault="000E2C9D" w:rsidP="0051060F">
            <w:pPr>
              <w:jc w:val="left"/>
              <w:rPr>
                <w:sz w:val="20"/>
                <w:szCs w:val="20"/>
                <w:lang w:eastAsia="en-CA"/>
              </w:rPr>
            </w:pPr>
            <w:r w:rsidRPr="00756D59">
              <w:rPr>
                <w:bCs/>
                <w:sz w:val="20"/>
                <w:szCs w:val="20"/>
                <w:lang w:eastAsia="en-CA"/>
              </w:rPr>
              <w:t>Kuwait</w:t>
            </w:r>
            <w:r w:rsidRPr="00756D59">
              <w:rPr>
                <w:sz w:val="20"/>
                <w:szCs w:val="20"/>
                <w:lang w:eastAsia="en-CA"/>
              </w:rPr>
              <w:t xml:space="preserve"> </w:t>
            </w:r>
          </w:p>
          <w:p w14:paraId="1B685AF3" w14:textId="77777777" w:rsidR="000E2C9D" w:rsidRPr="00756D59" w:rsidRDefault="000E2C9D" w:rsidP="0051060F">
            <w:pPr>
              <w:jc w:val="left"/>
              <w:rPr>
                <w:bCs/>
                <w:sz w:val="20"/>
                <w:szCs w:val="20"/>
                <w:lang w:eastAsia="en-CA"/>
              </w:rPr>
            </w:pPr>
            <w:r w:rsidRPr="00756D59">
              <w:rPr>
                <w:sz w:val="20"/>
                <w:szCs w:val="20"/>
                <w:lang w:eastAsia="en-CA"/>
              </w:rPr>
              <w:t>KUW/SEV/81/TAS/33</w:t>
            </w:r>
          </w:p>
        </w:tc>
        <w:tc>
          <w:tcPr>
            <w:tcW w:w="3352" w:type="dxa"/>
            <w:tcMar>
              <w:left w:w="58" w:type="dxa"/>
              <w:right w:w="58" w:type="dxa"/>
            </w:tcMar>
          </w:tcPr>
          <w:p w14:paraId="0D75DD2B"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DB279A2"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2F132D6" w14:textId="77777777" w:rsidR="000E2C9D" w:rsidRPr="00756D59" w:rsidRDefault="000E2C9D" w:rsidP="0051060F">
            <w:pPr>
              <w:jc w:val="center"/>
              <w:rPr>
                <w:bCs/>
                <w:sz w:val="20"/>
                <w:szCs w:val="20"/>
                <w:lang w:eastAsia="en-CA"/>
              </w:rPr>
            </w:pPr>
            <w:r w:rsidRPr="00756D59">
              <w:rPr>
                <w:bCs/>
                <w:sz w:val="20"/>
                <w:szCs w:val="20"/>
                <w:lang w:eastAsia="en-CA"/>
              </w:rPr>
              <w:t>3.9</w:t>
            </w:r>
          </w:p>
        </w:tc>
        <w:tc>
          <w:tcPr>
            <w:tcW w:w="4531" w:type="dxa"/>
            <w:tcMar>
              <w:left w:w="58" w:type="dxa"/>
              <w:right w:w="58" w:type="dxa"/>
            </w:tcMar>
          </w:tcPr>
          <w:p w14:paraId="3A3826AA" w14:textId="77777777" w:rsidR="000E2C9D" w:rsidRPr="00756D59" w:rsidRDefault="000E2C9D" w:rsidP="0051060F">
            <w:pPr>
              <w:jc w:val="left"/>
              <w:rPr>
                <w:sz w:val="20"/>
                <w:szCs w:val="20"/>
                <w:lang w:eastAsia="en-CA"/>
              </w:rPr>
            </w:pPr>
            <w:r w:rsidRPr="00756D59">
              <w:rPr>
                <w:sz w:val="20"/>
                <w:szCs w:val="20"/>
                <w:lang w:eastAsia="en-CA"/>
              </w:rPr>
              <w:t>Drafting required ratification instrument; updating the HFC licensing system along with related capacity building activities; capacity building and training for ODS alternatives, building national registry and information system to register all controlled substances and products and building database for different uses and users; and final country assessment report.</w:t>
            </w:r>
          </w:p>
        </w:tc>
        <w:tc>
          <w:tcPr>
            <w:tcW w:w="1629" w:type="dxa"/>
            <w:shd w:val="clear" w:color="auto" w:fill="auto"/>
            <w:tcMar>
              <w:left w:w="58" w:type="dxa"/>
              <w:right w:w="58" w:type="dxa"/>
            </w:tcMar>
          </w:tcPr>
          <w:p w14:paraId="17302951"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7499268D" w14:textId="77777777" w:rsidTr="0051060F">
        <w:trPr>
          <w:trHeight w:val="337"/>
        </w:trPr>
        <w:tc>
          <w:tcPr>
            <w:tcW w:w="2261" w:type="dxa"/>
            <w:tcMar>
              <w:left w:w="58" w:type="dxa"/>
              <w:right w:w="58" w:type="dxa"/>
            </w:tcMar>
          </w:tcPr>
          <w:p w14:paraId="7FE87DBD" w14:textId="77777777" w:rsidR="000E2C9D" w:rsidRPr="00756D59" w:rsidRDefault="000E2C9D" w:rsidP="0051060F">
            <w:pPr>
              <w:jc w:val="left"/>
              <w:rPr>
                <w:sz w:val="20"/>
                <w:szCs w:val="20"/>
                <w:lang w:eastAsia="en-CA"/>
              </w:rPr>
            </w:pPr>
            <w:r w:rsidRPr="00756D59">
              <w:rPr>
                <w:bCs/>
                <w:sz w:val="20"/>
                <w:szCs w:val="20"/>
                <w:lang w:eastAsia="en-CA"/>
              </w:rPr>
              <w:t>Lao People’s Democratic Republic (the)</w:t>
            </w:r>
          </w:p>
          <w:p w14:paraId="152CB07A" w14:textId="77777777" w:rsidR="000E2C9D" w:rsidRPr="00756D59" w:rsidRDefault="000E2C9D" w:rsidP="0051060F">
            <w:pPr>
              <w:jc w:val="left"/>
              <w:rPr>
                <w:bCs/>
                <w:sz w:val="20"/>
                <w:szCs w:val="20"/>
                <w:lang w:eastAsia="en-CA"/>
              </w:rPr>
            </w:pPr>
            <w:r w:rsidRPr="00756D59">
              <w:rPr>
                <w:sz w:val="20"/>
                <w:szCs w:val="20"/>
                <w:lang w:eastAsia="en-CA"/>
              </w:rPr>
              <w:t>LAO/SEV/81/TAS/01+</w:t>
            </w:r>
          </w:p>
        </w:tc>
        <w:tc>
          <w:tcPr>
            <w:tcW w:w="3352" w:type="dxa"/>
            <w:tcMar>
              <w:left w:w="58" w:type="dxa"/>
              <w:right w:w="58" w:type="dxa"/>
            </w:tcMar>
          </w:tcPr>
          <w:p w14:paraId="6E7AF2B0"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DBD36E1"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EEF5A23" w14:textId="77777777" w:rsidR="000E2C9D" w:rsidRPr="00756D59" w:rsidRDefault="000E2C9D" w:rsidP="0051060F">
            <w:pPr>
              <w:jc w:val="center"/>
              <w:rPr>
                <w:bCs/>
                <w:sz w:val="20"/>
                <w:szCs w:val="20"/>
                <w:lang w:eastAsia="en-CA"/>
              </w:rPr>
            </w:pPr>
            <w:r w:rsidRPr="00756D59">
              <w:rPr>
                <w:bCs/>
                <w:sz w:val="20"/>
                <w:szCs w:val="20"/>
                <w:lang w:eastAsia="en-CA"/>
              </w:rPr>
              <w:t>29.3</w:t>
            </w:r>
          </w:p>
        </w:tc>
        <w:tc>
          <w:tcPr>
            <w:tcW w:w="4531" w:type="dxa"/>
            <w:tcMar>
              <w:left w:w="58" w:type="dxa"/>
              <w:right w:w="58" w:type="dxa"/>
            </w:tcMar>
          </w:tcPr>
          <w:p w14:paraId="1F61C90F"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 roundtable workshops and trainings; finalization of draft regulation amendment; development of knowledge products and information materials; consultations with energy office, importers and traders; and public event with energy office.</w:t>
            </w:r>
          </w:p>
        </w:tc>
        <w:tc>
          <w:tcPr>
            <w:tcW w:w="1629" w:type="dxa"/>
            <w:shd w:val="clear" w:color="auto" w:fill="auto"/>
            <w:tcMar>
              <w:left w:w="58" w:type="dxa"/>
              <w:right w:w="58" w:type="dxa"/>
            </w:tcMar>
          </w:tcPr>
          <w:p w14:paraId="056AFDD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2F1FB77A" w14:textId="77777777" w:rsidTr="0051060F">
        <w:trPr>
          <w:trHeight w:val="337"/>
        </w:trPr>
        <w:tc>
          <w:tcPr>
            <w:tcW w:w="2261" w:type="dxa"/>
            <w:tcMar>
              <w:left w:w="58" w:type="dxa"/>
              <w:right w:w="58" w:type="dxa"/>
            </w:tcMar>
          </w:tcPr>
          <w:p w14:paraId="3268DC52" w14:textId="77777777" w:rsidR="000E2C9D" w:rsidRPr="00756D59" w:rsidRDefault="000E2C9D" w:rsidP="0051060F">
            <w:pPr>
              <w:jc w:val="left"/>
              <w:rPr>
                <w:sz w:val="20"/>
                <w:szCs w:val="20"/>
                <w:lang w:eastAsia="en-CA"/>
              </w:rPr>
            </w:pPr>
            <w:r w:rsidRPr="00756D59">
              <w:rPr>
                <w:bCs/>
                <w:sz w:val="20"/>
                <w:szCs w:val="20"/>
                <w:lang w:eastAsia="en-CA"/>
              </w:rPr>
              <w:t>Madagascar</w:t>
            </w:r>
            <w:r w:rsidRPr="00756D59">
              <w:rPr>
                <w:sz w:val="20"/>
                <w:szCs w:val="20"/>
                <w:lang w:eastAsia="en-CA"/>
              </w:rPr>
              <w:t xml:space="preserve"> </w:t>
            </w:r>
          </w:p>
          <w:p w14:paraId="7BD8FB3F" w14:textId="77777777" w:rsidR="000E2C9D" w:rsidRPr="00756D59" w:rsidRDefault="000E2C9D" w:rsidP="0051060F">
            <w:pPr>
              <w:jc w:val="left"/>
              <w:rPr>
                <w:bCs/>
                <w:sz w:val="20"/>
                <w:szCs w:val="20"/>
                <w:lang w:eastAsia="en-CA"/>
              </w:rPr>
            </w:pPr>
            <w:r w:rsidRPr="00756D59">
              <w:rPr>
                <w:sz w:val="20"/>
                <w:szCs w:val="20"/>
                <w:lang w:eastAsia="en-CA"/>
              </w:rPr>
              <w:t>MAG/SEV/81/TAS/01+</w:t>
            </w:r>
          </w:p>
        </w:tc>
        <w:tc>
          <w:tcPr>
            <w:tcW w:w="3352" w:type="dxa"/>
            <w:tcMar>
              <w:left w:w="58" w:type="dxa"/>
              <w:right w:w="58" w:type="dxa"/>
            </w:tcMar>
          </w:tcPr>
          <w:p w14:paraId="4E2B8856"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71A2D2C"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243DA55" w14:textId="77777777" w:rsidR="000E2C9D" w:rsidRPr="00756D59" w:rsidRDefault="000E2C9D" w:rsidP="0051060F">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401BD7B4" w14:textId="77777777" w:rsidR="000E2C9D" w:rsidRPr="00756D59" w:rsidRDefault="000E2C9D" w:rsidP="0051060F">
            <w:pPr>
              <w:jc w:val="left"/>
              <w:rPr>
                <w:sz w:val="20"/>
                <w:szCs w:val="20"/>
                <w:lang w:eastAsia="en-CA"/>
              </w:rPr>
            </w:pPr>
            <w:r w:rsidRPr="00756D59">
              <w:rPr>
                <w:sz w:val="20"/>
                <w:szCs w:val="20"/>
                <w:lang w:eastAsia="en-CA"/>
              </w:rPr>
              <w:t xml:space="preserve">Finalization of the package on the ratification of the Kigali Amendment and advancing the ratification process; drafting the law on ratification of the Kigali Amendment with the justification document, as required by the national legislative process; and undertaking the training needs assessment for the servicing sector and preparing an assessment report </w:t>
            </w:r>
            <w:r w:rsidRPr="00756D59">
              <w:rPr>
                <w:sz w:val="20"/>
                <w:szCs w:val="20"/>
                <w:lang w:eastAsia="en-CA"/>
              </w:rPr>
              <w:lastRenderedPageBreak/>
              <w:t xml:space="preserve">that will be used for further planning of the activities related to use of HFCs and low-GWP alternatives. </w:t>
            </w:r>
          </w:p>
        </w:tc>
        <w:tc>
          <w:tcPr>
            <w:tcW w:w="1629" w:type="dxa"/>
            <w:shd w:val="clear" w:color="auto" w:fill="auto"/>
            <w:tcMar>
              <w:left w:w="58" w:type="dxa"/>
              <w:right w:w="58" w:type="dxa"/>
            </w:tcMar>
          </w:tcPr>
          <w:p w14:paraId="072EF2A7" w14:textId="77777777" w:rsidR="000E2C9D" w:rsidRPr="00756D59" w:rsidRDefault="000E2C9D" w:rsidP="0051060F">
            <w:pPr>
              <w:jc w:val="center"/>
              <w:rPr>
                <w:bCs/>
                <w:sz w:val="20"/>
                <w:szCs w:val="20"/>
                <w:lang w:eastAsia="en-CA"/>
              </w:rPr>
            </w:pPr>
            <w:r w:rsidRPr="00756D59">
              <w:rPr>
                <w:bCs/>
                <w:sz w:val="20"/>
                <w:szCs w:val="20"/>
                <w:lang w:eastAsia="en-CA"/>
              </w:rPr>
              <w:lastRenderedPageBreak/>
              <w:t>Jun-22</w:t>
            </w:r>
          </w:p>
        </w:tc>
      </w:tr>
      <w:tr w:rsidR="000E2C9D" w:rsidRPr="00756D59" w14:paraId="25531271" w14:textId="77777777" w:rsidTr="0051060F">
        <w:trPr>
          <w:trHeight w:val="337"/>
        </w:trPr>
        <w:tc>
          <w:tcPr>
            <w:tcW w:w="2261" w:type="dxa"/>
            <w:tcMar>
              <w:left w:w="58" w:type="dxa"/>
              <w:right w:w="58" w:type="dxa"/>
            </w:tcMar>
          </w:tcPr>
          <w:p w14:paraId="6ECE8FBF" w14:textId="77777777" w:rsidR="000E2C9D" w:rsidRPr="00756D59" w:rsidRDefault="000E2C9D" w:rsidP="0051060F">
            <w:pPr>
              <w:jc w:val="left"/>
              <w:rPr>
                <w:sz w:val="20"/>
                <w:szCs w:val="20"/>
                <w:lang w:eastAsia="en-CA"/>
              </w:rPr>
            </w:pPr>
            <w:r w:rsidRPr="00756D59">
              <w:rPr>
                <w:bCs/>
                <w:sz w:val="20"/>
                <w:szCs w:val="20"/>
                <w:lang w:eastAsia="en-CA"/>
              </w:rPr>
              <w:lastRenderedPageBreak/>
              <w:t>Malawi</w:t>
            </w:r>
            <w:r w:rsidRPr="00756D59">
              <w:rPr>
                <w:sz w:val="20"/>
                <w:szCs w:val="20"/>
                <w:lang w:eastAsia="en-CA"/>
              </w:rPr>
              <w:t xml:space="preserve"> </w:t>
            </w:r>
          </w:p>
          <w:p w14:paraId="056D76B8" w14:textId="77777777" w:rsidR="000E2C9D" w:rsidRPr="00756D59" w:rsidRDefault="000E2C9D" w:rsidP="0051060F">
            <w:pPr>
              <w:jc w:val="left"/>
              <w:rPr>
                <w:bCs/>
                <w:sz w:val="20"/>
                <w:szCs w:val="20"/>
                <w:lang w:eastAsia="en-CA"/>
              </w:rPr>
            </w:pPr>
            <w:r w:rsidRPr="00756D59">
              <w:rPr>
                <w:sz w:val="20"/>
                <w:szCs w:val="20"/>
                <w:lang w:eastAsia="en-CA"/>
              </w:rPr>
              <w:t>MLW/SEV/81/TAS/01+</w:t>
            </w:r>
          </w:p>
        </w:tc>
        <w:tc>
          <w:tcPr>
            <w:tcW w:w="3352" w:type="dxa"/>
            <w:tcMar>
              <w:left w:w="58" w:type="dxa"/>
              <w:right w:w="58" w:type="dxa"/>
            </w:tcMar>
          </w:tcPr>
          <w:p w14:paraId="53702CB6"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17020F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5ADEF04" w14:textId="77777777" w:rsidR="000E2C9D" w:rsidRPr="00756D59" w:rsidRDefault="000E2C9D" w:rsidP="0051060F">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4CB717E9" w14:textId="77777777" w:rsidR="000E2C9D" w:rsidRPr="00756D59" w:rsidRDefault="000E2C9D" w:rsidP="0051060F">
            <w:pPr>
              <w:jc w:val="left"/>
              <w:rPr>
                <w:sz w:val="20"/>
                <w:szCs w:val="20"/>
                <w:lang w:eastAsia="en-CA"/>
              </w:rPr>
            </w:pPr>
            <w:r w:rsidRPr="00756D59">
              <w:rPr>
                <w:sz w:val="20"/>
                <w:szCs w:val="20"/>
                <w:lang w:eastAsia="en-CA"/>
              </w:rPr>
              <w:t>Conducting consultations with enforcement agencies on monitoring and controlling imports and exports of HFCs and HFC</w:t>
            </w:r>
            <w:r w:rsidRPr="00756D59">
              <w:rPr>
                <w:sz w:val="20"/>
                <w:szCs w:val="20"/>
                <w:lang w:eastAsia="en-CA"/>
              </w:rPr>
              <w:noBreakHyphen/>
              <w:t>based products; developing electronic registry for HFCs and their alternatives; and assisting customs office in developing national custom codes for different HFCs and including them into the Customs Tariff.</w:t>
            </w:r>
          </w:p>
        </w:tc>
        <w:tc>
          <w:tcPr>
            <w:tcW w:w="1629" w:type="dxa"/>
            <w:shd w:val="clear" w:color="auto" w:fill="auto"/>
            <w:tcMar>
              <w:left w:w="58" w:type="dxa"/>
              <w:right w:w="58" w:type="dxa"/>
            </w:tcMar>
          </w:tcPr>
          <w:p w14:paraId="271D2CF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6288F12A" w14:textId="77777777" w:rsidTr="0051060F">
        <w:trPr>
          <w:trHeight w:val="337"/>
        </w:trPr>
        <w:tc>
          <w:tcPr>
            <w:tcW w:w="2261" w:type="dxa"/>
            <w:tcMar>
              <w:left w:w="58" w:type="dxa"/>
              <w:right w:w="58" w:type="dxa"/>
            </w:tcMar>
          </w:tcPr>
          <w:p w14:paraId="7EF7458D" w14:textId="77777777" w:rsidR="000E2C9D" w:rsidRPr="00756D59" w:rsidRDefault="000E2C9D" w:rsidP="0051060F">
            <w:pPr>
              <w:jc w:val="left"/>
              <w:rPr>
                <w:sz w:val="20"/>
                <w:szCs w:val="20"/>
                <w:lang w:eastAsia="en-CA"/>
              </w:rPr>
            </w:pPr>
            <w:r w:rsidRPr="00756D59">
              <w:rPr>
                <w:bCs/>
                <w:sz w:val="20"/>
                <w:szCs w:val="20"/>
                <w:lang w:eastAsia="en-CA"/>
              </w:rPr>
              <w:t>Maldives</w:t>
            </w:r>
            <w:r w:rsidRPr="00756D59">
              <w:rPr>
                <w:sz w:val="20"/>
                <w:szCs w:val="20"/>
                <w:lang w:eastAsia="en-CA"/>
              </w:rPr>
              <w:t xml:space="preserve"> </w:t>
            </w:r>
          </w:p>
          <w:p w14:paraId="6F341D84" w14:textId="77777777" w:rsidR="000E2C9D" w:rsidRPr="00756D59" w:rsidRDefault="000E2C9D" w:rsidP="0051060F">
            <w:pPr>
              <w:jc w:val="left"/>
              <w:rPr>
                <w:bCs/>
                <w:sz w:val="20"/>
                <w:szCs w:val="20"/>
                <w:lang w:eastAsia="en-CA"/>
              </w:rPr>
            </w:pPr>
            <w:r w:rsidRPr="00756D59">
              <w:rPr>
                <w:sz w:val="20"/>
                <w:szCs w:val="20"/>
                <w:lang w:eastAsia="en-CA"/>
              </w:rPr>
              <w:t>MDV/SEV/80/TAS/01+</w:t>
            </w:r>
          </w:p>
        </w:tc>
        <w:tc>
          <w:tcPr>
            <w:tcW w:w="3352" w:type="dxa"/>
            <w:tcMar>
              <w:left w:w="58" w:type="dxa"/>
              <w:right w:w="58" w:type="dxa"/>
            </w:tcMar>
          </w:tcPr>
          <w:p w14:paraId="3D5D555A"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0A03609"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D45D707" w14:textId="77777777" w:rsidR="000E2C9D" w:rsidRPr="00756D59" w:rsidRDefault="000E2C9D" w:rsidP="0051060F">
            <w:pPr>
              <w:jc w:val="center"/>
              <w:rPr>
                <w:bCs/>
                <w:sz w:val="20"/>
                <w:szCs w:val="20"/>
                <w:lang w:eastAsia="en-CA"/>
              </w:rPr>
            </w:pPr>
            <w:r w:rsidRPr="00756D59">
              <w:rPr>
                <w:bCs/>
                <w:sz w:val="20"/>
                <w:szCs w:val="20"/>
                <w:lang w:eastAsia="en-CA"/>
              </w:rPr>
              <w:t>95</w:t>
            </w:r>
          </w:p>
        </w:tc>
        <w:tc>
          <w:tcPr>
            <w:tcW w:w="4531" w:type="dxa"/>
            <w:tcMar>
              <w:left w:w="58" w:type="dxa"/>
              <w:right w:w="58" w:type="dxa"/>
            </w:tcMar>
          </w:tcPr>
          <w:p w14:paraId="5B5706A0"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 roundtable workshops and training; drafting regulation amendment; and survey for cold chain database.</w:t>
            </w:r>
          </w:p>
        </w:tc>
        <w:tc>
          <w:tcPr>
            <w:tcW w:w="1629" w:type="dxa"/>
            <w:shd w:val="clear" w:color="auto" w:fill="auto"/>
            <w:tcMar>
              <w:left w:w="58" w:type="dxa"/>
              <w:right w:w="58" w:type="dxa"/>
            </w:tcMar>
          </w:tcPr>
          <w:p w14:paraId="34A6153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052988AB" w14:textId="77777777" w:rsidTr="0051060F">
        <w:trPr>
          <w:trHeight w:val="337"/>
        </w:trPr>
        <w:tc>
          <w:tcPr>
            <w:tcW w:w="2261" w:type="dxa"/>
            <w:tcMar>
              <w:left w:w="58" w:type="dxa"/>
              <w:right w:w="58" w:type="dxa"/>
            </w:tcMar>
          </w:tcPr>
          <w:p w14:paraId="3A98C0B5" w14:textId="77777777" w:rsidR="000E2C9D" w:rsidRPr="00756D59" w:rsidRDefault="000E2C9D" w:rsidP="0051060F">
            <w:pPr>
              <w:jc w:val="left"/>
              <w:rPr>
                <w:sz w:val="20"/>
                <w:szCs w:val="20"/>
                <w:lang w:eastAsia="en-CA"/>
              </w:rPr>
            </w:pPr>
            <w:r w:rsidRPr="00756D59">
              <w:rPr>
                <w:bCs/>
                <w:sz w:val="20"/>
                <w:szCs w:val="20"/>
                <w:lang w:eastAsia="en-CA"/>
              </w:rPr>
              <w:t>Mali</w:t>
            </w:r>
            <w:r w:rsidRPr="00756D59">
              <w:rPr>
                <w:sz w:val="20"/>
                <w:szCs w:val="20"/>
                <w:lang w:eastAsia="en-CA"/>
              </w:rPr>
              <w:t xml:space="preserve"> </w:t>
            </w:r>
          </w:p>
          <w:p w14:paraId="1125C18A" w14:textId="77777777" w:rsidR="000E2C9D" w:rsidRPr="00756D59" w:rsidRDefault="000E2C9D" w:rsidP="0051060F">
            <w:pPr>
              <w:jc w:val="left"/>
              <w:rPr>
                <w:bCs/>
                <w:sz w:val="20"/>
                <w:szCs w:val="20"/>
                <w:lang w:eastAsia="en-CA"/>
              </w:rPr>
            </w:pPr>
            <w:r w:rsidRPr="00756D59">
              <w:rPr>
                <w:sz w:val="20"/>
                <w:szCs w:val="20"/>
                <w:lang w:eastAsia="en-CA"/>
              </w:rPr>
              <w:t>MLI/SEV/81/TAS/01+</w:t>
            </w:r>
          </w:p>
        </w:tc>
        <w:tc>
          <w:tcPr>
            <w:tcW w:w="3352" w:type="dxa"/>
            <w:tcMar>
              <w:left w:w="58" w:type="dxa"/>
              <w:right w:w="58" w:type="dxa"/>
            </w:tcMar>
          </w:tcPr>
          <w:p w14:paraId="707E802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00855A1"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AC9D124" w14:textId="77777777" w:rsidR="000E2C9D" w:rsidRPr="00756D59" w:rsidRDefault="000E2C9D" w:rsidP="0051060F">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4B6908C7" w14:textId="77777777" w:rsidR="000E2C9D" w:rsidRPr="00756D59" w:rsidRDefault="000E2C9D" w:rsidP="0051060F">
            <w:pPr>
              <w:jc w:val="left"/>
              <w:rPr>
                <w:sz w:val="20"/>
                <w:szCs w:val="20"/>
                <w:lang w:eastAsia="en-CA"/>
              </w:rPr>
            </w:pPr>
            <w:r w:rsidRPr="00756D59">
              <w:rPr>
                <w:sz w:val="20"/>
                <w:szCs w:val="20"/>
                <w:lang w:eastAsia="en-CA"/>
              </w:rPr>
              <w:t xml:space="preserve">Development of country-specific HS codes for HFCs; undertaking training need assessment for servicing sector; and assisting customs office in developing national custom codes for different HFCs and including them in the Customs Tariff to ensure proper monitoring and recording of imports/exports or re-export of individual HFCs. </w:t>
            </w:r>
          </w:p>
        </w:tc>
        <w:tc>
          <w:tcPr>
            <w:tcW w:w="1629" w:type="dxa"/>
            <w:shd w:val="clear" w:color="auto" w:fill="auto"/>
            <w:tcMar>
              <w:left w:w="58" w:type="dxa"/>
              <w:right w:w="58" w:type="dxa"/>
            </w:tcMar>
          </w:tcPr>
          <w:p w14:paraId="178284B3"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EEC4F57" w14:textId="77777777" w:rsidTr="0051060F">
        <w:trPr>
          <w:trHeight w:val="337"/>
        </w:trPr>
        <w:tc>
          <w:tcPr>
            <w:tcW w:w="2261" w:type="dxa"/>
            <w:tcMar>
              <w:left w:w="58" w:type="dxa"/>
              <w:right w:w="58" w:type="dxa"/>
            </w:tcMar>
          </w:tcPr>
          <w:p w14:paraId="256CC018" w14:textId="77777777" w:rsidR="000E2C9D" w:rsidRPr="00756D59" w:rsidRDefault="000E2C9D" w:rsidP="0051060F">
            <w:pPr>
              <w:jc w:val="left"/>
              <w:rPr>
                <w:sz w:val="20"/>
                <w:szCs w:val="20"/>
                <w:lang w:eastAsia="en-CA"/>
              </w:rPr>
            </w:pPr>
            <w:r w:rsidRPr="00756D59">
              <w:rPr>
                <w:bCs/>
                <w:sz w:val="20"/>
                <w:szCs w:val="20"/>
                <w:lang w:eastAsia="en-CA"/>
              </w:rPr>
              <w:t>Marshall Islands (the)</w:t>
            </w:r>
            <w:r w:rsidRPr="00756D59">
              <w:rPr>
                <w:sz w:val="20"/>
                <w:szCs w:val="20"/>
                <w:lang w:eastAsia="en-CA"/>
              </w:rPr>
              <w:t xml:space="preserve"> </w:t>
            </w:r>
          </w:p>
          <w:p w14:paraId="5812267E" w14:textId="77777777" w:rsidR="000E2C9D" w:rsidRPr="00756D59" w:rsidRDefault="000E2C9D" w:rsidP="0051060F">
            <w:pPr>
              <w:jc w:val="left"/>
              <w:rPr>
                <w:bCs/>
                <w:sz w:val="20"/>
                <w:szCs w:val="20"/>
                <w:lang w:eastAsia="en-CA"/>
              </w:rPr>
            </w:pPr>
            <w:r w:rsidRPr="00756D59">
              <w:rPr>
                <w:sz w:val="20"/>
                <w:szCs w:val="20"/>
                <w:lang w:eastAsia="en-CA"/>
              </w:rPr>
              <w:t>MAS/SEV/81/TAS/01+</w:t>
            </w:r>
          </w:p>
        </w:tc>
        <w:tc>
          <w:tcPr>
            <w:tcW w:w="3352" w:type="dxa"/>
            <w:tcMar>
              <w:left w:w="58" w:type="dxa"/>
              <w:right w:w="58" w:type="dxa"/>
            </w:tcMar>
          </w:tcPr>
          <w:p w14:paraId="4B5B9E71"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4DA39C2"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2E67FC0" w14:textId="77777777" w:rsidR="000E2C9D" w:rsidRPr="00756D59" w:rsidRDefault="000E2C9D" w:rsidP="0051060F">
            <w:pPr>
              <w:jc w:val="center"/>
              <w:rPr>
                <w:bCs/>
                <w:sz w:val="20"/>
                <w:szCs w:val="20"/>
                <w:lang w:eastAsia="en-CA"/>
              </w:rPr>
            </w:pPr>
            <w:r w:rsidRPr="00756D59">
              <w:rPr>
                <w:bCs/>
                <w:sz w:val="20"/>
                <w:szCs w:val="20"/>
                <w:lang w:eastAsia="en-CA"/>
              </w:rPr>
              <w:t>27.4</w:t>
            </w:r>
          </w:p>
        </w:tc>
        <w:tc>
          <w:tcPr>
            <w:tcW w:w="4531" w:type="dxa"/>
            <w:tcMar>
              <w:left w:w="58" w:type="dxa"/>
              <w:right w:w="58" w:type="dxa"/>
            </w:tcMar>
          </w:tcPr>
          <w:p w14:paraId="2FBFAC09"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 roundtable workshops and trainings; finalization of regulation amendment drafting; and development of knowledge products and information materials.</w:t>
            </w:r>
          </w:p>
        </w:tc>
        <w:tc>
          <w:tcPr>
            <w:tcW w:w="1629" w:type="dxa"/>
            <w:shd w:val="clear" w:color="auto" w:fill="auto"/>
            <w:tcMar>
              <w:left w:w="58" w:type="dxa"/>
              <w:right w:w="58" w:type="dxa"/>
            </w:tcMar>
          </w:tcPr>
          <w:p w14:paraId="6737B374"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B47C8EC" w14:textId="77777777" w:rsidTr="0051060F">
        <w:trPr>
          <w:trHeight w:val="337"/>
        </w:trPr>
        <w:tc>
          <w:tcPr>
            <w:tcW w:w="2261" w:type="dxa"/>
            <w:tcMar>
              <w:left w:w="58" w:type="dxa"/>
              <w:right w:w="58" w:type="dxa"/>
            </w:tcMar>
          </w:tcPr>
          <w:p w14:paraId="2AACB385" w14:textId="77777777" w:rsidR="000E2C9D" w:rsidRPr="00756D59" w:rsidRDefault="000E2C9D" w:rsidP="0051060F">
            <w:pPr>
              <w:jc w:val="left"/>
              <w:rPr>
                <w:sz w:val="20"/>
                <w:szCs w:val="20"/>
                <w:lang w:eastAsia="en-CA"/>
              </w:rPr>
            </w:pPr>
            <w:r w:rsidRPr="00756D59">
              <w:rPr>
                <w:bCs/>
                <w:sz w:val="20"/>
                <w:szCs w:val="20"/>
                <w:lang w:eastAsia="en-CA"/>
              </w:rPr>
              <w:t>Mauritania</w:t>
            </w:r>
            <w:r w:rsidRPr="00756D59">
              <w:rPr>
                <w:sz w:val="20"/>
                <w:szCs w:val="20"/>
                <w:lang w:eastAsia="en-CA"/>
              </w:rPr>
              <w:t xml:space="preserve"> </w:t>
            </w:r>
          </w:p>
          <w:p w14:paraId="3E6FB2E8" w14:textId="77777777" w:rsidR="000E2C9D" w:rsidRPr="00756D59" w:rsidRDefault="000E2C9D" w:rsidP="0051060F">
            <w:pPr>
              <w:jc w:val="left"/>
              <w:rPr>
                <w:bCs/>
                <w:sz w:val="20"/>
                <w:szCs w:val="20"/>
                <w:lang w:eastAsia="en-CA"/>
              </w:rPr>
            </w:pPr>
            <w:r w:rsidRPr="00756D59">
              <w:rPr>
                <w:sz w:val="20"/>
                <w:szCs w:val="20"/>
                <w:lang w:eastAsia="en-CA"/>
              </w:rPr>
              <w:t>MAU/SEV/81/TAS/01+</w:t>
            </w:r>
          </w:p>
        </w:tc>
        <w:tc>
          <w:tcPr>
            <w:tcW w:w="3352" w:type="dxa"/>
            <w:tcMar>
              <w:left w:w="58" w:type="dxa"/>
              <w:right w:w="58" w:type="dxa"/>
            </w:tcMar>
          </w:tcPr>
          <w:p w14:paraId="5E2F53F5"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8B4CA80"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AC96AF1" w14:textId="77777777" w:rsidR="000E2C9D" w:rsidRPr="00756D59" w:rsidRDefault="000E2C9D" w:rsidP="0051060F">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0C185C3F" w14:textId="77777777" w:rsidR="000E2C9D" w:rsidRPr="00756D59" w:rsidRDefault="000E2C9D" w:rsidP="0051060F">
            <w:pPr>
              <w:jc w:val="left"/>
              <w:rPr>
                <w:sz w:val="20"/>
                <w:szCs w:val="20"/>
                <w:lang w:eastAsia="en-CA"/>
              </w:rPr>
            </w:pPr>
            <w:r w:rsidRPr="00756D59">
              <w:rPr>
                <w:sz w:val="20"/>
                <w:szCs w:val="20"/>
                <w:lang w:eastAsia="en-CA"/>
              </w:rPr>
              <w:t xml:space="preserve">Training needs assessment for the servicing sector and preparing an assessment report; development of country-specific national HS codes for HFCs; sensitisation meetings for technicians on safe handling of HFCs and their alternatives; assisting customs office in developing national custom codes for different HFCs and including them into the Customs Tariff.     </w:t>
            </w:r>
          </w:p>
        </w:tc>
        <w:tc>
          <w:tcPr>
            <w:tcW w:w="1629" w:type="dxa"/>
            <w:shd w:val="clear" w:color="auto" w:fill="auto"/>
            <w:tcMar>
              <w:left w:w="58" w:type="dxa"/>
              <w:right w:w="58" w:type="dxa"/>
            </w:tcMar>
          </w:tcPr>
          <w:p w14:paraId="1D97954F"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11EC5194" w14:textId="77777777" w:rsidTr="0051060F">
        <w:trPr>
          <w:trHeight w:val="337"/>
        </w:trPr>
        <w:tc>
          <w:tcPr>
            <w:tcW w:w="2261" w:type="dxa"/>
            <w:tcMar>
              <w:left w:w="58" w:type="dxa"/>
              <w:right w:w="58" w:type="dxa"/>
            </w:tcMar>
          </w:tcPr>
          <w:p w14:paraId="6BF3DBAD" w14:textId="77777777" w:rsidR="000E2C9D" w:rsidRPr="00756D59" w:rsidRDefault="000E2C9D" w:rsidP="0051060F">
            <w:pPr>
              <w:jc w:val="left"/>
              <w:rPr>
                <w:sz w:val="20"/>
                <w:szCs w:val="20"/>
                <w:lang w:eastAsia="en-CA"/>
              </w:rPr>
            </w:pPr>
            <w:r w:rsidRPr="00756D59">
              <w:rPr>
                <w:bCs/>
                <w:sz w:val="20"/>
                <w:szCs w:val="20"/>
                <w:lang w:eastAsia="en-CA"/>
              </w:rPr>
              <w:t>Mauritius</w:t>
            </w:r>
            <w:r w:rsidRPr="00756D59">
              <w:rPr>
                <w:sz w:val="20"/>
                <w:szCs w:val="20"/>
                <w:lang w:eastAsia="en-CA"/>
              </w:rPr>
              <w:t xml:space="preserve"> </w:t>
            </w:r>
          </w:p>
          <w:p w14:paraId="053F62CE" w14:textId="77777777" w:rsidR="000E2C9D" w:rsidRPr="00756D59" w:rsidRDefault="000E2C9D" w:rsidP="0051060F">
            <w:pPr>
              <w:jc w:val="left"/>
              <w:rPr>
                <w:bCs/>
                <w:sz w:val="20"/>
                <w:szCs w:val="20"/>
                <w:lang w:eastAsia="en-CA"/>
              </w:rPr>
            </w:pPr>
            <w:r w:rsidRPr="00756D59">
              <w:rPr>
                <w:sz w:val="20"/>
                <w:szCs w:val="20"/>
                <w:lang w:eastAsia="en-CA"/>
              </w:rPr>
              <w:t>MAR/SEV/82/TAS/28</w:t>
            </w:r>
          </w:p>
        </w:tc>
        <w:tc>
          <w:tcPr>
            <w:tcW w:w="3352" w:type="dxa"/>
            <w:tcMar>
              <w:left w:w="58" w:type="dxa"/>
              <w:right w:w="58" w:type="dxa"/>
            </w:tcMar>
          </w:tcPr>
          <w:p w14:paraId="6BBE1C20"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749E6AA"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69230F73" w14:textId="77777777" w:rsidR="000E2C9D" w:rsidRPr="00756D59" w:rsidRDefault="000E2C9D" w:rsidP="0051060F">
            <w:pPr>
              <w:jc w:val="center"/>
              <w:rPr>
                <w:bCs/>
                <w:sz w:val="20"/>
                <w:szCs w:val="20"/>
                <w:lang w:eastAsia="en-CA"/>
              </w:rPr>
            </w:pPr>
            <w:r w:rsidRPr="00756D59">
              <w:rPr>
                <w:bCs/>
                <w:sz w:val="20"/>
                <w:szCs w:val="20"/>
                <w:lang w:eastAsia="en-CA"/>
              </w:rPr>
              <w:t>90</w:t>
            </w:r>
          </w:p>
        </w:tc>
        <w:tc>
          <w:tcPr>
            <w:tcW w:w="4531" w:type="dxa"/>
            <w:tcMar>
              <w:left w:w="58" w:type="dxa"/>
              <w:right w:w="58" w:type="dxa"/>
            </w:tcMar>
          </w:tcPr>
          <w:p w14:paraId="0114AD2F" w14:textId="77777777" w:rsidR="000E2C9D" w:rsidRPr="00756D59" w:rsidRDefault="000E2C9D" w:rsidP="0051060F">
            <w:pPr>
              <w:jc w:val="left"/>
              <w:rPr>
                <w:sz w:val="20"/>
                <w:szCs w:val="20"/>
                <w:lang w:eastAsia="en-CA"/>
              </w:rPr>
            </w:pPr>
            <w:r w:rsidRPr="00756D59">
              <w:rPr>
                <w:sz w:val="20"/>
                <w:szCs w:val="20"/>
                <w:lang w:eastAsia="en-CA"/>
              </w:rPr>
              <w:t>Conduct stakeholder consultative meetings on enabling policies and strategies for quick adoption of low</w:t>
            </w:r>
            <w:r w:rsidRPr="00756D59">
              <w:rPr>
                <w:sz w:val="20"/>
                <w:szCs w:val="20"/>
                <w:lang w:eastAsia="en-CA"/>
              </w:rPr>
              <w:noBreakHyphen/>
              <w:t xml:space="preserve">GWP HFC alternative technologies; and assisting customs office in developing national custom codes for different HFCs and including them into the Customs Tariff. </w:t>
            </w:r>
          </w:p>
        </w:tc>
        <w:tc>
          <w:tcPr>
            <w:tcW w:w="1629" w:type="dxa"/>
            <w:shd w:val="clear" w:color="auto" w:fill="auto"/>
            <w:tcMar>
              <w:left w:w="58" w:type="dxa"/>
              <w:right w:w="58" w:type="dxa"/>
            </w:tcMar>
          </w:tcPr>
          <w:p w14:paraId="1144A7F6"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7597824" w14:textId="77777777" w:rsidTr="0051060F">
        <w:trPr>
          <w:trHeight w:val="337"/>
        </w:trPr>
        <w:tc>
          <w:tcPr>
            <w:tcW w:w="2261" w:type="dxa"/>
            <w:tcMar>
              <w:left w:w="58" w:type="dxa"/>
              <w:right w:w="58" w:type="dxa"/>
            </w:tcMar>
          </w:tcPr>
          <w:p w14:paraId="32024524" w14:textId="77777777" w:rsidR="000E2C9D" w:rsidRPr="00756D59" w:rsidRDefault="000E2C9D" w:rsidP="0051060F">
            <w:pPr>
              <w:jc w:val="left"/>
              <w:rPr>
                <w:sz w:val="20"/>
                <w:szCs w:val="20"/>
                <w:lang w:eastAsia="en-CA"/>
              </w:rPr>
            </w:pPr>
            <w:r w:rsidRPr="00756D59">
              <w:rPr>
                <w:bCs/>
                <w:sz w:val="20"/>
                <w:szCs w:val="20"/>
                <w:lang w:eastAsia="en-CA"/>
              </w:rPr>
              <w:lastRenderedPageBreak/>
              <w:t>Mexico</w:t>
            </w:r>
            <w:r w:rsidRPr="00756D59">
              <w:rPr>
                <w:sz w:val="20"/>
                <w:szCs w:val="20"/>
                <w:lang w:eastAsia="en-CA"/>
              </w:rPr>
              <w:t xml:space="preserve"> </w:t>
            </w:r>
          </w:p>
          <w:p w14:paraId="1C2331E9" w14:textId="77777777" w:rsidR="000E2C9D" w:rsidRPr="00756D59" w:rsidRDefault="000E2C9D" w:rsidP="0051060F">
            <w:pPr>
              <w:jc w:val="left"/>
              <w:rPr>
                <w:bCs/>
                <w:sz w:val="20"/>
                <w:szCs w:val="20"/>
                <w:lang w:eastAsia="en-CA"/>
              </w:rPr>
            </w:pPr>
            <w:r w:rsidRPr="00756D59">
              <w:rPr>
                <w:sz w:val="20"/>
                <w:szCs w:val="20"/>
                <w:lang w:eastAsia="en-CA"/>
              </w:rPr>
              <w:t>MEX/SEV/80/TAS/01+</w:t>
            </w:r>
          </w:p>
        </w:tc>
        <w:tc>
          <w:tcPr>
            <w:tcW w:w="3352" w:type="dxa"/>
            <w:tcMar>
              <w:left w:w="58" w:type="dxa"/>
              <w:right w:w="58" w:type="dxa"/>
            </w:tcMar>
          </w:tcPr>
          <w:p w14:paraId="0D3E7FD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1BB222D"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31AE9FB" w14:textId="77777777" w:rsidR="000E2C9D" w:rsidRPr="00756D59" w:rsidRDefault="000E2C9D" w:rsidP="0051060F">
            <w:pPr>
              <w:jc w:val="center"/>
              <w:rPr>
                <w:bCs/>
                <w:sz w:val="20"/>
                <w:szCs w:val="20"/>
                <w:lang w:eastAsia="en-CA"/>
              </w:rPr>
            </w:pPr>
            <w:r w:rsidRPr="00756D59">
              <w:rPr>
                <w:bCs/>
                <w:sz w:val="20"/>
                <w:szCs w:val="20"/>
                <w:lang w:eastAsia="en-CA"/>
              </w:rPr>
              <w:t>33</w:t>
            </w:r>
          </w:p>
        </w:tc>
        <w:tc>
          <w:tcPr>
            <w:tcW w:w="4531" w:type="dxa"/>
            <w:tcMar>
              <w:left w:w="58" w:type="dxa"/>
              <w:right w:w="58" w:type="dxa"/>
            </w:tcMar>
          </w:tcPr>
          <w:p w14:paraId="6A8F2B45" w14:textId="77777777" w:rsidR="000E2C9D" w:rsidRPr="00756D59" w:rsidRDefault="000E2C9D" w:rsidP="0051060F">
            <w:pPr>
              <w:jc w:val="left"/>
              <w:rPr>
                <w:sz w:val="20"/>
                <w:szCs w:val="20"/>
                <w:lang w:eastAsia="en-CA"/>
              </w:rPr>
            </w:pPr>
            <w:r w:rsidRPr="00756D59">
              <w:rPr>
                <w:sz w:val="20"/>
                <w:szCs w:val="20"/>
                <w:lang w:eastAsia="en-CA"/>
              </w:rPr>
              <w:t>Specialized training in HFC controls for customs officers.</w:t>
            </w:r>
          </w:p>
        </w:tc>
        <w:tc>
          <w:tcPr>
            <w:tcW w:w="1629" w:type="dxa"/>
            <w:shd w:val="clear" w:color="auto" w:fill="auto"/>
            <w:tcMar>
              <w:left w:w="58" w:type="dxa"/>
              <w:right w:w="58" w:type="dxa"/>
            </w:tcMar>
          </w:tcPr>
          <w:p w14:paraId="117BD9A6"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63E0D8A6" w14:textId="77777777" w:rsidTr="0051060F">
        <w:trPr>
          <w:trHeight w:val="337"/>
        </w:trPr>
        <w:tc>
          <w:tcPr>
            <w:tcW w:w="2261" w:type="dxa"/>
            <w:tcMar>
              <w:left w:w="58" w:type="dxa"/>
              <w:right w:w="58" w:type="dxa"/>
            </w:tcMar>
          </w:tcPr>
          <w:p w14:paraId="1E62D7D2" w14:textId="77777777" w:rsidR="000E2C9D" w:rsidRPr="00756D59" w:rsidRDefault="000E2C9D" w:rsidP="0051060F">
            <w:pPr>
              <w:jc w:val="left"/>
              <w:rPr>
                <w:sz w:val="20"/>
                <w:szCs w:val="20"/>
                <w:lang w:eastAsia="en-CA"/>
              </w:rPr>
            </w:pPr>
            <w:r w:rsidRPr="00756D59">
              <w:rPr>
                <w:bCs/>
                <w:sz w:val="20"/>
                <w:szCs w:val="20"/>
                <w:lang w:eastAsia="en-CA"/>
              </w:rPr>
              <w:t>Mozambique</w:t>
            </w:r>
            <w:r w:rsidRPr="00756D59">
              <w:rPr>
                <w:sz w:val="20"/>
                <w:szCs w:val="20"/>
                <w:lang w:eastAsia="en-CA"/>
              </w:rPr>
              <w:t xml:space="preserve"> </w:t>
            </w:r>
          </w:p>
          <w:p w14:paraId="50FE457E" w14:textId="77777777" w:rsidR="000E2C9D" w:rsidRPr="00756D59" w:rsidRDefault="000E2C9D" w:rsidP="0051060F">
            <w:pPr>
              <w:jc w:val="left"/>
              <w:rPr>
                <w:bCs/>
                <w:sz w:val="20"/>
                <w:szCs w:val="20"/>
                <w:lang w:eastAsia="en-CA"/>
              </w:rPr>
            </w:pPr>
            <w:r w:rsidRPr="00756D59">
              <w:rPr>
                <w:sz w:val="20"/>
                <w:szCs w:val="20"/>
                <w:lang w:eastAsia="en-CA"/>
              </w:rPr>
              <w:t>MOZ/SEV/81/TAS/01+</w:t>
            </w:r>
          </w:p>
        </w:tc>
        <w:tc>
          <w:tcPr>
            <w:tcW w:w="3352" w:type="dxa"/>
            <w:tcMar>
              <w:left w:w="58" w:type="dxa"/>
              <w:right w:w="58" w:type="dxa"/>
            </w:tcMar>
          </w:tcPr>
          <w:p w14:paraId="45BCC11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547C89F"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DE869FB" w14:textId="77777777" w:rsidR="000E2C9D" w:rsidRPr="00756D59" w:rsidRDefault="000E2C9D" w:rsidP="0051060F">
            <w:pPr>
              <w:jc w:val="center"/>
              <w:rPr>
                <w:bCs/>
                <w:sz w:val="20"/>
                <w:szCs w:val="20"/>
                <w:lang w:eastAsia="en-CA"/>
              </w:rPr>
            </w:pPr>
            <w:r w:rsidRPr="00756D59">
              <w:rPr>
                <w:bCs/>
                <w:sz w:val="20"/>
                <w:szCs w:val="20"/>
                <w:lang w:eastAsia="en-CA"/>
              </w:rPr>
              <w:t>86.7</w:t>
            </w:r>
          </w:p>
        </w:tc>
        <w:tc>
          <w:tcPr>
            <w:tcW w:w="4531" w:type="dxa"/>
            <w:tcMar>
              <w:left w:w="58" w:type="dxa"/>
              <w:right w:w="58" w:type="dxa"/>
            </w:tcMar>
          </w:tcPr>
          <w:p w14:paraId="3836A384" w14:textId="77777777" w:rsidR="000E2C9D" w:rsidRPr="00756D59" w:rsidRDefault="000E2C9D" w:rsidP="0051060F">
            <w:pPr>
              <w:jc w:val="left"/>
              <w:rPr>
                <w:sz w:val="20"/>
                <w:szCs w:val="20"/>
                <w:lang w:eastAsia="en-CA"/>
              </w:rPr>
            </w:pPr>
            <w:r w:rsidRPr="00756D59">
              <w:rPr>
                <w:sz w:val="20"/>
                <w:szCs w:val="20"/>
                <w:lang w:eastAsia="en-CA"/>
              </w:rPr>
              <w:t>Undertaking the training needs assessment for the servicing sector and preparing an assessment report; revising the existing national ozone</w:t>
            </w:r>
            <w:r w:rsidRPr="00756D59">
              <w:rPr>
                <w:sz w:val="20"/>
                <w:szCs w:val="20"/>
                <w:lang w:eastAsia="en-CA"/>
              </w:rPr>
              <w:noBreakHyphen/>
              <w:t>depleting substances legislation for HFC and alternatives; and conducting sensitization meetings for technicians on safe handling of HFCs and their alternatives.</w:t>
            </w:r>
          </w:p>
        </w:tc>
        <w:tc>
          <w:tcPr>
            <w:tcW w:w="1629" w:type="dxa"/>
            <w:shd w:val="clear" w:color="auto" w:fill="auto"/>
            <w:tcMar>
              <w:left w:w="58" w:type="dxa"/>
              <w:right w:w="58" w:type="dxa"/>
            </w:tcMar>
          </w:tcPr>
          <w:p w14:paraId="232BD6EC"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7EC1BFE8" w14:textId="77777777" w:rsidTr="0051060F">
        <w:trPr>
          <w:trHeight w:val="337"/>
        </w:trPr>
        <w:tc>
          <w:tcPr>
            <w:tcW w:w="2261" w:type="dxa"/>
            <w:tcMar>
              <w:left w:w="58" w:type="dxa"/>
              <w:right w:w="58" w:type="dxa"/>
            </w:tcMar>
          </w:tcPr>
          <w:p w14:paraId="43E44BFE" w14:textId="77777777" w:rsidR="000E2C9D" w:rsidRPr="00756D59" w:rsidRDefault="000E2C9D" w:rsidP="0051060F">
            <w:pPr>
              <w:jc w:val="left"/>
              <w:rPr>
                <w:sz w:val="20"/>
                <w:szCs w:val="20"/>
                <w:lang w:eastAsia="en-CA"/>
              </w:rPr>
            </w:pPr>
            <w:r w:rsidRPr="00756D59">
              <w:rPr>
                <w:bCs/>
                <w:sz w:val="20"/>
                <w:szCs w:val="20"/>
                <w:lang w:eastAsia="en-CA"/>
              </w:rPr>
              <w:t>Myanmar</w:t>
            </w:r>
            <w:r w:rsidRPr="00756D59">
              <w:rPr>
                <w:sz w:val="20"/>
                <w:szCs w:val="20"/>
                <w:lang w:eastAsia="en-CA"/>
              </w:rPr>
              <w:t xml:space="preserve"> </w:t>
            </w:r>
          </w:p>
          <w:p w14:paraId="28443A7F" w14:textId="77777777" w:rsidR="000E2C9D" w:rsidRPr="00756D59" w:rsidRDefault="000E2C9D" w:rsidP="0051060F">
            <w:pPr>
              <w:jc w:val="left"/>
              <w:rPr>
                <w:bCs/>
                <w:sz w:val="20"/>
                <w:szCs w:val="20"/>
                <w:lang w:eastAsia="en-CA"/>
              </w:rPr>
            </w:pPr>
            <w:r w:rsidRPr="00756D59">
              <w:rPr>
                <w:sz w:val="20"/>
                <w:szCs w:val="20"/>
                <w:lang w:eastAsia="en-CA"/>
              </w:rPr>
              <w:t>MYA/SEV/81/TAS/01+</w:t>
            </w:r>
          </w:p>
        </w:tc>
        <w:tc>
          <w:tcPr>
            <w:tcW w:w="3352" w:type="dxa"/>
            <w:tcMar>
              <w:left w:w="58" w:type="dxa"/>
              <w:right w:w="58" w:type="dxa"/>
            </w:tcMar>
          </w:tcPr>
          <w:p w14:paraId="5C84F134"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3263446"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BB06036" w14:textId="77777777" w:rsidR="000E2C9D" w:rsidRPr="00756D59" w:rsidRDefault="000E2C9D" w:rsidP="0051060F">
            <w:pPr>
              <w:jc w:val="center"/>
              <w:rPr>
                <w:bCs/>
                <w:sz w:val="20"/>
                <w:szCs w:val="20"/>
                <w:lang w:eastAsia="en-CA"/>
              </w:rPr>
            </w:pPr>
            <w:r w:rsidRPr="00756D59">
              <w:rPr>
                <w:bCs/>
                <w:sz w:val="20"/>
                <w:szCs w:val="20"/>
                <w:lang w:eastAsia="en-CA"/>
              </w:rPr>
              <w:t>27.5</w:t>
            </w:r>
          </w:p>
        </w:tc>
        <w:tc>
          <w:tcPr>
            <w:tcW w:w="4531" w:type="dxa"/>
            <w:tcMar>
              <w:left w:w="58" w:type="dxa"/>
              <w:right w:w="58" w:type="dxa"/>
            </w:tcMar>
          </w:tcPr>
          <w:p w14:paraId="5867B7FB" w14:textId="77777777" w:rsidR="000E2C9D" w:rsidRPr="00756D59" w:rsidRDefault="000E2C9D" w:rsidP="0051060F">
            <w:pPr>
              <w:jc w:val="left"/>
              <w:rPr>
                <w:sz w:val="20"/>
                <w:szCs w:val="20"/>
                <w:lang w:eastAsia="en-CA"/>
              </w:rPr>
            </w:pPr>
            <w:r w:rsidRPr="00756D59">
              <w:rPr>
                <w:sz w:val="20"/>
                <w:szCs w:val="20"/>
                <w:lang w:eastAsia="en-CA"/>
              </w:rPr>
              <w:t>Finalization of country assessment report, roundtable workshops and trainings; drafting regulation amendment; development of knowledge products and information materials; and HS code revision 2022.</w:t>
            </w:r>
          </w:p>
        </w:tc>
        <w:tc>
          <w:tcPr>
            <w:tcW w:w="1629" w:type="dxa"/>
            <w:shd w:val="clear" w:color="auto" w:fill="auto"/>
            <w:tcMar>
              <w:left w:w="58" w:type="dxa"/>
              <w:right w:w="58" w:type="dxa"/>
            </w:tcMar>
          </w:tcPr>
          <w:p w14:paraId="1E09F326"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1B52EC9C" w14:textId="77777777" w:rsidTr="0051060F">
        <w:trPr>
          <w:trHeight w:val="337"/>
        </w:trPr>
        <w:tc>
          <w:tcPr>
            <w:tcW w:w="2261" w:type="dxa"/>
            <w:tcMar>
              <w:left w:w="58" w:type="dxa"/>
              <w:right w:w="58" w:type="dxa"/>
            </w:tcMar>
          </w:tcPr>
          <w:p w14:paraId="69EC35F1" w14:textId="77777777" w:rsidR="000E2C9D" w:rsidRPr="00756D59" w:rsidRDefault="000E2C9D" w:rsidP="0051060F">
            <w:pPr>
              <w:jc w:val="left"/>
              <w:rPr>
                <w:sz w:val="20"/>
                <w:szCs w:val="20"/>
                <w:lang w:eastAsia="en-CA"/>
              </w:rPr>
            </w:pPr>
            <w:r w:rsidRPr="00756D59">
              <w:rPr>
                <w:bCs/>
                <w:sz w:val="20"/>
                <w:szCs w:val="20"/>
                <w:lang w:eastAsia="en-CA"/>
              </w:rPr>
              <w:t>Nepal</w:t>
            </w:r>
            <w:r w:rsidRPr="00756D59">
              <w:rPr>
                <w:sz w:val="20"/>
                <w:szCs w:val="20"/>
                <w:lang w:eastAsia="en-CA"/>
              </w:rPr>
              <w:t xml:space="preserve"> </w:t>
            </w:r>
          </w:p>
          <w:p w14:paraId="25DE58C3" w14:textId="77777777" w:rsidR="000E2C9D" w:rsidRPr="00756D59" w:rsidRDefault="000E2C9D" w:rsidP="0051060F">
            <w:pPr>
              <w:jc w:val="left"/>
              <w:rPr>
                <w:bCs/>
                <w:sz w:val="20"/>
                <w:szCs w:val="20"/>
                <w:lang w:eastAsia="en-CA"/>
              </w:rPr>
            </w:pPr>
            <w:r w:rsidRPr="00756D59">
              <w:rPr>
                <w:sz w:val="20"/>
                <w:szCs w:val="20"/>
                <w:lang w:eastAsia="en-CA"/>
              </w:rPr>
              <w:t>NEP/SEV/81/TAS/01+</w:t>
            </w:r>
          </w:p>
        </w:tc>
        <w:tc>
          <w:tcPr>
            <w:tcW w:w="3352" w:type="dxa"/>
            <w:tcMar>
              <w:left w:w="58" w:type="dxa"/>
              <w:right w:w="58" w:type="dxa"/>
            </w:tcMar>
          </w:tcPr>
          <w:p w14:paraId="5DFFEE21"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E5F5828"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AC5CD25" w14:textId="77777777" w:rsidR="000E2C9D" w:rsidRPr="00756D59" w:rsidRDefault="000E2C9D" w:rsidP="0051060F">
            <w:pPr>
              <w:jc w:val="center"/>
              <w:rPr>
                <w:bCs/>
                <w:sz w:val="20"/>
                <w:szCs w:val="20"/>
                <w:lang w:eastAsia="en-CA"/>
              </w:rPr>
            </w:pPr>
            <w:r w:rsidRPr="00756D59">
              <w:rPr>
                <w:bCs/>
                <w:sz w:val="20"/>
                <w:szCs w:val="20"/>
                <w:lang w:eastAsia="en-CA"/>
              </w:rPr>
              <w:t>45.1</w:t>
            </w:r>
          </w:p>
        </w:tc>
        <w:tc>
          <w:tcPr>
            <w:tcW w:w="4531" w:type="dxa"/>
            <w:tcMar>
              <w:left w:w="58" w:type="dxa"/>
              <w:right w:w="58" w:type="dxa"/>
            </w:tcMar>
          </w:tcPr>
          <w:p w14:paraId="415C03BF" w14:textId="77777777" w:rsidR="000E2C9D" w:rsidRPr="00756D59" w:rsidRDefault="000E2C9D" w:rsidP="0051060F">
            <w:pPr>
              <w:jc w:val="left"/>
              <w:rPr>
                <w:sz w:val="20"/>
                <w:szCs w:val="20"/>
                <w:lang w:eastAsia="en-CA"/>
              </w:rPr>
            </w:pPr>
            <w:r w:rsidRPr="00756D59">
              <w:rPr>
                <w:sz w:val="20"/>
                <w:szCs w:val="20"/>
                <w:lang w:eastAsia="en-CA"/>
              </w:rPr>
              <w:t>Consultations on Kigali Amendment ratification; country assessment report finalization; roundtable workshops and training; finalization of drafting the amendment to the regulation; development of knowledge products and information materials; and finalization of safety standards.</w:t>
            </w:r>
          </w:p>
        </w:tc>
        <w:tc>
          <w:tcPr>
            <w:tcW w:w="1629" w:type="dxa"/>
            <w:shd w:val="clear" w:color="auto" w:fill="auto"/>
            <w:tcMar>
              <w:left w:w="58" w:type="dxa"/>
              <w:right w:w="58" w:type="dxa"/>
            </w:tcMar>
          </w:tcPr>
          <w:p w14:paraId="0208813F"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2017E156" w14:textId="77777777" w:rsidTr="0051060F">
        <w:trPr>
          <w:trHeight w:val="337"/>
        </w:trPr>
        <w:tc>
          <w:tcPr>
            <w:tcW w:w="2261" w:type="dxa"/>
            <w:tcMar>
              <w:left w:w="58" w:type="dxa"/>
              <w:right w:w="58" w:type="dxa"/>
            </w:tcMar>
          </w:tcPr>
          <w:p w14:paraId="574BE248" w14:textId="77777777" w:rsidR="000E2C9D" w:rsidRPr="00756D59" w:rsidRDefault="000E2C9D" w:rsidP="0051060F">
            <w:pPr>
              <w:jc w:val="left"/>
              <w:rPr>
                <w:sz w:val="20"/>
                <w:szCs w:val="20"/>
                <w:lang w:eastAsia="en-CA"/>
              </w:rPr>
            </w:pPr>
            <w:r w:rsidRPr="00756D59">
              <w:rPr>
                <w:bCs/>
                <w:sz w:val="20"/>
                <w:szCs w:val="20"/>
                <w:lang w:eastAsia="en-CA"/>
              </w:rPr>
              <w:t>Oman</w:t>
            </w:r>
            <w:r w:rsidRPr="00756D59">
              <w:rPr>
                <w:sz w:val="20"/>
                <w:szCs w:val="20"/>
                <w:lang w:eastAsia="en-CA"/>
              </w:rPr>
              <w:t xml:space="preserve"> </w:t>
            </w:r>
          </w:p>
          <w:p w14:paraId="1534CB30" w14:textId="77777777" w:rsidR="000E2C9D" w:rsidRPr="00756D59" w:rsidRDefault="000E2C9D" w:rsidP="0051060F">
            <w:pPr>
              <w:jc w:val="left"/>
              <w:rPr>
                <w:bCs/>
                <w:sz w:val="20"/>
                <w:szCs w:val="20"/>
                <w:lang w:eastAsia="en-CA"/>
              </w:rPr>
            </w:pPr>
            <w:r w:rsidRPr="00756D59">
              <w:rPr>
                <w:sz w:val="20"/>
                <w:szCs w:val="20"/>
                <w:lang w:eastAsia="en-CA"/>
              </w:rPr>
              <w:t>OMA/SEV/81/TAS/35</w:t>
            </w:r>
          </w:p>
        </w:tc>
        <w:tc>
          <w:tcPr>
            <w:tcW w:w="3352" w:type="dxa"/>
            <w:tcMar>
              <w:left w:w="58" w:type="dxa"/>
              <w:right w:w="58" w:type="dxa"/>
            </w:tcMar>
          </w:tcPr>
          <w:p w14:paraId="25639A8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92CC9D8"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6484D44" w14:textId="77777777" w:rsidR="000E2C9D" w:rsidRPr="00756D59" w:rsidRDefault="000E2C9D" w:rsidP="0051060F">
            <w:pPr>
              <w:jc w:val="center"/>
              <w:rPr>
                <w:bCs/>
                <w:sz w:val="20"/>
                <w:szCs w:val="20"/>
                <w:lang w:eastAsia="en-CA"/>
              </w:rPr>
            </w:pPr>
            <w:r w:rsidRPr="00756D59">
              <w:rPr>
                <w:bCs/>
                <w:sz w:val="20"/>
                <w:szCs w:val="20"/>
                <w:lang w:eastAsia="en-CA"/>
              </w:rPr>
              <w:t>45.4</w:t>
            </w:r>
          </w:p>
        </w:tc>
        <w:tc>
          <w:tcPr>
            <w:tcW w:w="4531" w:type="dxa"/>
            <w:tcMar>
              <w:left w:w="58" w:type="dxa"/>
              <w:right w:w="58" w:type="dxa"/>
            </w:tcMar>
          </w:tcPr>
          <w:p w14:paraId="5EC915D3" w14:textId="77777777" w:rsidR="000E2C9D" w:rsidRPr="00756D59" w:rsidRDefault="000E2C9D" w:rsidP="0051060F">
            <w:pPr>
              <w:jc w:val="left"/>
              <w:rPr>
                <w:sz w:val="20"/>
                <w:szCs w:val="20"/>
                <w:lang w:eastAsia="en-CA"/>
              </w:rPr>
            </w:pPr>
            <w:r w:rsidRPr="00756D59">
              <w:rPr>
                <w:sz w:val="20"/>
                <w:szCs w:val="20"/>
                <w:lang w:eastAsia="en-CA"/>
              </w:rPr>
              <w:t>Drafting required ratification instrument; capacity building for enhanced monitoring and reporting; and finalization of country assessment report.</w:t>
            </w:r>
          </w:p>
        </w:tc>
        <w:tc>
          <w:tcPr>
            <w:tcW w:w="1629" w:type="dxa"/>
            <w:shd w:val="clear" w:color="auto" w:fill="auto"/>
            <w:tcMar>
              <w:left w:w="58" w:type="dxa"/>
              <w:right w:w="58" w:type="dxa"/>
            </w:tcMar>
          </w:tcPr>
          <w:p w14:paraId="63571D9C"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70798449" w14:textId="77777777" w:rsidTr="0051060F">
        <w:trPr>
          <w:trHeight w:val="337"/>
        </w:trPr>
        <w:tc>
          <w:tcPr>
            <w:tcW w:w="2261" w:type="dxa"/>
            <w:tcMar>
              <w:left w:w="58" w:type="dxa"/>
              <w:right w:w="58" w:type="dxa"/>
            </w:tcMar>
          </w:tcPr>
          <w:p w14:paraId="4F2C56CA" w14:textId="77777777" w:rsidR="000E2C9D" w:rsidRPr="00756D59" w:rsidRDefault="000E2C9D" w:rsidP="0051060F">
            <w:pPr>
              <w:jc w:val="left"/>
              <w:rPr>
                <w:sz w:val="20"/>
                <w:szCs w:val="20"/>
                <w:lang w:eastAsia="en-CA"/>
              </w:rPr>
            </w:pPr>
            <w:r w:rsidRPr="00756D59">
              <w:rPr>
                <w:bCs/>
                <w:sz w:val="20"/>
                <w:szCs w:val="20"/>
                <w:lang w:eastAsia="en-CA"/>
              </w:rPr>
              <w:t>Pakistan</w:t>
            </w:r>
            <w:r w:rsidRPr="00756D59">
              <w:rPr>
                <w:sz w:val="20"/>
                <w:szCs w:val="20"/>
                <w:lang w:eastAsia="en-CA"/>
              </w:rPr>
              <w:t xml:space="preserve"> </w:t>
            </w:r>
          </w:p>
          <w:p w14:paraId="730A6636" w14:textId="77777777" w:rsidR="000E2C9D" w:rsidRPr="00756D59" w:rsidRDefault="000E2C9D" w:rsidP="0051060F">
            <w:pPr>
              <w:jc w:val="left"/>
              <w:rPr>
                <w:bCs/>
                <w:sz w:val="20"/>
                <w:szCs w:val="20"/>
                <w:lang w:eastAsia="en-CA"/>
              </w:rPr>
            </w:pPr>
            <w:r w:rsidRPr="00756D59">
              <w:rPr>
                <w:sz w:val="20"/>
                <w:szCs w:val="20"/>
                <w:lang w:eastAsia="en-CA"/>
              </w:rPr>
              <w:t>PAK/SEV/81/TAS/97</w:t>
            </w:r>
          </w:p>
        </w:tc>
        <w:tc>
          <w:tcPr>
            <w:tcW w:w="3352" w:type="dxa"/>
            <w:tcMar>
              <w:left w:w="58" w:type="dxa"/>
              <w:right w:w="58" w:type="dxa"/>
            </w:tcMar>
          </w:tcPr>
          <w:p w14:paraId="710015DB"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B5376A9"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BFBEDDD" w14:textId="77777777" w:rsidR="000E2C9D" w:rsidRPr="00756D59" w:rsidRDefault="000E2C9D" w:rsidP="0051060F">
            <w:pPr>
              <w:jc w:val="center"/>
              <w:rPr>
                <w:bCs/>
                <w:sz w:val="20"/>
                <w:szCs w:val="20"/>
                <w:lang w:eastAsia="en-CA"/>
              </w:rPr>
            </w:pPr>
            <w:r w:rsidRPr="00756D59">
              <w:rPr>
                <w:bCs/>
                <w:sz w:val="20"/>
                <w:szCs w:val="20"/>
                <w:lang w:eastAsia="en-CA"/>
              </w:rPr>
              <w:t>4.9</w:t>
            </w:r>
          </w:p>
        </w:tc>
        <w:tc>
          <w:tcPr>
            <w:tcW w:w="4531" w:type="dxa"/>
            <w:tcMar>
              <w:left w:w="58" w:type="dxa"/>
              <w:right w:w="58" w:type="dxa"/>
            </w:tcMar>
          </w:tcPr>
          <w:p w14:paraId="4AE1012A" w14:textId="77777777" w:rsidR="000E2C9D" w:rsidRPr="00756D59" w:rsidRDefault="000E2C9D" w:rsidP="0051060F">
            <w:pPr>
              <w:jc w:val="left"/>
              <w:rPr>
                <w:sz w:val="20"/>
                <w:szCs w:val="20"/>
                <w:lang w:eastAsia="en-CA"/>
              </w:rPr>
            </w:pPr>
            <w:r w:rsidRPr="00756D59">
              <w:rPr>
                <w:sz w:val="20"/>
                <w:szCs w:val="20"/>
                <w:lang w:eastAsia="en-CA"/>
              </w:rPr>
              <w:t>Consultations on Kigali Amendment ratification; country assessment report finalization; roundtable workshops and trainings; finalization of drafting the amendment to the regulation; development of knowledge products/information materials; awareness workshops for retailers, building sector, energy efficiency, climate change and public procurement focal points; and revision of  web based one customs (</w:t>
            </w:r>
            <w:proofErr w:type="spellStart"/>
            <w:r w:rsidRPr="00756D59">
              <w:rPr>
                <w:sz w:val="20"/>
                <w:szCs w:val="20"/>
                <w:lang w:eastAsia="en-CA"/>
              </w:rPr>
              <w:t>WeBOC</w:t>
            </w:r>
            <w:proofErr w:type="spellEnd"/>
            <w:r w:rsidRPr="00756D59">
              <w:rPr>
                <w:sz w:val="20"/>
                <w:szCs w:val="20"/>
                <w:lang w:eastAsia="en-CA"/>
              </w:rPr>
              <w:t>) to include HFCs.</w:t>
            </w:r>
          </w:p>
        </w:tc>
        <w:tc>
          <w:tcPr>
            <w:tcW w:w="1629" w:type="dxa"/>
            <w:shd w:val="clear" w:color="auto" w:fill="auto"/>
            <w:tcMar>
              <w:left w:w="58" w:type="dxa"/>
              <w:right w:w="58" w:type="dxa"/>
            </w:tcMar>
          </w:tcPr>
          <w:p w14:paraId="34F685D8"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62776781" w14:textId="77777777" w:rsidTr="0051060F">
        <w:trPr>
          <w:trHeight w:val="337"/>
        </w:trPr>
        <w:tc>
          <w:tcPr>
            <w:tcW w:w="2261" w:type="dxa"/>
            <w:tcMar>
              <w:left w:w="58" w:type="dxa"/>
              <w:right w:w="58" w:type="dxa"/>
            </w:tcMar>
          </w:tcPr>
          <w:p w14:paraId="00D4D60A" w14:textId="77777777" w:rsidR="000E2C9D" w:rsidRPr="00756D59" w:rsidRDefault="000E2C9D" w:rsidP="0051060F">
            <w:pPr>
              <w:jc w:val="left"/>
              <w:rPr>
                <w:sz w:val="20"/>
                <w:szCs w:val="20"/>
                <w:lang w:eastAsia="en-CA"/>
              </w:rPr>
            </w:pPr>
            <w:r w:rsidRPr="00756D59">
              <w:rPr>
                <w:bCs/>
                <w:sz w:val="20"/>
                <w:szCs w:val="20"/>
                <w:lang w:eastAsia="en-CA"/>
              </w:rPr>
              <w:t>Paraguay</w:t>
            </w:r>
            <w:r w:rsidRPr="00756D59">
              <w:rPr>
                <w:sz w:val="20"/>
                <w:szCs w:val="20"/>
                <w:lang w:eastAsia="en-CA"/>
              </w:rPr>
              <w:t xml:space="preserve"> </w:t>
            </w:r>
          </w:p>
          <w:p w14:paraId="0023F84E" w14:textId="77777777" w:rsidR="000E2C9D" w:rsidRPr="00756D59" w:rsidRDefault="000E2C9D" w:rsidP="0051060F">
            <w:pPr>
              <w:jc w:val="left"/>
              <w:rPr>
                <w:bCs/>
                <w:sz w:val="20"/>
                <w:szCs w:val="20"/>
                <w:lang w:eastAsia="en-CA"/>
              </w:rPr>
            </w:pPr>
            <w:r w:rsidRPr="00756D59">
              <w:rPr>
                <w:sz w:val="20"/>
                <w:szCs w:val="20"/>
                <w:lang w:eastAsia="en-CA"/>
              </w:rPr>
              <w:t>PAR/SEV/81/TAS/02+</w:t>
            </w:r>
          </w:p>
        </w:tc>
        <w:tc>
          <w:tcPr>
            <w:tcW w:w="3352" w:type="dxa"/>
            <w:tcMar>
              <w:left w:w="58" w:type="dxa"/>
              <w:right w:w="58" w:type="dxa"/>
            </w:tcMar>
          </w:tcPr>
          <w:p w14:paraId="7EF9846D"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55A48DC"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3AA0CA5" w14:textId="77777777" w:rsidR="000E2C9D" w:rsidRPr="00756D59" w:rsidRDefault="000E2C9D" w:rsidP="0051060F">
            <w:pPr>
              <w:jc w:val="center"/>
              <w:rPr>
                <w:bCs/>
                <w:sz w:val="20"/>
                <w:szCs w:val="20"/>
                <w:lang w:eastAsia="en-CA"/>
              </w:rPr>
            </w:pPr>
            <w:r w:rsidRPr="00756D59">
              <w:rPr>
                <w:bCs/>
                <w:sz w:val="20"/>
                <w:szCs w:val="20"/>
                <w:lang w:eastAsia="en-CA"/>
              </w:rPr>
              <w:t>27.6</w:t>
            </w:r>
          </w:p>
        </w:tc>
        <w:tc>
          <w:tcPr>
            <w:tcW w:w="4531" w:type="dxa"/>
            <w:tcMar>
              <w:left w:w="58" w:type="dxa"/>
              <w:right w:w="58" w:type="dxa"/>
            </w:tcMar>
          </w:tcPr>
          <w:p w14:paraId="1DB3DEED" w14:textId="77777777" w:rsidR="000E2C9D" w:rsidRPr="00756D59" w:rsidRDefault="000E2C9D" w:rsidP="0051060F">
            <w:pPr>
              <w:jc w:val="left"/>
              <w:rPr>
                <w:sz w:val="20"/>
                <w:szCs w:val="20"/>
                <w:lang w:eastAsia="en-CA"/>
              </w:rPr>
            </w:pPr>
            <w:r w:rsidRPr="00756D59">
              <w:rPr>
                <w:sz w:val="20"/>
                <w:szCs w:val="20"/>
                <w:lang w:eastAsia="en-CA"/>
              </w:rPr>
              <w:t>Reviewing safety standards for the use of flammable refrigerants; drafting specific regulations to control low</w:t>
            </w:r>
            <w:r w:rsidRPr="00756D59">
              <w:rPr>
                <w:sz w:val="20"/>
                <w:szCs w:val="20"/>
                <w:lang w:eastAsia="en-CA"/>
              </w:rPr>
              <w:noBreakHyphen/>
              <w:t>GWP alternatives; developing national customs codes for main zero</w:t>
            </w:r>
            <w:r w:rsidRPr="00756D59">
              <w:rPr>
                <w:sz w:val="20"/>
                <w:szCs w:val="20"/>
                <w:lang w:eastAsia="en-CA"/>
              </w:rPr>
              <w:noBreakHyphen/>
              <w:t>/low</w:t>
            </w:r>
            <w:r w:rsidRPr="00756D59">
              <w:rPr>
                <w:sz w:val="20"/>
                <w:szCs w:val="20"/>
                <w:lang w:eastAsia="en-CA"/>
              </w:rPr>
              <w:noBreakHyphen/>
              <w:t xml:space="preserve">GWP alternatives; training of trainers on import/export controls for HFCs; analysis and revision of the current national </w:t>
            </w:r>
            <w:proofErr w:type="spellStart"/>
            <w:r w:rsidRPr="00756D59">
              <w:rPr>
                <w:sz w:val="20"/>
                <w:szCs w:val="20"/>
                <w:lang w:eastAsia="en-CA"/>
              </w:rPr>
              <w:t>labor</w:t>
            </w:r>
            <w:proofErr w:type="spellEnd"/>
            <w:r w:rsidRPr="00756D59">
              <w:rPr>
                <w:sz w:val="20"/>
                <w:szCs w:val="20"/>
                <w:lang w:eastAsia="en-CA"/>
              </w:rPr>
              <w:t xml:space="preserve"> competency standards; and disseminating the revisions </w:t>
            </w:r>
            <w:r w:rsidRPr="00756D59">
              <w:rPr>
                <w:sz w:val="20"/>
                <w:szCs w:val="20"/>
                <w:lang w:eastAsia="en-CA"/>
              </w:rPr>
              <w:lastRenderedPageBreak/>
              <w:t>adopted to refrigeration technicians, nation-wide, through different media.</w:t>
            </w:r>
          </w:p>
        </w:tc>
        <w:tc>
          <w:tcPr>
            <w:tcW w:w="1629" w:type="dxa"/>
            <w:shd w:val="clear" w:color="auto" w:fill="auto"/>
            <w:tcMar>
              <w:left w:w="58" w:type="dxa"/>
              <w:right w:w="58" w:type="dxa"/>
            </w:tcMar>
          </w:tcPr>
          <w:p w14:paraId="187BDA6E" w14:textId="77777777" w:rsidR="000E2C9D" w:rsidRPr="00756D59" w:rsidRDefault="000E2C9D" w:rsidP="0051060F">
            <w:pPr>
              <w:jc w:val="center"/>
              <w:rPr>
                <w:bCs/>
                <w:sz w:val="20"/>
                <w:szCs w:val="20"/>
                <w:lang w:eastAsia="en-CA"/>
              </w:rPr>
            </w:pPr>
            <w:r w:rsidRPr="00756D59">
              <w:rPr>
                <w:bCs/>
                <w:sz w:val="20"/>
                <w:szCs w:val="20"/>
                <w:lang w:eastAsia="en-CA"/>
              </w:rPr>
              <w:lastRenderedPageBreak/>
              <w:t>Jun-22</w:t>
            </w:r>
          </w:p>
        </w:tc>
      </w:tr>
      <w:tr w:rsidR="000E2C9D" w:rsidRPr="00756D59" w14:paraId="3AAA417D" w14:textId="77777777" w:rsidTr="0051060F">
        <w:trPr>
          <w:trHeight w:val="337"/>
        </w:trPr>
        <w:tc>
          <w:tcPr>
            <w:tcW w:w="2261" w:type="dxa"/>
            <w:tcMar>
              <w:left w:w="58" w:type="dxa"/>
              <w:right w:w="58" w:type="dxa"/>
            </w:tcMar>
          </w:tcPr>
          <w:p w14:paraId="19CAACE3" w14:textId="77777777" w:rsidR="000E2C9D" w:rsidRPr="00756D59" w:rsidRDefault="000E2C9D" w:rsidP="0051060F">
            <w:pPr>
              <w:jc w:val="left"/>
              <w:rPr>
                <w:sz w:val="20"/>
                <w:szCs w:val="20"/>
                <w:lang w:eastAsia="en-CA"/>
              </w:rPr>
            </w:pPr>
            <w:r w:rsidRPr="00756D59">
              <w:rPr>
                <w:bCs/>
                <w:sz w:val="20"/>
                <w:szCs w:val="20"/>
                <w:lang w:eastAsia="en-CA"/>
              </w:rPr>
              <w:lastRenderedPageBreak/>
              <w:t>Qatar</w:t>
            </w:r>
            <w:r w:rsidRPr="00756D59">
              <w:rPr>
                <w:sz w:val="20"/>
                <w:szCs w:val="20"/>
                <w:lang w:eastAsia="en-CA"/>
              </w:rPr>
              <w:t xml:space="preserve"> </w:t>
            </w:r>
          </w:p>
          <w:p w14:paraId="0F573EF5" w14:textId="77777777" w:rsidR="000E2C9D" w:rsidRPr="00756D59" w:rsidRDefault="000E2C9D" w:rsidP="0051060F">
            <w:pPr>
              <w:jc w:val="left"/>
              <w:rPr>
                <w:bCs/>
                <w:sz w:val="20"/>
                <w:szCs w:val="20"/>
                <w:lang w:eastAsia="en-CA"/>
              </w:rPr>
            </w:pPr>
            <w:r w:rsidRPr="00756D59">
              <w:rPr>
                <w:sz w:val="20"/>
                <w:szCs w:val="20"/>
                <w:lang w:eastAsia="en-CA"/>
              </w:rPr>
              <w:t>QAT/SEV/82/TAS/23</w:t>
            </w:r>
          </w:p>
        </w:tc>
        <w:tc>
          <w:tcPr>
            <w:tcW w:w="3352" w:type="dxa"/>
            <w:tcMar>
              <w:left w:w="58" w:type="dxa"/>
              <w:right w:w="58" w:type="dxa"/>
            </w:tcMar>
          </w:tcPr>
          <w:p w14:paraId="2117033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AE31007"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43EA951D" w14:textId="77777777" w:rsidR="000E2C9D" w:rsidRPr="00756D59" w:rsidRDefault="000E2C9D" w:rsidP="0051060F">
            <w:pPr>
              <w:jc w:val="center"/>
              <w:rPr>
                <w:bCs/>
                <w:sz w:val="20"/>
                <w:szCs w:val="20"/>
                <w:lang w:eastAsia="en-CA"/>
              </w:rPr>
            </w:pPr>
            <w:r w:rsidRPr="00756D59">
              <w:rPr>
                <w:bCs/>
                <w:sz w:val="20"/>
                <w:szCs w:val="20"/>
                <w:lang w:eastAsia="en-CA"/>
              </w:rPr>
              <w:t>7</w:t>
            </w:r>
          </w:p>
        </w:tc>
        <w:tc>
          <w:tcPr>
            <w:tcW w:w="4531" w:type="dxa"/>
            <w:tcMar>
              <w:left w:w="58" w:type="dxa"/>
              <w:right w:w="58" w:type="dxa"/>
            </w:tcMar>
          </w:tcPr>
          <w:p w14:paraId="196758B2" w14:textId="77777777" w:rsidR="000E2C9D" w:rsidRPr="00756D59" w:rsidRDefault="000E2C9D" w:rsidP="0051060F">
            <w:pPr>
              <w:jc w:val="left"/>
              <w:rPr>
                <w:sz w:val="20"/>
                <w:szCs w:val="20"/>
                <w:lang w:eastAsia="en-CA"/>
              </w:rPr>
            </w:pPr>
            <w:r w:rsidRPr="00756D59">
              <w:rPr>
                <w:sz w:val="20"/>
                <w:szCs w:val="20"/>
                <w:lang w:eastAsia="en-CA"/>
              </w:rPr>
              <w:t>Implementing activities aiming at strengthening the related institutional frameworks using the best regional/international practices related to HFCs and low</w:t>
            </w:r>
            <w:r w:rsidRPr="00756D59">
              <w:rPr>
                <w:sz w:val="20"/>
                <w:szCs w:val="20"/>
                <w:lang w:eastAsia="en-CA"/>
              </w:rPr>
              <w:noBreakHyphen/>
              <w:t>GWP alternatives including proposal for updating codes/standards; completing reviewing the national reporting system to include HFCs, HFC blends and HFC containing products/equipment; and providing assistance to customs and relevant ministries to ensure accurate reporting/monitoring of HFC trade.</w:t>
            </w:r>
          </w:p>
        </w:tc>
        <w:tc>
          <w:tcPr>
            <w:tcW w:w="1629" w:type="dxa"/>
            <w:shd w:val="clear" w:color="auto" w:fill="auto"/>
            <w:tcMar>
              <w:left w:w="58" w:type="dxa"/>
              <w:right w:w="58" w:type="dxa"/>
            </w:tcMar>
          </w:tcPr>
          <w:p w14:paraId="2CC2725E"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5C664CB9" w14:textId="77777777" w:rsidTr="0051060F">
        <w:trPr>
          <w:trHeight w:val="337"/>
        </w:trPr>
        <w:tc>
          <w:tcPr>
            <w:tcW w:w="2261" w:type="dxa"/>
            <w:tcMar>
              <w:left w:w="58" w:type="dxa"/>
              <w:right w:w="58" w:type="dxa"/>
            </w:tcMar>
          </w:tcPr>
          <w:p w14:paraId="309F1ADF" w14:textId="77777777" w:rsidR="000E2C9D" w:rsidRPr="00756D59" w:rsidRDefault="000E2C9D" w:rsidP="0051060F">
            <w:pPr>
              <w:jc w:val="left"/>
              <w:rPr>
                <w:sz w:val="20"/>
                <w:szCs w:val="20"/>
                <w:lang w:eastAsia="en-CA"/>
              </w:rPr>
            </w:pPr>
            <w:r w:rsidRPr="00756D59">
              <w:rPr>
                <w:bCs/>
                <w:sz w:val="20"/>
                <w:szCs w:val="20"/>
                <w:lang w:eastAsia="en-CA"/>
              </w:rPr>
              <w:t>Saint Kitts and Nevis</w:t>
            </w:r>
            <w:r w:rsidRPr="00756D59">
              <w:rPr>
                <w:sz w:val="20"/>
                <w:szCs w:val="20"/>
                <w:lang w:eastAsia="en-CA"/>
              </w:rPr>
              <w:t xml:space="preserve"> </w:t>
            </w:r>
          </w:p>
          <w:p w14:paraId="62D6BB45" w14:textId="77777777" w:rsidR="000E2C9D" w:rsidRPr="00756D59" w:rsidRDefault="000E2C9D" w:rsidP="0051060F">
            <w:pPr>
              <w:jc w:val="left"/>
              <w:rPr>
                <w:bCs/>
                <w:sz w:val="20"/>
                <w:szCs w:val="20"/>
                <w:lang w:eastAsia="en-CA"/>
              </w:rPr>
            </w:pPr>
            <w:r w:rsidRPr="00756D59">
              <w:rPr>
                <w:sz w:val="20"/>
                <w:szCs w:val="20"/>
                <w:lang w:eastAsia="en-CA"/>
              </w:rPr>
              <w:t>STK/SEV/81/TAS/01+</w:t>
            </w:r>
          </w:p>
        </w:tc>
        <w:tc>
          <w:tcPr>
            <w:tcW w:w="3352" w:type="dxa"/>
            <w:tcMar>
              <w:left w:w="58" w:type="dxa"/>
              <w:right w:w="58" w:type="dxa"/>
            </w:tcMar>
          </w:tcPr>
          <w:p w14:paraId="62DB333C"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E497797"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37D99D2" w14:textId="77777777" w:rsidR="000E2C9D" w:rsidRPr="00756D59" w:rsidRDefault="000E2C9D" w:rsidP="0051060F">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7482EF71" w14:textId="77777777" w:rsidR="000E2C9D" w:rsidRPr="00756D59" w:rsidRDefault="000E2C9D" w:rsidP="0051060F">
            <w:pPr>
              <w:jc w:val="left"/>
              <w:rPr>
                <w:sz w:val="20"/>
                <w:szCs w:val="20"/>
                <w:lang w:eastAsia="en-CA"/>
              </w:rPr>
            </w:pPr>
            <w:r w:rsidRPr="00756D59">
              <w:rPr>
                <w:sz w:val="20"/>
                <w:szCs w:val="20"/>
                <w:lang w:eastAsia="en-CA"/>
              </w:rPr>
              <w:t>Analysis of ozone and climate legislation to support Kigali Amendment, policy paper on Kigali Amendment ratification; stakeholder consultations meetings and awareness raising on HFC phase-down and energy efficiency; training needs assessment for the RAC service sector; mapping to determine HFCs available on the local market; technical assistance on HFC data collection; RAC technology projection; symposium on Kigali Amendment ratification impacts and seminar on the transition to low</w:t>
            </w:r>
            <w:r w:rsidRPr="00756D59">
              <w:rPr>
                <w:sz w:val="20"/>
                <w:szCs w:val="20"/>
                <w:lang w:eastAsia="en-CA"/>
              </w:rPr>
              <w:noBreakHyphen/>
              <w:t>GWP technologies; training seminar for technicians on management of alternatives; consultations on the revision/review of the ODS licensing and quota systems, developing country-specific HS codes for HFCs; and knowledge, attitude and practices study of the RAC service sector, national strategy on a staged approach to introducing low</w:t>
            </w:r>
            <w:r w:rsidRPr="00756D59">
              <w:rPr>
                <w:sz w:val="20"/>
                <w:szCs w:val="20"/>
                <w:lang w:eastAsia="en-CA"/>
              </w:rPr>
              <w:noBreakHyphen/>
              <w:t>GWP energy efficient alternatives and supporting RAC service sector in transitioning from HFC refrigerants.</w:t>
            </w:r>
          </w:p>
        </w:tc>
        <w:tc>
          <w:tcPr>
            <w:tcW w:w="1629" w:type="dxa"/>
            <w:shd w:val="clear" w:color="auto" w:fill="auto"/>
            <w:tcMar>
              <w:left w:w="58" w:type="dxa"/>
              <w:right w:w="58" w:type="dxa"/>
            </w:tcMar>
          </w:tcPr>
          <w:p w14:paraId="5E28C04E"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1F3C7B9" w14:textId="77777777" w:rsidTr="0051060F">
        <w:trPr>
          <w:trHeight w:val="337"/>
        </w:trPr>
        <w:tc>
          <w:tcPr>
            <w:tcW w:w="2261" w:type="dxa"/>
            <w:tcMar>
              <w:left w:w="58" w:type="dxa"/>
              <w:right w:w="58" w:type="dxa"/>
            </w:tcMar>
          </w:tcPr>
          <w:p w14:paraId="5B9A2D9F" w14:textId="77777777" w:rsidR="000E2C9D" w:rsidRPr="00756D59" w:rsidRDefault="000E2C9D" w:rsidP="0051060F">
            <w:pPr>
              <w:jc w:val="left"/>
              <w:rPr>
                <w:sz w:val="20"/>
                <w:szCs w:val="20"/>
                <w:lang w:val="es-419" w:eastAsia="en-CA"/>
              </w:rPr>
            </w:pPr>
            <w:r w:rsidRPr="00756D59">
              <w:rPr>
                <w:bCs/>
                <w:sz w:val="20"/>
                <w:szCs w:val="20"/>
                <w:lang w:val="es-419" w:eastAsia="en-CA"/>
              </w:rPr>
              <w:t>Saint Lucia</w:t>
            </w:r>
            <w:r w:rsidRPr="00756D59">
              <w:rPr>
                <w:sz w:val="20"/>
                <w:szCs w:val="20"/>
                <w:lang w:val="es-419" w:eastAsia="en-CA"/>
              </w:rPr>
              <w:t xml:space="preserve"> </w:t>
            </w:r>
          </w:p>
          <w:p w14:paraId="44D5137D" w14:textId="77777777" w:rsidR="000E2C9D" w:rsidRPr="00756D59" w:rsidRDefault="000E2C9D" w:rsidP="0051060F">
            <w:pPr>
              <w:jc w:val="left"/>
              <w:rPr>
                <w:bCs/>
                <w:sz w:val="20"/>
                <w:szCs w:val="20"/>
                <w:lang w:val="es-419" w:eastAsia="en-CA"/>
              </w:rPr>
            </w:pPr>
            <w:r w:rsidRPr="00756D59">
              <w:rPr>
                <w:sz w:val="20"/>
                <w:szCs w:val="20"/>
                <w:lang w:val="es-419" w:eastAsia="en-CA"/>
              </w:rPr>
              <w:t>STL/SEV/80/TAS/01+</w:t>
            </w:r>
          </w:p>
        </w:tc>
        <w:tc>
          <w:tcPr>
            <w:tcW w:w="3352" w:type="dxa"/>
            <w:tcMar>
              <w:left w:w="58" w:type="dxa"/>
              <w:right w:w="58" w:type="dxa"/>
            </w:tcMar>
          </w:tcPr>
          <w:p w14:paraId="3D597D60"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D2B92FC"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BB28F7B" w14:textId="77777777" w:rsidR="000E2C9D" w:rsidRPr="00756D59" w:rsidRDefault="000E2C9D" w:rsidP="0051060F">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0C375BE5" w14:textId="77777777" w:rsidR="000E2C9D" w:rsidRPr="00756D59" w:rsidRDefault="000E2C9D" w:rsidP="0051060F">
            <w:pPr>
              <w:jc w:val="left"/>
              <w:rPr>
                <w:sz w:val="20"/>
                <w:szCs w:val="20"/>
                <w:lang w:eastAsia="en-CA"/>
              </w:rPr>
            </w:pPr>
            <w:r w:rsidRPr="00756D59">
              <w:rPr>
                <w:sz w:val="20"/>
                <w:szCs w:val="20"/>
                <w:lang w:eastAsia="en-CA"/>
              </w:rPr>
              <w:t xml:space="preserve">Comprehensive review of licensing and quota system for including HFCs and alternatives, and controls on HFC-based products, policy interventions for energy efficiency and/or adapting safety standards for the proper handling of flammable/toxic refrigerants; developing country-specific HS codes for HFCs; knowledge, attitude, and practices study of the RAC </w:t>
            </w:r>
            <w:r w:rsidRPr="00756D59">
              <w:rPr>
                <w:sz w:val="20"/>
                <w:szCs w:val="20"/>
                <w:lang w:eastAsia="en-CA"/>
              </w:rPr>
              <w:lastRenderedPageBreak/>
              <w:t>service sector regarding low</w:t>
            </w:r>
            <w:r w:rsidRPr="00756D59">
              <w:rPr>
                <w:sz w:val="20"/>
                <w:szCs w:val="20"/>
                <w:lang w:eastAsia="en-CA"/>
              </w:rPr>
              <w:noBreakHyphen/>
              <w:t>GWP and flammable refrigerants, and supporting RAC service sector on managing transition from HFC</w:t>
            </w:r>
            <w:r w:rsidRPr="00756D59">
              <w:rPr>
                <w:sz w:val="20"/>
                <w:szCs w:val="20"/>
                <w:lang w:eastAsia="en-CA"/>
              </w:rPr>
              <w:noBreakHyphen/>
              <w:t>based refrigerants; and national strategy on a staged approach to introducing low</w:t>
            </w:r>
            <w:r w:rsidRPr="00756D59">
              <w:rPr>
                <w:sz w:val="20"/>
                <w:szCs w:val="20"/>
                <w:lang w:eastAsia="en-CA"/>
              </w:rPr>
              <w:noBreakHyphen/>
              <w:t>GWP energy efficient alternatives.</w:t>
            </w:r>
          </w:p>
        </w:tc>
        <w:tc>
          <w:tcPr>
            <w:tcW w:w="1629" w:type="dxa"/>
            <w:shd w:val="clear" w:color="auto" w:fill="auto"/>
            <w:tcMar>
              <w:left w:w="58" w:type="dxa"/>
              <w:right w:w="58" w:type="dxa"/>
            </w:tcMar>
          </w:tcPr>
          <w:p w14:paraId="42CD1D8F" w14:textId="77777777" w:rsidR="000E2C9D" w:rsidRPr="00756D59" w:rsidRDefault="000E2C9D" w:rsidP="0051060F">
            <w:pPr>
              <w:jc w:val="center"/>
              <w:rPr>
                <w:bCs/>
                <w:sz w:val="20"/>
                <w:szCs w:val="20"/>
                <w:lang w:eastAsia="en-CA"/>
              </w:rPr>
            </w:pPr>
            <w:r w:rsidRPr="00756D59">
              <w:rPr>
                <w:bCs/>
                <w:sz w:val="20"/>
                <w:szCs w:val="20"/>
                <w:lang w:eastAsia="en-CA"/>
              </w:rPr>
              <w:lastRenderedPageBreak/>
              <w:t>Jun-22</w:t>
            </w:r>
          </w:p>
        </w:tc>
      </w:tr>
      <w:tr w:rsidR="000E2C9D" w:rsidRPr="00756D59" w14:paraId="27234FD2" w14:textId="77777777" w:rsidTr="0051060F">
        <w:trPr>
          <w:trHeight w:val="337"/>
        </w:trPr>
        <w:tc>
          <w:tcPr>
            <w:tcW w:w="2261" w:type="dxa"/>
            <w:tcMar>
              <w:left w:w="58" w:type="dxa"/>
              <w:right w:w="58" w:type="dxa"/>
            </w:tcMar>
          </w:tcPr>
          <w:p w14:paraId="1041D6B5" w14:textId="77777777" w:rsidR="000E2C9D" w:rsidRPr="00756D59" w:rsidRDefault="000E2C9D" w:rsidP="0051060F">
            <w:pPr>
              <w:jc w:val="left"/>
              <w:rPr>
                <w:sz w:val="20"/>
                <w:szCs w:val="20"/>
                <w:lang w:eastAsia="en-CA"/>
              </w:rPr>
            </w:pPr>
            <w:r w:rsidRPr="00756D59">
              <w:rPr>
                <w:bCs/>
                <w:sz w:val="20"/>
                <w:szCs w:val="20"/>
                <w:lang w:eastAsia="en-CA"/>
              </w:rPr>
              <w:lastRenderedPageBreak/>
              <w:t>Saint Vincent and the Grenadines</w:t>
            </w:r>
            <w:r w:rsidRPr="00756D59">
              <w:rPr>
                <w:sz w:val="20"/>
                <w:szCs w:val="20"/>
                <w:lang w:eastAsia="en-CA"/>
              </w:rPr>
              <w:t xml:space="preserve"> </w:t>
            </w:r>
          </w:p>
          <w:p w14:paraId="48D690B4" w14:textId="77777777" w:rsidR="000E2C9D" w:rsidRPr="00756D59" w:rsidRDefault="000E2C9D" w:rsidP="0051060F">
            <w:pPr>
              <w:jc w:val="left"/>
              <w:rPr>
                <w:bCs/>
                <w:sz w:val="20"/>
                <w:szCs w:val="20"/>
                <w:lang w:eastAsia="en-CA"/>
              </w:rPr>
            </w:pPr>
            <w:r w:rsidRPr="00756D59">
              <w:rPr>
                <w:sz w:val="20"/>
                <w:szCs w:val="20"/>
                <w:lang w:eastAsia="en-CA"/>
              </w:rPr>
              <w:t>STV/SEV/80/TAS/01+</w:t>
            </w:r>
          </w:p>
        </w:tc>
        <w:tc>
          <w:tcPr>
            <w:tcW w:w="3352" w:type="dxa"/>
            <w:tcMar>
              <w:left w:w="58" w:type="dxa"/>
              <w:right w:w="58" w:type="dxa"/>
            </w:tcMar>
          </w:tcPr>
          <w:p w14:paraId="6A7A3702"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D9D3DF6"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45EF855" w14:textId="77777777" w:rsidR="000E2C9D" w:rsidRPr="00756D59" w:rsidRDefault="000E2C9D" w:rsidP="0051060F">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0A69B95D" w14:textId="77777777" w:rsidR="000E2C9D" w:rsidRPr="00756D59" w:rsidRDefault="000E2C9D" w:rsidP="0051060F">
            <w:pPr>
              <w:jc w:val="left"/>
              <w:rPr>
                <w:sz w:val="20"/>
                <w:szCs w:val="20"/>
                <w:lang w:eastAsia="en-CA"/>
              </w:rPr>
            </w:pPr>
            <w:r w:rsidRPr="00756D59">
              <w:rPr>
                <w:sz w:val="20"/>
                <w:szCs w:val="20"/>
                <w:lang w:eastAsia="en-CA"/>
              </w:rPr>
              <w:t>Analysis of ozone and climate legislation to support Kigali Amendment; stakeholder consultations meetings and awareness raising on HFC phase</w:t>
            </w:r>
            <w:r w:rsidRPr="00756D59">
              <w:rPr>
                <w:sz w:val="20"/>
                <w:szCs w:val="20"/>
                <w:lang w:eastAsia="en-CA"/>
              </w:rPr>
              <w:noBreakHyphen/>
              <w:t>down and energy efficiency; training needs assessment for the RAC service sector; mapping of HFCs available on the local market and technical assistance on HFC data collection, RAC technology projection; symposium on  impacts of the Kigali Amendment ratification and seminar on the transition to low</w:t>
            </w:r>
            <w:r w:rsidRPr="00756D59">
              <w:rPr>
                <w:sz w:val="20"/>
                <w:szCs w:val="20"/>
                <w:lang w:eastAsia="en-CA"/>
              </w:rPr>
              <w:noBreakHyphen/>
              <w:t>GWP refrigerants; training seminar for technicians on management of alternatives; developing country</w:t>
            </w:r>
            <w:r w:rsidRPr="00756D59">
              <w:rPr>
                <w:sz w:val="20"/>
                <w:szCs w:val="20"/>
                <w:lang w:eastAsia="en-CA"/>
              </w:rPr>
              <w:noBreakHyphen/>
              <w:t>specific HS Codes for HFCs; knowledge, attitude, and practices study of the RAC service sector; and developing a national strategy on a staged approach to introducing low</w:t>
            </w:r>
            <w:r w:rsidRPr="00756D59">
              <w:rPr>
                <w:sz w:val="20"/>
                <w:szCs w:val="20"/>
                <w:lang w:eastAsia="en-CA"/>
              </w:rPr>
              <w:noBreakHyphen/>
              <w:t>GWP energy efficient technologies and change management support for RAC service sector in transitioning from HFC refrigerants.</w:t>
            </w:r>
          </w:p>
        </w:tc>
        <w:tc>
          <w:tcPr>
            <w:tcW w:w="1629" w:type="dxa"/>
            <w:shd w:val="clear" w:color="auto" w:fill="auto"/>
            <w:tcMar>
              <w:left w:w="58" w:type="dxa"/>
              <w:right w:w="58" w:type="dxa"/>
            </w:tcMar>
          </w:tcPr>
          <w:p w14:paraId="14F8C827"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768FFB2D" w14:textId="77777777" w:rsidTr="0051060F">
        <w:trPr>
          <w:trHeight w:val="337"/>
        </w:trPr>
        <w:tc>
          <w:tcPr>
            <w:tcW w:w="2261" w:type="dxa"/>
            <w:tcMar>
              <w:left w:w="58" w:type="dxa"/>
              <w:right w:w="58" w:type="dxa"/>
            </w:tcMar>
          </w:tcPr>
          <w:p w14:paraId="10B9E1FD" w14:textId="77777777" w:rsidR="000E2C9D" w:rsidRPr="00756D59" w:rsidRDefault="000E2C9D" w:rsidP="0051060F">
            <w:pPr>
              <w:jc w:val="left"/>
              <w:rPr>
                <w:sz w:val="20"/>
                <w:szCs w:val="20"/>
                <w:lang w:eastAsia="en-CA"/>
              </w:rPr>
            </w:pPr>
            <w:r w:rsidRPr="00756D59">
              <w:rPr>
                <w:bCs/>
                <w:sz w:val="20"/>
                <w:szCs w:val="20"/>
                <w:lang w:eastAsia="en-CA"/>
              </w:rPr>
              <w:t>Sao Tome and Principe</w:t>
            </w:r>
            <w:r w:rsidRPr="00756D59">
              <w:rPr>
                <w:sz w:val="20"/>
                <w:szCs w:val="20"/>
                <w:lang w:eastAsia="en-CA"/>
              </w:rPr>
              <w:t xml:space="preserve"> </w:t>
            </w:r>
          </w:p>
          <w:p w14:paraId="461F7150" w14:textId="77777777" w:rsidR="000E2C9D" w:rsidRPr="00756D59" w:rsidRDefault="000E2C9D" w:rsidP="0051060F">
            <w:pPr>
              <w:jc w:val="left"/>
              <w:rPr>
                <w:bCs/>
                <w:sz w:val="20"/>
                <w:szCs w:val="20"/>
                <w:lang w:eastAsia="en-CA"/>
              </w:rPr>
            </w:pPr>
            <w:r w:rsidRPr="00756D59">
              <w:rPr>
                <w:sz w:val="20"/>
                <w:szCs w:val="20"/>
                <w:lang w:eastAsia="en-CA"/>
              </w:rPr>
              <w:t>STP/SEV/81/TAS/01+</w:t>
            </w:r>
          </w:p>
        </w:tc>
        <w:tc>
          <w:tcPr>
            <w:tcW w:w="3352" w:type="dxa"/>
            <w:tcMar>
              <w:left w:w="58" w:type="dxa"/>
              <w:right w:w="58" w:type="dxa"/>
            </w:tcMar>
          </w:tcPr>
          <w:p w14:paraId="3F4AF210"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9352E26"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8383595" w14:textId="77777777" w:rsidR="000E2C9D" w:rsidRPr="00756D59" w:rsidRDefault="000E2C9D" w:rsidP="0051060F">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2F6C5D70" w14:textId="77777777" w:rsidR="000E2C9D" w:rsidRPr="00756D59" w:rsidRDefault="000E2C9D" w:rsidP="0051060F">
            <w:pPr>
              <w:jc w:val="left"/>
              <w:rPr>
                <w:sz w:val="20"/>
                <w:szCs w:val="20"/>
                <w:lang w:eastAsia="en-CA"/>
              </w:rPr>
            </w:pPr>
            <w:r w:rsidRPr="00756D59">
              <w:rPr>
                <w:sz w:val="20"/>
                <w:szCs w:val="20"/>
                <w:lang w:eastAsia="en-CA"/>
              </w:rPr>
              <w:t>Development of country-specific HS codes for HFCs; conducting training needs assessment for serving sector; sensitization meetings for technicians on safe handling of HFCs and their alternatives; and assisting Customs Office in developing national custom codes for different HFCs and including them into the Customs Tariff for proper monitoring and recording of imports/exports or re</w:t>
            </w:r>
            <w:r w:rsidRPr="00756D59">
              <w:rPr>
                <w:sz w:val="20"/>
                <w:szCs w:val="20"/>
                <w:lang w:eastAsia="en-CA"/>
              </w:rPr>
              <w:noBreakHyphen/>
              <w:t>export of individual HFCs.</w:t>
            </w:r>
          </w:p>
        </w:tc>
        <w:tc>
          <w:tcPr>
            <w:tcW w:w="1629" w:type="dxa"/>
            <w:shd w:val="clear" w:color="auto" w:fill="auto"/>
            <w:tcMar>
              <w:left w:w="58" w:type="dxa"/>
              <w:right w:w="58" w:type="dxa"/>
            </w:tcMar>
          </w:tcPr>
          <w:p w14:paraId="6B495007"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59E74832" w14:textId="77777777" w:rsidTr="0051060F">
        <w:trPr>
          <w:trHeight w:val="337"/>
        </w:trPr>
        <w:tc>
          <w:tcPr>
            <w:tcW w:w="2261" w:type="dxa"/>
            <w:tcMar>
              <w:left w:w="58" w:type="dxa"/>
              <w:right w:w="58" w:type="dxa"/>
            </w:tcMar>
          </w:tcPr>
          <w:p w14:paraId="0CA3D713" w14:textId="77777777" w:rsidR="000E2C9D" w:rsidRPr="00756D59" w:rsidRDefault="000E2C9D" w:rsidP="0051060F">
            <w:pPr>
              <w:jc w:val="left"/>
              <w:rPr>
                <w:bCs/>
                <w:sz w:val="20"/>
                <w:szCs w:val="20"/>
                <w:lang w:eastAsia="en-CA"/>
              </w:rPr>
            </w:pPr>
            <w:r w:rsidRPr="00756D59">
              <w:rPr>
                <w:bCs/>
                <w:sz w:val="20"/>
                <w:szCs w:val="20"/>
                <w:lang w:eastAsia="en-CA"/>
              </w:rPr>
              <w:t>Saudi Arabia</w:t>
            </w:r>
          </w:p>
          <w:p w14:paraId="047EB2C5" w14:textId="77777777" w:rsidR="000E2C9D" w:rsidRPr="00756D59" w:rsidRDefault="000E2C9D" w:rsidP="0051060F">
            <w:pPr>
              <w:jc w:val="left"/>
              <w:rPr>
                <w:bCs/>
                <w:sz w:val="20"/>
                <w:szCs w:val="20"/>
                <w:lang w:eastAsia="en-CA"/>
              </w:rPr>
            </w:pPr>
            <w:r w:rsidRPr="00756D59">
              <w:rPr>
                <w:sz w:val="20"/>
                <w:szCs w:val="20"/>
                <w:lang w:eastAsia="en-CA"/>
              </w:rPr>
              <w:t>SAU/SEV/81/TAS/33</w:t>
            </w:r>
          </w:p>
        </w:tc>
        <w:tc>
          <w:tcPr>
            <w:tcW w:w="3352" w:type="dxa"/>
            <w:tcMar>
              <w:left w:w="58" w:type="dxa"/>
              <w:right w:w="58" w:type="dxa"/>
            </w:tcMar>
          </w:tcPr>
          <w:p w14:paraId="0B9CF242"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06746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5ACE750" w14:textId="77777777" w:rsidR="000E2C9D" w:rsidRPr="00756D59" w:rsidRDefault="000E2C9D" w:rsidP="0051060F">
            <w:pPr>
              <w:jc w:val="center"/>
              <w:rPr>
                <w:bCs/>
                <w:sz w:val="20"/>
                <w:szCs w:val="20"/>
                <w:lang w:eastAsia="en-CA"/>
              </w:rPr>
            </w:pPr>
            <w:r w:rsidRPr="00756D59">
              <w:rPr>
                <w:bCs/>
                <w:sz w:val="20"/>
                <w:szCs w:val="20"/>
                <w:lang w:eastAsia="en-CA"/>
              </w:rPr>
              <w:t>33.4</w:t>
            </w:r>
          </w:p>
        </w:tc>
        <w:tc>
          <w:tcPr>
            <w:tcW w:w="4531" w:type="dxa"/>
            <w:tcMar>
              <w:left w:w="58" w:type="dxa"/>
              <w:right w:w="58" w:type="dxa"/>
            </w:tcMar>
          </w:tcPr>
          <w:p w14:paraId="6532DBFA" w14:textId="77777777" w:rsidR="000E2C9D" w:rsidRPr="00756D59" w:rsidRDefault="000E2C9D" w:rsidP="0051060F">
            <w:pPr>
              <w:jc w:val="left"/>
              <w:rPr>
                <w:sz w:val="20"/>
                <w:szCs w:val="20"/>
                <w:lang w:eastAsia="en-CA"/>
              </w:rPr>
            </w:pPr>
            <w:r w:rsidRPr="00756D59">
              <w:rPr>
                <w:sz w:val="20"/>
                <w:szCs w:val="20"/>
                <w:lang w:eastAsia="en-CA"/>
              </w:rPr>
              <w:t>Updating the HFC licensing system along with related capacity building; and the finalization of country assessment report.</w:t>
            </w:r>
          </w:p>
        </w:tc>
        <w:tc>
          <w:tcPr>
            <w:tcW w:w="1629" w:type="dxa"/>
            <w:shd w:val="clear" w:color="auto" w:fill="auto"/>
            <w:tcMar>
              <w:left w:w="58" w:type="dxa"/>
              <w:right w:w="58" w:type="dxa"/>
            </w:tcMar>
          </w:tcPr>
          <w:p w14:paraId="6B2DDF95"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51CE2C88" w14:textId="77777777" w:rsidTr="0051060F">
        <w:trPr>
          <w:trHeight w:val="337"/>
        </w:trPr>
        <w:tc>
          <w:tcPr>
            <w:tcW w:w="2261" w:type="dxa"/>
            <w:tcMar>
              <w:left w:w="58" w:type="dxa"/>
              <w:right w:w="58" w:type="dxa"/>
            </w:tcMar>
          </w:tcPr>
          <w:p w14:paraId="18C983C1" w14:textId="77777777" w:rsidR="000E2C9D" w:rsidRPr="00756D59" w:rsidRDefault="000E2C9D" w:rsidP="0051060F">
            <w:pPr>
              <w:jc w:val="left"/>
              <w:rPr>
                <w:sz w:val="20"/>
                <w:szCs w:val="20"/>
                <w:lang w:eastAsia="en-CA"/>
              </w:rPr>
            </w:pPr>
            <w:r w:rsidRPr="00756D59">
              <w:rPr>
                <w:bCs/>
                <w:sz w:val="20"/>
                <w:szCs w:val="20"/>
                <w:lang w:eastAsia="en-CA"/>
              </w:rPr>
              <w:t>Senegal</w:t>
            </w:r>
            <w:r w:rsidRPr="00756D59">
              <w:rPr>
                <w:sz w:val="20"/>
                <w:szCs w:val="20"/>
                <w:lang w:eastAsia="en-CA"/>
              </w:rPr>
              <w:t xml:space="preserve"> </w:t>
            </w:r>
          </w:p>
          <w:p w14:paraId="05D03193" w14:textId="77777777" w:rsidR="000E2C9D" w:rsidRPr="00756D59" w:rsidRDefault="000E2C9D" w:rsidP="0051060F">
            <w:pPr>
              <w:jc w:val="left"/>
              <w:rPr>
                <w:bCs/>
                <w:sz w:val="20"/>
                <w:szCs w:val="20"/>
                <w:lang w:eastAsia="en-CA"/>
              </w:rPr>
            </w:pPr>
            <w:r w:rsidRPr="00756D59">
              <w:rPr>
                <w:sz w:val="20"/>
                <w:szCs w:val="20"/>
                <w:lang w:eastAsia="en-CA"/>
              </w:rPr>
              <w:t>SEN/SEV/80/TAS/01+</w:t>
            </w:r>
          </w:p>
        </w:tc>
        <w:tc>
          <w:tcPr>
            <w:tcW w:w="3352" w:type="dxa"/>
            <w:tcMar>
              <w:left w:w="58" w:type="dxa"/>
              <w:right w:w="58" w:type="dxa"/>
            </w:tcMar>
          </w:tcPr>
          <w:p w14:paraId="1F0A7932"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FD82DC1"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36046F7" w14:textId="77777777" w:rsidR="000E2C9D" w:rsidRPr="00756D59" w:rsidRDefault="000E2C9D" w:rsidP="0051060F">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2F8F4354" w14:textId="77777777" w:rsidR="000E2C9D" w:rsidRPr="00756D59" w:rsidRDefault="000E2C9D" w:rsidP="0051060F">
            <w:pPr>
              <w:jc w:val="left"/>
              <w:rPr>
                <w:sz w:val="20"/>
                <w:szCs w:val="20"/>
                <w:lang w:eastAsia="en-CA"/>
              </w:rPr>
            </w:pPr>
            <w:r w:rsidRPr="00756D59">
              <w:rPr>
                <w:sz w:val="20"/>
                <w:szCs w:val="20"/>
                <w:lang w:eastAsia="en-CA"/>
              </w:rPr>
              <w:t xml:space="preserve">Sensitization meetings for technicians on safe handling of HFCs and their alternatives; and assisting customs office in developing national custom codes for </w:t>
            </w:r>
            <w:r w:rsidRPr="00756D59">
              <w:rPr>
                <w:sz w:val="20"/>
                <w:szCs w:val="20"/>
                <w:lang w:eastAsia="en-CA"/>
              </w:rPr>
              <w:lastRenderedPageBreak/>
              <w:t>different HFCs and including them into the customs tariff.</w:t>
            </w:r>
          </w:p>
        </w:tc>
        <w:tc>
          <w:tcPr>
            <w:tcW w:w="1629" w:type="dxa"/>
            <w:shd w:val="clear" w:color="auto" w:fill="auto"/>
            <w:tcMar>
              <w:left w:w="58" w:type="dxa"/>
              <w:right w:w="58" w:type="dxa"/>
            </w:tcMar>
          </w:tcPr>
          <w:p w14:paraId="2616BFF0" w14:textId="77777777" w:rsidR="000E2C9D" w:rsidRPr="00756D59" w:rsidRDefault="000E2C9D" w:rsidP="0051060F">
            <w:pPr>
              <w:jc w:val="center"/>
              <w:rPr>
                <w:bCs/>
                <w:sz w:val="20"/>
                <w:szCs w:val="20"/>
                <w:lang w:eastAsia="en-CA"/>
              </w:rPr>
            </w:pPr>
            <w:r w:rsidRPr="00756D59">
              <w:rPr>
                <w:bCs/>
                <w:sz w:val="20"/>
                <w:szCs w:val="20"/>
                <w:lang w:eastAsia="en-CA"/>
              </w:rPr>
              <w:lastRenderedPageBreak/>
              <w:t>Dec-21</w:t>
            </w:r>
          </w:p>
        </w:tc>
      </w:tr>
      <w:tr w:rsidR="000E2C9D" w:rsidRPr="00756D59" w14:paraId="7E714DD6" w14:textId="77777777" w:rsidTr="0051060F">
        <w:trPr>
          <w:trHeight w:val="337"/>
        </w:trPr>
        <w:tc>
          <w:tcPr>
            <w:tcW w:w="2261" w:type="dxa"/>
            <w:tcMar>
              <w:left w:w="58" w:type="dxa"/>
              <w:right w:w="58" w:type="dxa"/>
            </w:tcMar>
          </w:tcPr>
          <w:p w14:paraId="6D8F4F25" w14:textId="77777777" w:rsidR="000E2C9D" w:rsidRPr="00756D59" w:rsidRDefault="000E2C9D" w:rsidP="0051060F">
            <w:pPr>
              <w:jc w:val="left"/>
              <w:rPr>
                <w:sz w:val="20"/>
                <w:szCs w:val="20"/>
                <w:lang w:val="es-419" w:eastAsia="en-CA"/>
              </w:rPr>
            </w:pPr>
            <w:r w:rsidRPr="00756D59">
              <w:rPr>
                <w:bCs/>
                <w:sz w:val="20"/>
                <w:szCs w:val="20"/>
                <w:lang w:val="es-419" w:eastAsia="en-CA"/>
              </w:rPr>
              <w:lastRenderedPageBreak/>
              <w:t>Sierra Leone</w:t>
            </w:r>
            <w:r w:rsidRPr="00756D59">
              <w:rPr>
                <w:sz w:val="20"/>
                <w:szCs w:val="20"/>
                <w:lang w:val="es-419" w:eastAsia="en-CA"/>
              </w:rPr>
              <w:t xml:space="preserve"> </w:t>
            </w:r>
          </w:p>
          <w:p w14:paraId="2DDC344E" w14:textId="77777777" w:rsidR="000E2C9D" w:rsidRPr="00756D59" w:rsidRDefault="000E2C9D" w:rsidP="0051060F">
            <w:pPr>
              <w:jc w:val="left"/>
              <w:rPr>
                <w:bCs/>
                <w:sz w:val="20"/>
                <w:szCs w:val="20"/>
                <w:lang w:val="es-419" w:eastAsia="en-CA"/>
              </w:rPr>
            </w:pPr>
            <w:r w:rsidRPr="00756D59">
              <w:rPr>
                <w:sz w:val="20"/>
                <w:szCs w:val="20"/>
                <w:lang w:val="es-419" w:eastAsia="en-CA"/>
              </w:rPr>
              <w:t>SIL/SEV/81/TAS/01+</w:t>
            </w:r>
          </w:p>
        </w:tc>
        <w:tc>
          <w:tcPr>
            <w:tcW w:w="3352" w:type="dxa"/>
            <w:tcMar>
              <w:left w:w="58" w:type="dxa"/>
              <w:right w:w="58" w:type="dxa"/>
            </w:tcMar>
          </w:tcPr>
          <w:p w14:paraId="73CF6388"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62A5861"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18D8ABB" w14:textId="77777777" w:rsidR="000E2C9D" w:rsidRPr="00756D59" w:rsidRDefault="000E2C9D" w:rsidP="0051060F">
            <w:pPr>
              <w:jc w:val="center"/>
              <w:rPr>
                <w:bCs/>
                <w:sz w:val="20"/>
                <w:szCs w:val="20"/>
                <w:lang w:eastAsia="en-CA"/>
              </w:rPr>
            </w:pPr>
            <w:r w:rsidRPr="00756D59">
              <w:rPr>
                <w:bCs/>
                <w:sz w:val="20"/>
                <w:szCs w:val="20"/>
                <w:lang w:eastAsia="en-CA"/>
              </w:rPr>
              <w:t>52.6</w:t>
            </w:r>
          </w:p>
        </w:tc>
        <w:tc>
          <w:tcPr>
            <w:tcW w:w="4531" w:type="dxa"/>
            <w:tcMar>
              <w:left w:w="58" w:type="dxa"/>
              <w:right w:w="58" w:type="dxa"/>
            </w:tcMar>
          </w:tcPr>
          <w:p w14:paraId="3E100DC3" w14:textId="77777777" w:rsidR="000E2C9D" w:rsidRPr="00756D59" w:rsidRDefault="000E2C9D" w:rsidP="0051060F">
            <w:pPr>
              <w:jc w:val="left"/>
              <w:rPr>
                <w:sz w:val="20"/>
                <w:szCs w:val="20"/>
                <w:lang w:eastAsia="en-CA"/>
              </w:rPr>
            </w:pPr>
            <w:r w:rsidRPr="00756D59">
              <w:rPr>
                <w:sz w:val="20"/>
                <w:szCs w:val="20"/>
                <w:lang w:eastAsia="en-CA"/>
              </w:rPr>
              <w:t>Conducting sensitization meetings for technicians on safe handling of HFCs and their alternatives; and assisting national customs authorities in establishing national custom codes for HFCs.</w:t>
            </w:r>
          </w:p>
        </w:tc>
        <w:tc>
          <w:tcPr>
            <w:tcW w:w="1629" w:type="dxa"/>
            <w:shd w:val="clear" w:color="auto" w:fill="auto"/>
            <w:tcMar>
              <w:left w:w="58" w:type="dxa"/>
              <w:right w:w="58" w:type="dxa"/>
            </w:tcMar>
          </w:tcPr>
          <w:p w14:paraId="08ECC5EA"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1A8A9808" w14:textId="77777777" w:rsidTr="0051060F">
        <w:trPr>
          <w:trHeight w:val="337"/>
        </w:trPr>
        <w:tc>
          <w:tcPr>
            <w:tcW w:w="2261" w:type="dxa"/>
            <w:tcMar>
              <w:left w:w="58" w:type="dxa"/>
              <w:right w:w="58" w:type="dxa"/>
            </w:tcMar>
          </w:tcPr>
          <w:p w14:paraId="5BC414E9" w14:textId="77777777" w:rsidR="000E2C9D" w:rsidRPr="00756D59" w:rsidRDefault="000E2C9D" w:rsidP="0051060F">
            <w:pPr>
              <w:jc w:val="left"/>
              <w:rPr>
                <w:sz w:val="20"/>
                <w:szCs w:val="20"/>
                <w:lang w:val="fr-FR" w:eastAsia="en-CA"/>
              </w:rPr>
            </w:pPr>
            <w:r w:rsidRPr="00756D59">
              <w:rPr>
                <w:bCs/>
                <w:sz w:val="20"/>
                <w:szCs w:val="20"/>
                <w:lang w:val="fr-FR" w:eastAsia="en-CA"/>
              </w:rPr>
              <w:t xml:space="preserve">Solomon </w:t>
            </w:r>
            <w:proofErr w:type="spellStart"/>
            <w:r w:rsidRPr="00756D59">
              <w:rPr>
                <w:bCs/>
                <w:sz w:val="20"/>
                <w:szCs w:val="20"/>
                <w:lang w:val="fr-FR" w:eastAsia="en-CA"/>
              </w:rPr>
              <w:t>Islands</w:t>
            </w:r>
            <w:proofErr w:type="spellEnd"/>
            <w:r w:rsidRPr="00756D59">
              <w:rPr>
                <w:sz w:val="20"/>
                <w:szCs w:val="20"/>
                <w:lang w:val="fr-FR" w:eastAsia="en-CA"/>
              </w:rPr>
              <w:t xml:space="preserve"> </w:t>
            </w:r>
          </w:p>
          <w:p w14:paraId="0C630664" w14:textId="77777777" w:rsidR="000E2C9D" w:rsidRPr="00756D59" w:rsidRDefault="000E2C9D" w:rsidP="0051060F">
            <w:pPr>
              <w:jc w:val="left"/>
              <w:rPr>
                <w:bCs/>
                <w:sz w:val="20"/>
                <w:szCs w:val="20"/>
                <w:lang w:val="fr-FR" w:eastAsia="en-CA"/>
              </w:rPr>
            </w:pPr>
            <w:r w:rsidRPr="00756D59">
              <w:rPr>
                <w:sz w:val="20"/>
                <w:szCs w:val="20"/>
                <w:lang w:val="fr-FR" w:eastAsia="en-CA"/>
              </w:rPr>
              <w:t>SOI/SEV/81/TAS/01+</w:t>
            </w:r>
          </w:p>
        </w:tc>
        <w:tc>
          <w:tcPr>
            <w:tcW w:w="3352" w:type="dxa"/>
            <w:tcMar>
              <w:left w:w="58" w:type="dxa"/>
              <w:right w:w="58" w:type="dxa"/>
            </w:tcMar>
          </w:tcPr>
          <w:p w14:paraId="4DF8D25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DAA2D4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4988058" w14:textId="77777777" w:rsidR="000E2C9D" w:rsidRPr="00756D59" w:rsidRDefault="000E2C9D" w:rsidP="0051060F">
            <w:pPr>
              <w:jc w:val="center"/>
              <w:rPr>
                <w:bCs/>
                <w:sz w:val="20"/>
                <w:szCs w:val="20"/>
                <w:lang w:eastAsia="en-CA"/>
              </w:rPr>
            </w:pPr>
            <w:r w:rsidRPr="00756D59">
              <w:rPr>
                <w:bCs/>
                <w:sz w:val="20"/>
                <w:szCs w:val="20"/>
                <w:lang w:eastAsia="en-CA"/>
              </w:rPr>
              <w:t>42.2</w:t>
            </w:r>
          </w:p>
        </w:tc>
        <w:tc>
          <w:tcPr>
            <w:tcW w:w="4531" w:type="dxa"/>
            <w:tcMar>
              <w:left w:w="58" w:type="dxa"/>
              <w:right w:w="58" w:type="dxa"/>
            </w:tcMar>
          </w:tcPr>
          <w:p w14:paraId="4980919A" w14:textId="77777777" w:rsidR="000E2C9D" w:rsidRPr="00756D59" w:rsidRDefault="000E2C9D" w:rsidP="0051060F">
            <w:pPr>
              <w:jc w:val="left"/>
              <w:rPr>
                <w:sz w:val="20"/>
                <w:szCs w:val="20"/>
                <w:lang w:eastAsia="en-CA"/>
              </w:rPr>
            </w:pPr>
            <w:r w:rsidRPr="00756D59">
              <w:rPr>
                <w:sz w:val="20"/>
                <w:szCs w:val="20"/>
                <w:lang w:eastAsia="en-CA"/>
              </w:rPr>
              <w:t>Consultations on Kigali Amendment ratification; finalization of country assessment report; roundtable workshops and trainings; finalization of draft regulation amendment; development of knowledge products and information materials; and finalization of e</w:t>
            </w:r>
            <w:r w:rsidRPr="00756D59">
              <w:rPr>
                <w:sz w:val="20"/>
                <w:szCs w:val="20"/>
                <w:lang w:eastAsia="en-CA"/>
              </w:rPr>
              <w:noBreakHyphen/>
              <w:t>licensing system.</w:t>
            </w:r>
          </w:p>
        </w:tc>
        <w:tc>
          <w:tcPr>
            <w:tcW w:w="1629" w:type="dxa"/>
            <w:shd w:val="clear" w:color="auto" w:fill="auto"/>
            <w:tcMar>
              <w:left w:w="58" w:type="dxa"/>
              <w:right w:w="58" w:type="dxa"/>
            </w:tcMar>
          </w:tcPr>
          <w:p w14:paraId="645E8E6B"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413BC6A8" w14:textId="77777777" w:rsidTr="0051060F">
        <w:trPr>
          <w:trHeight w:val="337"/>
        </w:trPr>
        <w:tc>
          <w:tcPr>
            <w:tcW w:w="2261" w:type="dxa"/>
            <w:tcMar>
              <w:left w:w="58" w:type="dxa"/>
              <w:right w:w="58" w:type="dxa"/>
            </w:tcMar>
          </w:tcPr>
          <w:p w14:paraId="51F739BB" w14:textId="77777777" w:rsidR="000E2C9D" w:rsidRPr="00756D59" w:rsidRDefault="000E2C9D" w:rsidP="0051060F">
            <w:pPr>
              <w:jc w:val="left"/>
              <w:rPr>
                <w:sz w:val="20"/>
                <w:szCs w:val="20"/>
                <w:lang w:eastAsia="en-CA"/>
              </w:rPr>
            </w:pPr>
            <w:r w:rsidRPr="00756D59">
              <w:rPr>
                <w:bCs/>
                <w:sz w:val="20"/>
                <w:szCs w:val="20"/>
                <w:lang w:eastAsia="en-CA"/>
              </w:rPr>
              <w:t>South Sudan</w:t>
            </w:r>
            <w:r w:rsidRPr="00756D59">
              <w:rPr>
                <w:sz w:val="20"/>
                <w:szCs w:val="20"/>
                <w:lang w:eastAsia="en-CA"/>
              </w:rPr>
              <w:t xml:space="preserve"> </w:t>
            </w:r>
          </w:p>
          <w:p w14:paraId="146E9813" w14:textId="77777777" w:rsidR="000E2C9D" w:rsidRPr="00756D59" w:rsidRDefault="000E2C9D" w:rsidP="0051060F">
            <w:pPr>
              <w:jc w:val="left"/>
              <w:rPr>
                <w:bCs/>
                <w:sz w:val="20"/>
                <w:szCs w:val="20"/>
                <w:lang w:eastAsia="en-CA"/>
              </w:rPr>
            </w:pPr>
            <w:r w:rsidRPr="00756D59">
              <w:rPr>
                <w:sz w:val="20"/>
                <w:szCs w:val="20"/>
                <w:lang w:eastAsia="en-CA"/>
              </w:rPr>
              <w:t>SSD/SEV/81/TAS/01+</w:t>
            </w:r>
          </w:p>
        </w:tc>
        <w:tc>
          <w:tcPr>
            <w:tcW w:w="3352" w:type="dxa"/>
            <w:tcMar>
              <w:left w:w="58" w:type="dxa"/>
              <w:right w:w="58" w:type="dxa"/>
            </w:tcMar>
          </w:tcPr>
          <w:p w14:paraId="71CCBBE9"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651BD86"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8E09C77" w14:textId="77777777" w:rsidR="000E2C9D" w:rsidRPr="00756D59" w:rsidRDefault="000E2C9D" w:rsidP="0051060F">
            <w:pPr>
              <w:jc w:val="center"/>
              <w:rPr>
                <w:bCs/>
                <w:sz w:val="20"/>
                <w:szCs w:val="20"/>
                <w:lang w:eastAsia="en-CA"/>
              </w:rPr>
            </w:pPr>
            <w:r w:rsidRPr="00756D59">
              <w:rPr>
                <w:bCs/>
                <w:sz w:val="20"/>
                <w:szCs w:val="20"/>
                <w:lang w:eastAsia="en-CA"/>
              </w:rPr>
              <w:t>31.6</w:t>
            </w:r>
          </w:p>
        </w:tc>
        <w:tc>
          <w:tcPr>
            <w:tcW w:w="4531" w:type="dxa"/>
            <w:tcMar>
              <w:left w:w="58" w:type="dxa"/>
              <w:right w:w="58" w:type="dxa"/>
            </w:tcMar>
          </w:tcPr>
          <w:p w14:paraId="7BDF5273" w14:textId="77777777" w:rsidR="000E2C9D" w:rsidRPr="00756D59" w:rsidRDefault="000E2C9D" w:rsidP="0051060F">
            <w:pPr>
              <w:jc w:val="left"/>
              <w:rPr>
                <w:sz w:val="20"/>
                <w:szCs w:val="20"/>
                <w:lang w:eastAsia="en-CA"/>
              </w:rPr>
            </w:pPr>
            <w:r w:rsidRPr="00756D59">
              <w:rPr>
                <w:sz w:val="20"/>
                <w:szCs w:val="20"/>
                <w:lang w:eastAsia="en-CA"/>
              </w:rPr>
              <w:t>Analysis of existing legislation and drafting amendments; conducting sensitization meetings for technicians on safe handling of HFCs and their alternatives; and revising the existing national Ozone</w:t>
            </w:r>
            <w:r w:rsidRPr="00756D59">
              <w:rPr>
                <w:sz w:val="20"/>
                <w:szCs w:val="20"/>
                <w:lang w:eastAsia="en-CA"/>
              </w:rPr>
              <w:noBreakHyphen/>
              <w:t>Depleting Substances legislation (and ODS</w:t>
            </w:r>
            <w:r w:rsidRPr="00756D59">
              <w:rPr>
                <w:sz w:val="20"/>
                <w:szCs w:val="20"/>
                <w:lang w:eastAsia="en-CA"/>
              </w:rPr>
              <w:noBreakHyphen/>
              <w:t>based equipment).</w:t>
            </w:r>
          </w:p>
        </w:tc>
        <w:tc>
          <w:tcPr>
            <w:tcW w:w="1629" w:type="dxa"/>
            <w:shd w:val="clear" w:color="auto" w:fill="auto"/>
            <w:tcMar>
              <w:left w:w="58" w:type="dxa"/>
              <w:right w:w="58" w:type="dxa"/>
            </w:tcMar>
          </w:tcPr>
          <w:p w14:paraId="416B0215"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1BB0852F" w14:textId="77777777" w:rsidTr="0051060F">
        <w:trPr>
          <w:trHeight w:val="337"/>
        </w:trPr>
        <w:tc>
          <w:tcPr>
            <w:tcW w:w="2261" w:type="dxa"/>
            <w:tcMar>
              <w:left w:w="58" w:type="dxa"/>
              <w:right w:w="58" w:type="dxa"/>
            </w:tcMar>
          </w:tcPr>
          <w:p w14:paraId="2D40EB81" w14:textId="77777777" w:rsidR="000E2C9D" w:rsidRPr="00756D59" w:rsidRDefault="000E2C9D" w:rsidP="0051060F">
            <w:pPr>
              <w:jc w:val="left"/>
              <w:rPr>
                <w:sz w:val="20"/>
                <w:szCs w:val="20"/>
                <w:lang w:eastAsia="en-CA"/>
              </w:rPr>
            </w:pPr>
            <w:r w:rsidRPr="00756D59">
              <w:rPr>
                <w:bCs/>
                <w:sz w:val="20"/>
                <w:szCs w:val="20"/>
                <w:lang w:eastAsia="en-CA"/>
              </w:rPr>
              <w:t>Sri Lanka</w:t>
            </w:r>
            <w:r w:rsidRPr="00756D59">
              <w:rPr>
                <w:sz w:val="20"/>
                <w:szCs w:val="20"/>
                <w:lang w:eastAsia="en-CA"/>
              </w:rPr>
              <w:t xml:space="preserve"> </w:t>
            </w:r>
          </w:p>
          <w:p w14:paraId="2E9790DA" w14:textId="77777777" w:rsidR="000E2C9D" w:rsidRPr="00756D59" w:rsidRDefault="000E2C9D" w:rsidP="0051060F">
            <w:pPr>
              <w:jc w:val="left"/>
              <w:rPr>
                <w:bCs/>
                <w:sz w:val="20"/>
                <w:szCs w:val="20"/>
                <w:lang w:eastAsia="en-CA"/>
              </w:rPr>
            </w:pPr>
            <w:r w:rsidRPr="00756D59">
              <w:rPr>
                <w:sz w:val="20"/>
                <w:szCs w:val="20"/>
                <w:lang w:eastAsia="en-CA"/>
              </w:rPr>
              <w:t>SRL/SEV/81/TAS/01+</w:t>
            </w:r>
          </w:p>
        </w:tc>
        <w:tc>
          <w:tcPr>
            <w:tcW w:w="3352" w:type="dxa"/>
            <w:tcMar>
              <w:left w:w="58" w:type="dxa"/>
              <w:right w:w="58" w:type="dxa"/>
            </w:tcMar>
          </w:tcPr>
          <w:p w14:paraId="079CBEA2"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34A129D"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BB8C8A1" w14:textId="77777777" w:rsidR="000E2C9D" w:rsidRPr="00756D59" w:rsidRDefault="000E2C9D" w:rsidP="0051060F">
            <w:pPr>
              <w:jc w:val="center"/>
              <w:rPr>
                <w:bCs/>
                <w:sz w:val="20"/>
                <w:szCs w:val="20"/>
                <w:lang w:eastAsia="en-CA"/>
              </w:rPr>
            </w:pPr>
            <w:r w:rsidRPr="00756D59">
              <w:rPr>
                <w:bCs/>
                <w:sz w:val="20"/>
                <w:szCs w:val="20"/>
                <w:lang w:eastAsia="en-CA"/>
              </w:rPr>
              <w:t>59.8</w:t>
            </w:r>
          </w:p>
        </w:tc>
        <w:tc>
          <w:tcPr>
            <w:tcW w:w="4531" w:type="dxa"/>
            <w:tcMar>
              <w:left w:w="58" w:type="dxa"/>
              <w:right w:w="58" w:type="dxa"/>
            </w:tcMar>
          </w:tcPr>
          <w:p w14:paraId="2AF5C026" w14:textId="77777777" w:rsidR="000E2C9D" w:rsidRPr="00756D59" w:rsidRDefault="000E2C9D" w:rsidP="0051060F">
            <w:pPr>
              <w:jc w:val="left"/>
              <w:rPr>
                <w:sz w:val="20"/>
                <w:szCs w:val="20"/>
                <w:lang w:eastAsia="en-CA"/>
              </w:rPr>
            </w:pPr>
            <w:r w:rsidRPr="00756D59">
              <w:rPr>
                <w:sz w:val="20"/>
                <w:szCs w:val="20"/>
                <w:lang w:eastAsia="en-CA"/>
              </w:rPr>
              <w:t>Finalization of stakeholder engagement strategy; roundtable workshops and trainings; finalization of safety and energy efficiency standards; finalization study on Recognition of Prior Learning in the Technical and Vocational Education and Training system for RAC; and development of knowledge products and information materials on Kigali Amendment, energy efficiency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30D94ECB"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280E8807" w14:textId="77777777" w:rsidTr="0051060F">
        <w:trPr>
          <w:trHeight w:val="337"/>
        </w:trPr>
        <w:tc>
          <w:tcPr>
            <w:tcW w:w="2261" w:type="dxa"/>
            <w:tcMar>
              <w:left w:w="58" w:type="dxa"/>
              <w:right w:w="58" w:type="dxa"/>
            </w:tcMar>
          </w:tcPr>
          <w:p w14:paraId="5DF221D5" w14:textId="77777777" w:rsidR="000E2C9D" w:rsidRPr="00756D59" w:rsidRDefault="000E2C9D" w:rsidP="0051060F">
            <w:pPr>
              <w:jc w:val="left"/>
              <w:rPr>
                <w:sz w:val="20"/>
                <w:szCs w:val="20"/>
                <w:lang w:eastAsia="en-CA"/>
              </w:rPr>
            </w:pPr>
            <w:r w:rsidRPr="00756D59">
              <w:rPr>
                <w:bCs/>
                <w:sz w:val="20"/>
                <w:szCs w:val="20"/>
                <w:lang w:eastAsia="en-CA"/>
              </w:rPr>
              <w:t>Sudan</w:t>
            </w:r>
            <w:r w:rsidRPr="00756D59">
              <w:rPr>
                <w:sz w:val="20"/>
                <w:szCs w:val="20"/>
                <w:lang w:eastAsia="en-CA"/>
              </w:rPr>
              <w:t xml:space="preserve"> (the)</w:t>
            </w:r>
          </w:p>
          <w:p w14:paraId="2D08C657" w14:textId="77777777" w:rsidR="000E2C9D" w:rsidRPr="00756D59" w:rsidRDefault="000E2C9D" w:rsidP="0051060F">
            <w:pPr>
              <w:jc w:val="left"/>
              <w:rPr>
                <w:bCs/>
                <w:sz w:val="20"/>
                <w:szCs w:val="20"/>
                <w:lang w:eastAsia="en-CA"/>
              </w:rPr>
            </w:pPr>
            <w:r w:rsidRPr="00756D59">
              <w:rPr>
                <w:sz w:val="20"/>
                <w:szCs w:val="20"/>
                <w:lang w:eastAsia="en-CA"/>
              </w:rPr>
              <w:t>SUD/SEV/80/TAS/02+</w:t>
            </w:r>
          </w:p>
        </w:tc>
        <w:tc>
          <w:tcPr>
            <w:tcW w:w="3352" w:type="dxa"/>
            <w:tcMar>
              <w:left w:w="58" w:type="dxa"/>
              <w:right w:w="58" w:type="dxa"/>
            </w:tcMar>
          </w:tcPr>
          <w:p w14:paraId="44ADC8E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A0122D4"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8A201D8" w14:textId="77777777" w:rsidR="000E2C9D" w:rsidRPr="00756D59" w:rsidRDefault="000E2C9D" w:rsidP="0051060F">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7A2DABB5" w14:textId="77777777" w:rsidR="000E2C9D" w:rsidRPr="00756D59" w:rsidRDefault="000E2C9D" w:rsidP="0051060F">
            <w:pPr>
              <w:jc w:val="left"/>
              <w:rPr>
                <w:sz w:val="20"/>
                <w:szCs w:val="20"/>
                <w:lang w:eastAsia="en-CA"/>
              </w:rPr>
            </w:pPr>
            <w:r w:rsidRPr="00756D59">
              <w:rPr>
                <w:sz w:val="20"/>
                <w:szCs w:val="20"/>
                <w:lang w:eastAsia="en-CA"/>
              </w:rPr>
              <w:t xml:space="preserve">Implementing public awareness regarding the Kigali Amendment and continuing stakeholder consultations; raising awareness of technicians on available HFC alternatives and their safe handling; and training customs officers on monitoring and controlling HFC trade at all the major ports of entry. </w:t>
            </w:r>
          </w:p>
        </w:tc>
        <w:tc>
          <w:tcPr>
            <w:tcW w:w="1629" w:type="dxa"/>
            <w:shd w:val="clear" w:color="auto" w:fill="auto"/>
            <w:tcMar>
              <w:left w:w="58" w:type="dxa"/>
              <w:right w:w="58" w:type="dxa"/>
            </w:tcMar>
          </w:tcPr>
          <w:p w14:paraId="452142DA"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0A777120" w14:textId="77777777" w:rsidTr="0051060F">
        <w:trPr>
          <w:trHeight w:val="337"/>
        </w:trPr>
        <w:tc>
          <w:tcPr>
            <w:tcW w:w="2261" w:type="dxa"/>
            <w:tcMar>
              <w:left w:w="58" w:type="dxa"/>
              <w:right w:w="58" w:type="dxa"/>
            </w:tcMar>
          </w:tcPr>
          <w:p w14:paraId="50853E6C" w14:textId="77777777" w:rsidR="000E2C9D" w:rsidRPr="00756D59" w:rsidRDefault="000E2C9D" w:rsidP="0051060F">
            <w:pPr>
              <w:jc w:val="left"/>
              <w:rPr>
                <w:sz w:val="20"/>
                <w:szCs w:val="20"/>
                <w:lang w:eastAsia="en-CA"/>
              </w:rPr>
            </w:pPr>
            <w:r w:rsidRPr="00756D59">
              <w:rPr>
                <w:bCs/>
                <w:sz w:val="20"/>
                <w:szCs w:val="20"/>
                <w:lang w:eastAsia="en-CA"/>
              </w:rPr>
              <w:t>Suriname</w:t>
            </w:r>
            <w:r w:rsidRPr="00756D59">
              <w:rPr>
                <w:sz w:val="20"/>
                <w:szCs w:val="20"/>
                <w:lang w:eastAsia="en-CA"/>
              </w:rPr>
              <w:t xml:space="preserve"> </w:t>
            </w:r>
          </w:p>
          <w:p w14:paraId="22B892D2" w14:textId="77777777" w:rsidR="000E2C9D" w:rsidRPr="00756D59" w:rsidRDefault="000E2C9D" w:rsidP="0051060F">
            <w:pPr>
              <w:jc w:val="left"/>
              <w:rPr>
                <w:bCs/>
                <w:sz w:val="20"/>
                <w:szCs w:val="20"/>
                <w:lang w:eastAsia="en-CA"/>
              </w:rPr>
            </w:pPr>
            <w:r w:rsidRPr="00756D59">
              <w:rPr>
                <w:sz w:val="20"/>
                <w:szCs w:val="20"/>
                <w:lang w:eastAsia="en-CA"/>
              </w:rPr>
              <w:t>SUR/SEV/80/TAS/01+</w:t>
            </w:r>
          </w:p>
        </w:tc>
        <w:tc>
          <w:tcPr>
            <w:tcW w:w="3352" w:type="dxa"/>
            <w:tcMar>
              <w:left w:w="58" w:type="dxa"/>
              <w:right w:w="58" w:type="dxa"/>
            </w:tcMar>
          </w:tcPr>
          <w:p w14:paraId="1DE5571C"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24B9854"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91F891C" w14:textId="77777777" w:rsidR="000E2C9D" w:rsidRPr="00756D59" w:rsidRDefault="000E2C9D" w:rsidP="0051060F">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39DBD2AA" w14:textId="77777777" w:rsidR="000E2C9D" w:rsidRPr="00756D59" w:rsidRDefault="000E2C9D" w:rsidP="0051060F">
            <w:pPr>
              <w:jc w:val="left"/>
              <w:rPr>
                <w:sz w:val="20"/>
                <w:szCs w:val="20"/>
                <w:lang w:eastAsia="en-CA"/>
              </w:rPr>
            </w:pPr>
            <w:r w:rsidRPr="00756D59">
              <w:rPr>
                <w:sz w:val="20"/>
                <w:szCs w:val="20"/>
                <w:lang w:eastAsia="en-CA"/>
              </w:rPr>
              <w:t>Analysis of ozone and climate legislation to support Kigali Amendment; stakeholder consultations meetings and awareness raising on HFC phase</w:t>
            </w:r>
            <w:r w:rsidRPr="00756D59">
              <w:rPr>
                <w:sz w:val="20"/>
                <w:szCs w:val="20"/>
                <w:lang w:eastAsia="en-CA"/>
              </w:rPr>
              <w:noBreakHyphen/>
              <w:t xml:space="preserve">down and energy efficiency; training needs assessment for </w:t>
            </w:r>
            <w:r w:rsidRPr="00756D59">
              <w:rPr>
                <w:sz w:val="20"/>
                <w:szCs w:val="20"/>
                <w:lang w:eastAsia="en-CA"/>
              </w:rPr>
              <w:lastRenderedPageBreak/>
              <w:t>the RAC service sector; mapping HFCs available in the local market; technical assistance for HFC data collection, projection of RAC technology trends; symposium on  impacts of the Kigali Amendment ratification and seminar on the transition to low</w:t>
            </w:r>
            <w:r w:rsidRPr="00756D59">
              <w:rPr>
                <w:sz w:val="20"/>
                <w:szCs w:val="20"/>
                <w:lang w:eastAsia="en-CA"/>
              </w:rPr>
              <w:noBreakHyphen/>
              <w:t>GWP technologies; training seminar for technicians on management of alternatives; developing country</w:t>
            </w:r>
            <w:r w:rsidRPr="00756D59">
              <w:rPr>
                <w:sz w:val="20"/>
                <w:szCs w:val="20"/>
                <w:lang w:eastAsia="en-CA"/>
              </w:rPr>
              <w:noBreakHyphen/>
              <w:t>specific HS codes for HFCs; knowledge, attitude, and practices study of the RAC service sector; and developing national strategy on a staged approach to introducing low</w:t>
            </w:r>
            <w:r w:rsidRPr="00756D59">
              <w:rPr>
                <w:sz w:val="20"/>
                <w:szCs w:val="20"/>
                <w:lang w:eastAsia="en-CA"/>
              </w:rPr>
              <w:noBreakHyphen/>
              <w:t>GWP energy efficient alternatives and change management support to assist service to manage transition from HFCs to alternative refrigerants.</w:t>
            </w:r>
          </w:p>
        </w:tc>
        <w:tc>
          <w:tcPr>
            <w:tcW w:w="1629" w:type="dxa"/>
            <w:shd w:val="clear" w:color="auto" w:fill="auto"/>
            <w:tcMar>
              <w:left w:w="58" w:type="dxa"/>
              <w:right w:w="58" w:type="dxa"/>
            </w:tcMar>
          </w:tcPr>
          <w:p w14:paraId="412D85EB" w14:textId="77777777" w:rsidR="000E2C9D" w:rsidRPr="00756D59" w:rsidRDefault="000E2C9D" w:rsidP="0051060F">
            <w:pPr>
              <w:jc w:val="center"/>
              <w:rPr>
                <w:bCs/>
                <w:sz w:val="20"/>
                <w:szCs w:val="20"/>
                <w:lang w:eastAsia="en-CA"/>
              </w:rPr>
            </w:pPr>
            <w:r w:rsidRPr="00756D59">
              <w:rPr>
                <w:bCs/>
                <w:sz w:val="20"/>
                <w:szCs w:val="20"/>
                <w:lang w:eastAsia="en-CA"/>
              </w:rPr>
              <w:lastRenderedPageBreak/>
              <w:t>Jun-22</w:t>
            </w:r>
          </w:p>
        </w:tc>
      </w:tr>
      <w:tr w:rsidR="000E2C9D" w:rsidRPr="00756D59" w14:paraId="5CF9BA3A" w14:textId="77777777" w:rsidTr="0051060F">
        <w:trPr>
          <w:trHeight w:val="337"/>
        </w:trPr>
        <w:tc>
          <w:tcPr>
            <w:tcW w:w="2261" w:type="dxa"/>
            <w:tcMar>
              <w:left w:w="58" w:type="dxa"/>
              <w:right w:w="58" w:type="dxa"/>
            </w:tcMar>
          </w:tcPr>
          <w:p w14:paraId="233B898E" w14:textId="77777777" w:rsidR="000E2C9D" w:rsidRPr="00756D59" w:rsidRDefault="000E2C9D" w:rsidP="0051060F">
            <w:pPr>
              <w:jc w:val="left"/>
              <w:rPr>
                <w:sz w:val="20"/>
                <w:szCs w:val="20"/>
                <w:lang w:eastAsia="en-CA"/>
              </w:rPr>
            </w:pPr>
            <w:r w:rsidRPr="00756D59">
              <w:rPr>
                <w:bCs/>
                <w:sz w:val="20"/>
                <w:szCs w:val="20"/>
                <w:lang w:eastAsia="en-CA"/>
              </w:rPr>
              <w:lastRenderedPageBreak/>
              <w:t>Timor-Leste</w:t>
            </w:r>
            <w:r w:rsidRPr="00756D59">
              <w:rPr>
                <w:sz w:val="20"/>
                <w:szCs w:val="20"/>
                <w:lang w:eastAsia="en-CA"/>
              </w:rPr>
              <w:t xml:space="preserve"> </w:t>
            </w:r>
          </w:p>
          <w:p w14:paraId="3E18D784" w14:textId="77777777" w:rsidR="000E2C9D" w:rsidRPr="00756D59" w:rsidRDefault="000E2C9D" w:rsidP="0051060F">
            <w:pPr>
              <w:jc w:val="left"/>
              <w:rPr>
                <w:bCs/>
                <w:sz w:val="20"/>
                <w:szCs w:val="20"/>
                <w:lang w:eastAsia="en-CA"/>
              </w:rPr>
            </w:pPr>
            <w:r w:rsidRPr="00756D59">
              <w:rPr>
                <w:sz w:val="20"/>
                <w:szCs w:val="20"/>
                <w:lang w:eastAsia="en-CA"/>
              </w:rPr>
              <w:t>TLS/SEV/82/TAS/19</w:t>
            </w:r>
          </w:p>
        </w:tc>
        <w:tc>
          <w:tcPr>
            <w:tcW w:w="3352" w:type="dxa"/>
            <w:tcMar>
              <w:left w:w="58" w:type="dxa"/>
              <w:right w:w="58" w:type="dxa"/>
            </w:tcMar>
          </w:tcPr>
          <w:p w14:paraId="5A10AF01"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D16A137"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78338B60" w14:textId="77777777" w:rsidR="000E2C9D" w:rsidRPr="00756D59" w:rsidRDefault="000E2C9D" w:rsidP="0051060F">
            <w:pPr>
              <w:jc w:val="center"/>
              <w:rPr>
                <w:bCs/>
                <w:sz w:val="20"/>
                <w:szCs w:val="20"/>
                <w:lang w:eastAsia="en-CA"/>
              </w:rPr>
            </w:pPr>
            <w:r w:rsidRPr="00756D59">
              <w:rPr>
                <w:bCs/>
                <w:sz w:val="20"/>
                <w:szCs w:val="20"/>
                <w:lang w:eastAsia="en-CA"/>
              </w:rPr>
              <w:t>47.7</w:t>
            </w:r>
          </w:p>
        </w:tc>
        <w:tc>
          <w:tcPr>
            <w:tcW w:w="4531" w:type="dxa"/>
            <w:tcMar>
              <w:left w:w="58" w:type="dxa"/>
              <w:right w:w="58" w:type="dxa"/>
            </w:tcMar>
          </w:tcPr>
          <w:p w14:paraId="6C76DE41" w14:textId="77777777" w:rsidR="000E2C9D" w:rsidRPr="00756D59" w:rsidRDefault="000E2C9D" w:rsidP="0051060F">
            <w:pPr>
              <w:jc w:val="left"/>
              <w:rPr>
                <w:sz w:val="20"/>
                <w:szCs w:val="20"/>
                <w:lang w:eastAsia="en-CA"/>
              </w:rPr>
            </w:pPr>
            <w:r w:rsidRPr="00756D59">
              <w:rPr>
                <w:sz w:val="20"/>
                <w:szCs w:val="20"/>
                <w:lang w:eastAsia="en-CA"/>
              </w:rPr>
              <w:t>Conducting roundtable workshops and trainings; finalization of the amendment to the draft regulation; and development of knowledge products and information materials.</w:t>
            </w:r>
          </w:p>
        </w:tc>
        <w:tc>
          <w:tcPr>
            <w:tcW w:w="1629" w:type="dxa"/>
            <w:shd w:val="clear" w:color="auto" w:fill="auto"/>
            <w:tcMar>
              <w:left w:w="58" w:type="dxa"/>
              <w:right w:w="58" w:type="dxa"/>
            </w:tcMar>
          </w:tcPr>
          <w:p w14:paraId="27395189"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4B6D2E2C" w14:textId="77777777" w:rsidTr="0051060F">
        <w:trPr>
          <w:trHeight w:val="337"/>
        </w:trPr>
        <w:tc>
          <w:tcPr>
            <w:tcW w:w="2261" w:type="dxa"/>
            <w:tcMar>
              <w:left w:w="58" w:type="dxa"/>
              <w:right w:w="58" w:type="dxa"/>
            </w:tcMar>
          </w:tcPr>
          <w:p w14:paraId="736A2B84" w14:textId="77777777" w:rsidR="000E2C9D" w:rsidRPr="00756D59" w:rsidRDefault="000E2C9D" w:rsidP="0051060F">
            <w:pPr>
              <w:jc w:val="left"/>
              <w:rPr>
                <w:sz w:val="20"/>
                <w:szCs w:val="20"/>
                <w:lang w:eastAsia="en-CA"/>
              </w:rPr>
            </w:pPr>
            <w:r w:rsidRPr="00756D59">
              <w:rPr>
                <w:bCs/>
                <w:sz w:val="20"/>
                <w:szCs w:val="20"/>
                <w:lang w:eastAsia="en-CA"/>
              </w:rPr>
              <w:t>Togo</w:t>
            </w:r>
            <w:r w:rsidRPr="00756D59">
              <w:rPr>
                <w:sz w:val="20"/>
                <w:szCs w:val="20"/>
                <w:lang w:eastAsia="en-CA"/>
              </w:rPr>
              <w:t xml:space="preserve"> </w:t>
            </w:r>
          </w:p>
          <w:p w14:paraId="4B146F19" w14:textId="77777777" w:rsidR="000E2C9D" w:rsidRPr="00756D59" w:rsidRDefault="000E2C9D" w:rsidP="0051060F">
            <w:pPr>
              <w:jc w:val="left"/>
              <w:rPr>
                <w:bCs/>
                <w:sz w:val="20"/>
                <w:szCs w:val="20"/>
                <w:lang w:eastAsia="en-CA"/>
              </w:rPr>
            </w:pPr>
            <w:r w:rsidRPr="00756D59">
              <w:rPr>
                <w:sz w:val="20"/>
                <w:szCs w:val="20"/>
                <w:lang w:eastAsia="en-CA"/>
              </w:rPr>
              <w:t>TOG/SEV/80/TAS/01+</w:t>
            </w:r>
          </w:p>
        </w:tc>
        <w:tc>
          <w:tcPr>
            <w:tcW w:w="3352" w:type="dxa"/>
            <w:tcMar>
              <w:left w:w="58" w:type="dxa"/>
              <w:right w:w="58" w:type="dxa"/>
            </w:tcMar>
          </w:tcPr>
          <w:p w14:paraId="69F6ED91"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104CB90"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0021EC3" w14:textId="77777777" w:rsidR="000E2C9D" w:rsidRPr="00756D59" w:rsidRDefault="000E2C9D" w:rsidP="0051060F">
            <w:pPr>
              <w:jc w:val="center"/>
              <w:rPr>
                <w:bCs/>
                <w:sz w:val="20"/>
                <w:szCs w:val="20"/>
                <w:lang w:eastAsia="en-CA"/>
              </w:rPr>
            </w:pPr>
            <w:r w:rsidRPr="00756D59">
              <w:rPr>
                <w:bCs/>
                <w:sz w:val="20"/>
                <w:szCs w:val="20"/>
                <w:lang w:eastAsia="en-CA"/>
              </w:rPr>
              <w:t>83.3</w:t>
            </w:r>
          </w:p>
        </w:tc>
        <w:tc>
          <w:tcPr>
            <w:tcW w:w="4531" w:type="dxa"/>
            <w:tcMar>
              <w:left w:w="58" w:type="dxa"/>
              <w:right w:w="58" w:type="dxa"/>
            </w:tcMar>
          </w:tcPr>
          <w:p w14:paraId="1C631BAC" w14:textId="77777777" w:rsidR="000E2C9D" w:rsidRPr="00756D59" w:rsidRDefault="000E2C9D" w:rsidP="0051060F">
            <w:pPr>
              <w:jc w:val="left"/>
              <w:rPr>
                <w:sz w:val="20"/>
                <w:szCs w:val="20"/>
                <w:lang w:eastAsia="en-CA"/>
              </w:rPr>
            </w:pPr>
            <w:r w:rsidRPr="00756D59">
              <w:rPr>
                <w:sz w:val="20"/>
                <w:szCs w:val="20"/>
                <w:lang w:eastAsia="en-CA"/>
              </w:rPr>
              <w:t>Development of country-specific national HS codes for HFCs; assisting customs office in developing national custom codes for different HFCs and including them into the Customs Tariff; and undertaking training needs assessment for the service sector.</w:t>
            </w:r>
          </w:p>
        </w:tc>
        <w:tc>
          <w:tcPr>
            <w:tcW w:w="1629" w:type="dxa"/>
            <w:shd w:val="clear" w:color="auto" w:fill="auto"/>
            <w:tcMar>
              <w:left w:w="58" w:type="dxa"/>
              <w:right w:w="58" w:type="dxa"/>
            </w:tcMar>
          </w:tcPr>
          <w:p w14:paraId="212960A4"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4D9C4264" w14:textId="77777777" w:rsidTr="0051060F">
        <w:trPr>
          <w:trHeight w:val="337"/>
        </w:trPr>
        <w:tc>
          <w:tcPr>
            <w:tcW w:w="2261" w:type="dxa"/>
            <w:tcMar>
              <w:left w:w="58" w:type="dxa"/>
              <w:right w:w="58" w:type="dxa"/>
            </w:tcMar>
          </w:tcPr>
          <w:p w14:paraId="36912979" w14:textId="77777777" w:rsidR="000E2C9D" w:rsidRPr="00756D59" w:rsidRDefault="000E2C9D" w:rsidP="0051060F">
            <w:pPr>
              <w:jc w:val="left"/>
              <w:rPr>
                <w:sz w:val="20"/>
                <w:szCs w:val="20"/>
                <w:lang w:eastAsia="en-CA"/>
              </w:rPr>
            </w:pPr>
            <w:r w:rsidRPr="00756D59">
              <w:rPr>
                <w:bCs/>
                <w:sz w:val="20"/>
                <w:szCs w:val="20"/>
                <w:lang w:eastAsia="en-CA"/>
              </w:rPr>
              <w:t>Uganda</w:t>
            </w:r>
            <w:r w:rsidRPr="00756D59">
              <w:rPr>
                <w:sz w:val="20"/>
                <w:szCs w:val="20"/>
                <w:lang w:eastAsia="en-CA"/>
              </w:rPr>
              <w:t xml:space="preserve"> </w:t>
            </w:r>
          </w:p>
          <w:p w14:paraId="79F0D87A" w14:textId="77777777" w:rsidR="000E2C9D" w:rsidRPr="00756D59" w:rsidRDefault="000E2C9D" w:rsidP="0051060F">
            <w:pPr>
              <w:jc w:val="left"/>
              <w:rPr>
                <w:bCs/>
                <w:sz w:val="20"/>
                <w:szCs w:val="20"/>
                <w:lang w:eastAsia="en-CA"/>
              </w:rPr>
            </w:pPr>
            <w:r w:rsidRPr="00756D59">
              <w:rPr>
                <w:sz w:val="20"/>
                <w:szCs w:val="20"/>
                <w:lang w:eastAsia="en-CA"/>
              </w:rPr>
              <w:t>UGA/SEV/81/TAS/01+</w:t>
            </w:r>
          </w:p>
        </w:tc>
        <w:tc>
          <w:tcPr>
            <w:tcW w:w="3352" w:type="dxa"/>
            <w:tcMar>
              <w:left w:w="58" w:type="dxa"/>
              <w:right w:w="58" w:type="dxa"/>
            </w:tcMar>
          </w:tcPr>
          <w:p w14:paraId="27ADB22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D97BF42"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19118F3" w14:textId="77777777" w:rsidR="000E2C9D" w:rsidRPr="00756D59" w:rsidRDefault="000E2C9D" w:rsidP="0051060F">
            <w:pPr>
              <w:jc w:val="center"/>
              <w:rPr>
                <w:bCs/>
                <w:sz w:val="20"/>
                <w:szCs w:val="20"/>
                <w:lang w:eastAsia="en-CA"/>
              </w:rPr>
            </w:pPr>
            <w:r w:rsidRPr="00756D59">
              <w:rPr>
                <w:bCs/>
                <w:sz w:val="20"/>
                <w:szCs w:val="20"/>
                <w:lang w:eastAsia="en-CA"/>
              </w:rPr>
              <w:t>50</w:t>
            </w:r>
          </w:p>
        </w:tc>
        <w:tc>
          <w:tcPr>
            <w:tcW w:w="4531" w:type="dxa"/>
            <w:tcMar>
              <w:left w:w="58" w:type="dxa"/>
              <w:right w:w="58" w:type="dxa"/>
            </w:tcMar>
          </w:tcPr>
          <w:p w14:paraId="4676F12D" w14:textId="77777777" w:rsidR="000E2C9D" w:rsidRPr="00756D59" w:rsidRDefault="000E2C9D" w:rsidP="0051060F">
            <w:pPr>
              <w:jc w:val="left"/>
              <w:rPr>
                <w:sz w:val="20"/>
                <w:szCs w:val="20"/>
                <w:lang w:eastAsia="en-CA"/>
              </w:rPr>
            </w:pPr>
            <w:r w:rsidRPr="00756D59">
              <w:rPr>
                <w:sz w:val="20"/>
                <w:szCs w:val="20"/>
                <w:lang w:eastAsia="en-CA"/>
              </w:rPr>
              <w:t>Undertaking the training needs assessment for the servicing sector and preparing an assessment report; and developing country-specific national HS codes for HFCs to facilitate proper monitoring and recording of imports/exports of individual HFCs/alternatives by customs office.</w:t>
            </w:r>
          </w:p>
        </w:tc>
        <w:tc>
          <w:tcPr>
            <w:tcW w:w="1629" w:type="dxa"/>
            <w:shd w:val="clear" w:color="auto" w:fill="auto"/>
            <w:tcMar>
              <w:left w:w="58" w:type="dxa"/>
              <w:right w:w="58" w:type="dxa"/>
            </w:tcMar>
          </w:tcPr>
          <w:p w14:paraId="5C0F2F73"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33F5170B" w14:textId="77777777" w:rsidTr="0051060F">
        <w:trPr>
          <w:trHeight w:val="337"/>
        </w:trPr>
        <w:tc>
          <w:tcPr>
            <w:tcW w:w="2261" w:type="dxa"/>
            <w:tcMar>
              <w:left w:w="58" w:type="dxa"/>
              <w:right w:w="58" w:type="dxa"/>
            </w:tcMar>
          </w:tcPr>
          <w:p w14:paraId="7EABDA94" w14:textId="77777777" w:rsidR="000E2C9D" w:rsidRPr="00756D59" w:rsidRDefault="000E2C9D" w:rsidP="0051060F">
            <w:pPr>
              <w:jc w:val="left"/>
              <w:rPr>
                <w:sz w:val="20"/>
                <w:szCs w:val="20"/>
                <w:lang w:eastAsia="en-CA"/>
              </w:rPr>
            </w:pPr>
            <w:r w:rsidRPr="00756D59">
              <w:rPr>
                <w:bCs/>
                <w:sz w:val="20"/>
                <w:szCs w:val="20"/>
                <w:lang w:eastAsia="en-CA"/>
              </w:rPr>
              <w:t>United Republic of Tanzania (the)</w:t>
            </w:r>
          </w:p>
          <w:p w14:paraId="21ED6152" w14:textId="77777777" w:rsidR="000E2C9D" w:rsidRPr="00756D59" w:rsidRDefault="000E2C9D" w:rsidP="0051060F">
            <w:pPr>
              <w:jc w:val="left"/>
              <w:rPr>
                <w:bCs/>
                <w:sz w:val="20"/>
                <w:szCs w:val="20"/>
                <w:lang w:eastAsia="en-CA"/>
              </w:rPr>
            </w:pPr>
            <w:r w:rsidRPr="00756D59">
              <w:rPr>
                <w:sz w:val="20"/>
                <w:szCs w:val="20"/>
                <w:lang w:eastAsia="en-CA"/>
              </w:rPr>
              <w:t>URT/SEV/81/TAS/01+</w:t>
            </w:r>
          </w:p>
        </w:tc>
        <w:tc>
          <w:tcPr>
            <w:tcW w:w="3352" w:type="dxa"/>
            <w:tcMar>
              <w:left w:w="58" w:type="dxa"/>
              <w:right w:w="58" w:type="dxa"/>
            </w:tcMar>
          </w:tcPr>
          <w:p w14:paraId="2ABB3C84"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C0D507E"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5D5E8FC" w14:textId="77777777" w:rsidR="000E2C9D" w:rsidRPr="00756D59" w:rsidRDefault="000E2C9D" w:rsidP="0051060F">
            <w:pPr>
              <w:jc w:val="center"/>
              <w:rPr>
                <w:bCs/>
                <w:sz w:val="20"/>
                <w:szCs w:val="20"/>
                <w:lang w:eastAsia="en-CA"/>
              </w:rPr>
            </w:pPr>
            <w:r w:rsidRPr="00756D59">
              <w:rPr>
                <w:bCs/>
                <w:sz w:val="20"/>
                <w:szCs w:val="20"/>
                <w:lang w:eastAsia="en-CA"/>
              </w:rPr>
              <w:t>84.2</w:t>
            </w:r>
          </w:p>
        </w:tc>
        <w:tc>
          <w:tcPr>
            <w:tcW w:w="4531" w:type="dxa"/>
            <w:tcMar>
              <w:left w:w="58" w:type="dxa"/>
              <w:right w:w="58" w:type="dxa"/>
            </w:tcMar>
          </w:tcPr>
          <w:p w14:paraId="0A57E517" w14:textId="77777777" w:rsidR="000E2C9D" w:rsidRPr="00756D59" w:rsidRDefault="000E2C9D" w:rsidP="0051060F">
            <w:pPr>
              <w:jc w:val="left"/>
              <w:rPr>
                <w:sz w:val="20"/>
                <w:szCs w:val="20"/>
                <w:lang w:eastAsia="en-CA"/>
              </w:rPr>
            </w:pPr>
            <w:r w:rsidRPr="00756D59">
              <w:rPr>
                <w:sz w:val="20"/>
                <w:szCs w:val="20"/>
                <w:lang w:eastAsia="en-CA"/>
              </w:rPr>
              <w:t>Conducting stakeholder consultative meetings on the ratification of the Kigali Amendment; undertaking the training needs assessment for the servicing sector and preparing an assessment report; and revising and updating the existing National Ozone</w:t>
            </w:r>
            <w:r w:rsidRPr="00756D59">
              <w:rPr>
                <w:sz w:val="20"/>
                <w:szCs w:val="20"/>
                <w:lang w:eastAsia="en-CA"/>
              </w:rPr>
              <w:noBreakHyphen/>
              <w:t xml:space="preserve">Depleting Substances legislation and drafting the ODS alternative regulation. </w:t>
            </w:r>
          </w:p>
        </w:tc>
        <w:tc>
          <w:tcPr>
            <w:tcW w:w="1629" w:type="dxa"/>
            <w:shd w:val="clear" w:color="auto" w:fill="auto"/>
            <w:tcMar>
              <w:left w:w="58" w:type="dxa"/>
              <w:right w:w="58" w:type="dxa"/>
            </w:tcMar>
          </w:tcPr>
          <w:p w14:paraId="68FC5927" w14:textId="77777777" w:rsidR="000E2C9D" w:rsidRPr="00756D59" w:rsidRDefault="000E2C9D" w:rsidP="0051060F">
            <w:pPr>
              <w:jc w:val="center"/>
              <w:rPr>
                <w:bCs/>
                <w:sz w:val="20"/>
                <w:szCs w:val="20"/>
                <w:lang w:eastAsia="en-CA"/>
              </w:rPr>
            </w:pPr>
            <w:r w:rsidRPr="00756D59">
              <w:rPr>
                <w:bCs/>
                <w:sz w:val="20"/>
                <w:szCs w:val="20"/>
                <w:lang w:eastAsia="en-CA"/>
              </w:rPr>
              <w:t>Jun-22</w:t>
            </w:r>
          </w:p>
        </w:tc>
      </w:tr>
      <w:tr w:rsidR="000E2C9D" w:rsidRPr="00756D59" w14:paraId="71A9A427" w14:textId="77777777" w:rsidTr="0051060F">
        <w:trPr>
          <w:trHeight w:val="337"/>
        </w:trPr>
        <w:tc>
          <w:tcPr>
            <w:tcW w:w="2261" w:type="dxa"/>
            <w:tcMar>
              <w:left w:w="58" w:type="dxa"/>
              <w:right w:w="58" w:type="dxa"/>
            </w:tcMar>
          </w:tcPr>
          <w:p w14:paraId="5C81CDB9" w14:textId="77777777" w:rsidR="000E2C9D" w:rsidRPr="00756D59" w:rsidRDefault="000E2C9D" w:rsidP="0051060F">
            <w:pPr>
              <w:jc w:val="left"/>
              <w:rPr>
                <w:sz w:val="20"/>
                <w:szCs w:val="20"/>
                <w:lang w:eastAsia="en-CA"/>
              </w:rPr>
            </w:pPr>
            <w:r w:rsidRPr="00756D59">
              <w:rPr>
                <w:bCs/>
                <w:sz w:val="20"/>
                <w:szCs w:val="20"/>
                <w:lang w:eastAsia="en-CA"/>
              </w:rPr>
              <w:lastRenderedPageBreak/>
              <w:t>Zambia</w:t>
            </w:r>
            <w:r w:rsidRPr="00756D59">
              <w:rPr>
                <w:sz w:val="20"/>
                <w:szCs w:val="20"/>
                <w:lang w:eastAsia="en-CA"/>
              </w:rPr>
              <w:t xml:space="preserve"> </w:t>
            </w:r>
          </w:p>
          <w:p w14:paraId="7ABE0C0B" w14:textId="77777777" w:rsidR="000E2C9D" w:rsidRPr="00756D59" w:rsidRDefault="000E2C9D" w:rsidP="0051060F">
            <w:pPr>
              <w:jc w:val="left"/>
              <w:rPr>
                <w:bCs/>
                <w:sz w:val="20"/>
                <w:szCs w:val="20"/>
                <w:lang w:eastAsia="en-CA"/>
              </w:rPr>
            </w:pPr>
            <w:r w:rsidRPr="00756D59">
              <w:rPr>
                <w:sz w:val="20"/>
                <w:szCs w:val="20"/>
                <w:lang w:eastAsia="en-CA"/>
              </w:rPr>
              <w:t>ZAM/SEV/80/TAS/01+</w:t>
            </w:r>
          </w:p>
        </w:tc>
        <w:tc>
          <w:tcPr>
            <w:tcW w:w="3352" w:type="dxa"/>
            <w:tcMar>
              <w:left w:w="58" w:type="dxa"/>
              <w:right w:w="58" w:type="dxa"/>
            </w:tcMar>
          </w:tcPr>
          <w:p w14:paraId="67E0FA07"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CE4DE72"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3369794" w14:textId="77777777" w:rsidR="000E2C9D" w:rsidRPr="00756D59" w:rsidRDefault="000E2C9D" w:rsidP="0051060F">
            <w:pPr>
              <w:jc w:val="center"/>
              <w:rPr>
                <w:bCs/>
                <w:sz w:val="20"/>
                <w:szCs w:val="20"/>
                <w:lang w:eastAsia="en-CA"/>
              </w:rPr>
            </w:pPr>
            <w:r w:rsidRPr="00756D59">
              <w:rPr>
                <w:bCs/>
                <w:sz w:val="20"/>
                <w:szCs w:val="20"/>
                <w:lang w:eastAsia="en-CA"/>
              </w:rPr>
              <w:t>89.5</w:t>
            </w:r>
          </w:p>
        </w:tc>
        <w:tc>
          <w:tcPr>
            <w:tcW w:w="4531" w:type="dxa"/>
            <w:tcMar>
              <w:left w:w="58" w:type="dxa"/>
              <w:right w:w="58" w:type="dxa"/>
            </w:tcMar>
          </w:tcPr>
          <w:p w14:paraId="5061CC46" w14:textId="77777777" w:rsidR="000E2C9D" w:rsidRPr="00756D59" w:rsidRDefault="000E2C9D" w:rsidP="0051060F">
            <w:pPr>
              <w:jc w:val="left"/>
              <w:rPr>
                <w:sz w:val="20"/>
                <w:szCs w:val="20"/>
                <w:lang w:eastAsia="en-CA"/>
              </w:rPr>
            </w:pPr>
            <w:r w:rsidRPr="00756D59">
              <w:rPr>
                <w:sz w:val="20"/>
                <w:szCs w:val="20"/>
                <w:lang w:eastAsia="en-CA"/>
              </w:rPr>
              <w:t>Consumer awareness activities on the adoption of energy efficiency technologies; and information sharing workshops for customs and environmental officers.</w:t>
            </w:r>
          </w:p>
        </w:tc>
        <w:tc>
          <w:tcPr>
            <w:tcW w:w="1629" w:type="dxa"/>
            <w:shd w:val="clear" w:color="auto" w:fill="auto"/>
            <w:tcMar>
              <w:left w:w="58" w:type="dxa"/>
              <w:right w:w="58" w:type="dxa"/>
            </w:tcMar>
          </w:tcPr>
          <w:p w14:paraId="52E68C85" w14:textId="77777777" w:rsidR="000E2C9D" w:rsidRPr="00756D59" w:rsidRDefault="000E2C9D" w:rsidP="0051060F">
            <w:pPr>
              <w:jc w:val="center"/>
              <w:rPr>
                <w:bCs/>
                <w:sz w:val="20"/>
                <w:szCs w:val="20"/>
                <w:lang w:eastAsia="en-CA"/>
              </w:rPr>
            </w:pPr>
            <w:r w:rsidRPr="00756D59">
              <w:rPr>
                <w:bCs/>
                <w:sz w:val="20"/>
                <w:szCs w:val="20"/>
                <w:lang w:eastAsia="en-CA"/>
              </w:rPr>
              <w:t>Dec-21</w:t>
            </w:r>
          </w:p>
        </w:tc>
      </w:tr>
      <w:tr w:rsidR="000E2C9D" w:rsidRPr="00756D59" w14:paraId="134F8294" w14:textId="77777777" w:rsidTr="0051060F">
        <w:trPr>
          <w:trHeight w:val="337"/>
        </w:trPr>
        <w:tc>
          <w:tcPr>
            <w:tcW w:w="2261" w:type="dxa"/>
            <w:tcMar>
              <w:left w:w="58" w:type="dxa"/>
              <w:right w:w="58" w:type="dxa"/>
            </w:tcMar>
          </w:tcPr>
          <w:p w14:paraId="140B6435" w14:textId="77777777" w:rsidR="000E2C9D" w:rsidRPr="00756D59" w:rsidRDefault="000E2C9D" w:rsidP="0051060F">
            <w:pPr>
              <w:jc w:val="left"/>
              <w:rPr>
                <w:b/>
              </w:rPr>
            </w:pPr>
            <w:r w:rsidRPr="00756D59">
              <w:rPr>
                <w:b/>
              </w:rPr>
              <w:t>UNIDO</w:t>
            </w:r>
          </w:p>
        </w:tc>
        <w:tc>
          <w:tcPr>
            <w:tcW w:w="3352" w:type="dxa"/>
            <w:tcMar>
              <w:left w:w="58" w:type="dxa"/>
              <w:right w:w="58" w:type="dxa"/>
            </w:tcMar>
          </w:tcPr>
          <w:p w14:paraId="140FF86F" w14:textId="77777777" w:rsidR="000E2C9D" w:rsidRPr="00756D59" w:rsidRDefault="000E2C9D" w:rsidP="0051060F">
            <w:pPr>
              <w:jc w:val="left"/>
              <w:rPr>
                <w:sz w:val="20"/>
                <w:szCs w:val="20"/>
                <w:lang w:eastAsia="en-CA"/>
              </w:rPr>
            </w:pPr>
          </w:p>
        </w:tc>
        <w:tc>
          <w:tcPr>
            <w:tcW w:w="1236" w:type="dxa"/>
            <w:tcMar>
              <w:left w:w="58" w:type="dxa"/>
              <w:right w:w="58" w:type="dxa"/>
            </w:tcMar>
          </w:tcPr>
          <w:p w14:paraId="43BA701F" w14:textId="77777777" w:rsidR="000E2C9D" w:rsidRPr="00756D59" w:rsidRDefault="000E2C9D" w:rsidP="0051060F">
            <w:pPr>
              <w:jc w:val="center"/>
              <w:rPr>
                <w:sz w:val="20"/>
                <w:szCs w:val="20"/>
                <w:lang w:eastAsia="en-CA"/>
              </w:rPr>
            </w:pPr>
          </w:p>
        </w:tc>
        <w:tc>
          <w:tcPr>
            <w:tcW w:w="1305" w:type="dxa"/>
            <w:shd w:val="clear" w:color="auto" w:fill="auto"/>
            <w:tcMar>
              <w:left w:w="58" w:type="dxa"/>
              <w:right w:w="58" w:type="dxa"/>
            </w:tcMar>
          </w:tcPr>
          <w:p w14:paraId="626C3F22" w14:textId="77777777" w:rsidR="000E2C9D" w:rsidRPr="00756D59" w:rsidRDefault="000E2C9D" w:rsidP="0051060F">
            <w:pPr>
              <w:jc w:val="center"/>
              <w:rPr>
                <w:bCs/>
                <w:sz w:val="20"/>
                <w:szCs w:val="20"/>
                <w:lang w:eastAsia="en-CA"/>
              </w:rPr>
            </w:pPr>
          </w:p>
        </w:tc>
        <w:tc>
          <w:tcPr>
            <w:tcW w:w="4531" w:type="dxa"/>
            <w:tcMar>
              <w:left w:w="58" w:type="dxa"/>
              <w:right w:w="58" w:type="dxa"/>
            </w:tcMar>
          </w:tcPr>
          <w:p w14:paraId="6DBEEE70" w14:textId="77777777" w:rsidR="000E2C9D" w:rsidRPr="00756D59" w:rsidRDefault="000E2C9D" w:rsidP="0051060F">
            <w:pPr>
              <w:jc w:val="left"/>
              <w:rPr>
                <w:sz w:val="20"/>
                <w:szCs w:val="20"/>
                <w:lang w:eastAsia="en-CA"/>
              </w:rPr>
            </w:pPr>
          </w:p>
        </w:tc>
        <w:tc>
          <w:tcPr>
            <w:tcW w:w="1629" w:type="dxa"/>
            <w:shd w:val="clear" w:color="auto" w:fill="auto"/>
            <w:tcMar>
              <w:left w:w="58" w:type="dxa"/>
              <w:right w:w="58" w:type="dxa"/>
            </w:tcMar>
          </w:tcPr>
          <w:p w14:paraId="50CE3EE4" w14:textId="77777777" w:rsidR="000E2C9D" w:rsidRPr="00756D59" w:rsidRDefault="000E2C9D" w:rsidP="0051060F">
            <w:pPr>
              <w:jc w:val="center"/>
              <w:rPr>
                <w:bCs/>
                <w:sz w:val="20"/>
                <w:szCs w:val="20"/>
                <w:lang w:eastAsia="en-CA"/>
              </w:rPr>
            </w:pPr>
          </w:p>
        </w:tc>
      </w:tr>
      <w:tr w:rsidR="000E2C9D" w:rsidRPr="00756D59" w14:paraId="225A6A15" w14:textId="77777777" w:rsidTr="0051060F">
        <w:trPr>
          <w:trHeight w:val="337"/>
        </w:trPr>
        <w:tc>
          <w:tcPr>
            <w:tcW w:w="2261" w:type="dxa"/>
            <w:tcMar>
              <w:left w:w="58" w:type="dxa"/>
              <w:right w:w="58" w:type="dxa"/>
            </w:tcMar>
          </w:tcPr>
          <w:p w14:paraId="6C5121C2" w14:textId="77777777" w:rsidR="000E2C9D" w:rsidRPr="00756D59" w:rsidRDefault="000E2C9D" w:rsidP="0051060F">
            <w:pPr>
              <w:jc w:val="left"/>
              <w:rPr>
                <w:sz w:val="20"/>
                <w:szCs w:val="20"/>
                <w:lang w:eastAsia="en-CA"/>
              </w:rPr>
            </w:pPr>
            <w:r w:rsidRPr="00756D59">
              <w:rPr>
                <w:sz w:val="20"/>
                <w:szCs w:val="20"/>
                <w:lang w:eastAsia="en-CA"/>
              </w:rPr>
              <w:t>Argentina</w:t>
            </w:r>
          </w:p>
          <w:p w14:paraId="7F88FFF1" w14:textId="77777777" w:rsidR="000E2C9D" w:rsidRPr="00756D59" w:rsidRDefault="000E2C9D" w:rsidP="0051060F">
            <w:pPr>
              <w:jc w:val="left"/>
              <w:rPr>
                <w:bCs/>
                <w:sz w:val="20"/>
                <w:szCs w:val="20"/>
                <w:lang w:eastAsia="en-CA"/>
              </w:rPr>
            </w:pPr>
            <w:r w:rsidRPr="00756D59">
              <w:rPr>
                <w:sz w:val="20"/>
                <w:szCs w:val="20"/>
                <w:lang w:eastAsia="en-CA"/>
              </w:rPr>
              <w:t>ARG/SEV/81/TAS/02+</w:t>
            </w:r>
          </w:p>
        </w:tc>
        <w:tc>
          <w:tcPr>
            <w:tcW w:w="3352" w:type="dxa"/>
            <w:tcMar>
              <w:left w:w="58" w:type="dxa"/>
              <w:right w:w="58" w:type="dxa"/>
            </w:tcMar>
          </w:tcPr>
          <w:p w14:paraId="45CFB31E"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C175566"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633F92E" w14:textId="77777777" w:rsidR="000E2C9D" w:rsidRPr="00756D59" w:rsidRDefault="000E2C9D" w:rsidP="0051060F">
            <w:pPr>
              <w:jc w:val="center"/>
              <w:rPr>
                <w:bCs/>
                <w:sz w:val="20"/>
                <w:szCs w:val="20"/>
                <w:lang w:eastAsia="en-CA"/>
              </w:rPr>
            </w:pPr>
            <w:r w:rsidRPr="00756D59">
              <w:rPr>
                <w:sz w:val="20"/>
                <w:szCs w:val="20"/>
                <w:lang w:eastAsia="en-CA"/>
              </w:rPr>
              <w:t>43.2</w:t>
            </w:r>
          </w:p>
        </w:tc>
        <w:tc>
          <w:tcPr>
            <w:tcW w:w="4531" w:type="dxa"/>
            <w:tcMar>
              <w:left w:w="58" w:type="dxa"/>
              <w:right w:w="58" w:type="dxa"/>
            </w:tcMar>
          </w:tcPr>
          <w:p w14:paraId="02EB2C5C" w14:textId="77777777" w:rsidR="000E2C9D" w:rsidRPr="00756D59" w:rsidRDefault="000E2C9D" w:rsidP="0051060F">
            <w:pPr>
              <w:jc w:val="left"/>
              <w:rPr>
                <w:sz w:val="20"/>
                <w:szCs w:val="20"/>
                <w:lang w:eastAsia="en-CA"/>
              </w:rPr>
            </w:pPr>
            <w:r w:rsidRPr="00756D59">
              <w:rPr>
                <w:sz w:val="20"/>
                <w:szCs w:val="20"/>
                <w:lang w:eastAsia="en-CA"/>
              </w:rPr>
              <w:t>Finalization of key strategy documents, including the ‘</w:t>
            </w:r>
            <w:r w:rsidRPr="00756D59">
              <w:rPr>
                <w:i/>
                <w:iCs/>
                <w:sz w:val="20"/>
                <w:szCs w:val="20"/>
                <w:lang w:eastAsia="en-CA"/>
              </w:rPr>
              <w:t>Assessment on national existing capacities on HFC control and linkages identified with climate change programmes</w:t>
            </w:r>
            <w:r w:rsidRPr="00756D59">
              <w:rPr>
                <w:sz w:val="20"/>
                <w:szCs w:val="20"/>
                <w:lang w:eastAsia="en-CA"/>
              </w:rPr>
              <w:t>', '</w:t>
            </w:r>
            <w:r w:rsidRPr="00756D59">
              <w:rPr>
                <w:i/>
                <w:iCs/>
                <w:sz w:val="20"/>
                <w:szCs w:val="20"/>
                <w:lang w:eastAsia="en-CA"/>
              </w:rPr>
              <w:t>Map of national legal and regulatory instruments on HFC control</w:t>
            </w:r>
            <w:r w:rsidRPr="00756D59">
              <w:rPr>
                <w:sz w:val="20"/>
                <w:szCs w:val="20"/>
                <w:lang w:eastAsia="en-CA"/>
              </w:rPr>
              <w:t>' and the '</w:t>
            </w:r>
            <w:r w:rsidRPr="00756D59">
              <w:rPr>
                <w:i/>
                <w:iCs/>
                <w:sz w:val="20"/>
                <w:szCs w:val="20"/>
                <w:lang w:eastAsia="en-CA"/>
              </w:rPr>
              <w:t>Training programme for customs and environment officers</w:t>
            </w:r>
            <w:r w:rsidRPr="00756D59">
              <w:rPr>
                <w:sz w:val="20"/>
                <w:szCs w:val="20"/>
                <w:lang w:eastAsia="en-CA"/>
              </w:rPr>
              <w:t>’; dissemination of relevant guidelines and reports to key stakeholders; and the completion of remaining awareness raising activities keeping in view COVID</w:t>
            </w:r>
            <w:r w:rsidRPr="00756D59">
              <w:rPr>
                <w:sz w:val="20"/>
                <w:szCs w:val="20"/>
                <w:lang w:eastAsia="en-CA"/>
              </w:rPr>
              <w:noBreakHyphen/>
              <w:t>19 constraints.</w:t>
            </w:r>
          </w:p>
        </w:tc>
        <w:tc>
          <w:tcPr>
            <w:tcW w:w="1629" w:type="dxa"/>
            <w:shd w:val="clear" w:color="auto" w:fill="auto"/>
            <w:tcMar>
              <w:left w:w="58" w:type="dxa"/>
              <w:right w:w="58" w:type="dxa"/>
            </w:tcMar>
          </w:tcPr>
          <w:p w14:paraId="13118650" w14:textId="77777777" w:rsidR="000E2C9D" w:rsidRPr="00756D59" w:rsidRDefault="000E2C9D" w:rsidP="0051060F">
            <w:pPr>
              <w:jc w:val="center"/>
              <w:rPr>
                <w:bCs/>
                <w:sz w:val="20"/>
                <w:szCs w:val="20"/>
                <w:lang w:eastAsia="en-CA"/>
              </w:rPr>
            </w:pPr>
            <w:r w:rsidRPr="00756D59">
              <w:rPr>
                <w:sz w:val="20"/>
                <w:szCs w:val="20"/>
                <w:lang w:eastAsia="en-CA"/>
              </w:rPr>
              <w:t>Jun-22</w:t>
            </w:r>
          </w:p>
        </w:tc>
      </w:tr>
      <w:tr w:rsidR="000E2C9D" w:rsidRPr="00756D59" w14:paraId="1CA5144C" w14:textId="77777777" w:rsidTr="0051060F">
        <w:trPr>
          <w:trHeight w:val="337"/>
        </w:trPr>
        <w:tc>
          <w:tcPr>
            <w:tcW w:w="2261" w:type="dxa"/>
            <w:tcMar>
              <w:left w:w="58" w:type="dxa"/>
              <w:right w:w="58" w:type="dxa"/>
            </w:tcMar>
          </w:tcPr>
          <w:p w14:paraId="01A468E5" w14:textId="77777777" w:rsidR="000E2C9D" w:rsidRPr="00756D59" w:rsidRDefault="000E2C9D" w:rsidP="0051060F">
            <w:pPr>
              <w:jc w:val="left"/>
              <w:rPr>
                <w:sz w:val="20"/>
                <w:szCs w:val="20"/>
                <w:lang w:eastAsia="en-CA"/>
              </w:rPr>
            </w:pPr>
            <w:r w:rsidRPr="00756D59">
              <w:rPr>
                <w:sz w:val="20"/>
                <w:szCs w:val="20"/>
                <w:lang w:eastAsia="en-CA"/>
              </w:rPr>
              <w:t>Argentina</w:t>
            </w:r>
          </w:p>
          <w:p w14:paraId="1B58D4B0" w14:textId="77777777" w:rsidR="000E2C9D" w:rsidRPr="00756D59" w:rsidRDefault="000E2C9D" w:rsidP="0051060F">
            <w:pPr>
              <w:jc w:val="left"/>
              <w:rPr>
                <w:bCs/>
                <w:sz w:val="20"/>
                <w:szCs w:val="20"/>
                <w:lang w:eastAsia="en-CA"/>
              </w:rPr>
            </w:pPr>
            <w:r w:rsidRPr="00756D59">
              <w:rPr>
                <w:sz w:val="20"/>
                <w:szCs w:val="20"/>
                <w:lang w:eastAsia="en-CA"/>
              </w:rPr>
              <w:t>ARG/REF/81/INV/01+</w:t>
            </w:r>
          </w:p>
        </w:tc>
        <w:tc>
          <w:tcPr>
            <w:tcW w:w="3352" w:type="dxa"/>
            <w:tcMar>
              <w:left w:w="58" w:type="dxa"/>
              <w:right w:w="58" w:type="dxa"/>
            </w:tcMar>
          </w:tcPr>
          <w:p w14:paraId="39E41FF5" w14:textId="77777777" w:rsidR="000E2C9D" w:rsidRPr="00756D59" w:rsidRDefault="000E2C9D" w:rsidP="0051060F">
            <w:pPr>
              <w:jc w:val="left"/>
              <w:rPr>
                <w:sz w:val="20"/>
                <w:szCs w:val="20"/>
                <w:lang w:eastAsia="en-CA"/>
              </w:rPr>
            </w:pPr>
            <w:r w:rsidRPr="00756D59">
              <w:rPr>
                <w:sz w:val="20"/>
                <w:szCs w:val="20"/>
                <w:lang w:eastAsia="en-CA"/>
              </w:rPr>
              <w:t>Conversion project for replacement of HFC-134a with isobutane (R</w:t>
            </w:r>
            <w:r w:rsidRPr="00756D59">
              <w:rPr>
                <w:sz w:val="20"/>
                <w:szCs w:val="20"/>
                <w:lang w:eastAsia="en-CA"/>
              </w:rPr>
              <w:noBreakHyphen/>
              <w:t>600a)/propane (R</w:t>
            </w:r>
            <w:r w:rsidRPr="00756D59">
              <w:rPr>
                <w:sz w:val="20"/>
                <w:szCs w:val="20"/>
                <w:lang w:eastAsia="en-CA"/>
              </w:rPr>
              <w:noBreakHyphen/>
              <w:t xml:space="preserve">290)-based refrigerant in the manufacture of domestic and commercial refrigeration equipment  at </w:t>
            </w:r>
            <w:proofErr w:type="spellStart"/>
            <w:r w:rsidRPr="00756D59">
              <w:rPr>
                <w:sz w:val="20"/>
                <w:szCs w:val="20"/>
                <w:lang w:eastAsia="en-CA"/>
              </w:rPr>
              <w:t>Briket</w:t>
            </w:r>
            <w:proofErr w:type="spellEnd"/>
            <w:r w:rsidRPr="00756D59">
              <w:rPr>
                <w:sz w:val="20"/>
                <w:szCs w:val="20"/>
                <w:lang w:eastAsia="en-CA"/>
              </w:rPr>
              <w:t xml:space="preserve">, Bambi and </w:t>
            </w:r>
            <w:proofErr w:type="spellStart"/>
            <w:r w:rsidRPr="00756D59">
              <w:rPr>
                <w:sz w:val="20"/>
                <w:szCs w:val="20"/>
                <w:lang w:eastAsia="en-CA"/>
              </w:rPr>
              <w:t>Mabe-Kronen</w:t>
            </w:r>
            <w:proofErr w:type="spellEnd"/>
          </w:p>
        </w:tc>
        <w:tc>
          <w:tcPr>
            <w:tcW w:w="1236" w:type="dxa"/>
            <w:tcMar>
              <w:left w:w="58" w:type="dxa"/>
              <w:right w:w="58" w:type="dxa"/>
            </w:tcMar>
          </w:tcPr>
          <w:p w14:paraId="7FAACBEF"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65E94BF" w14:textId="77777777" w:rsidR="000E2C9D" w:rsidRPr="00756D59" w:rsidRDefault="000E2C9D" w:rsidP="0051060F">
            <w:pPr>
              <w:jc w:val="center"/>
              <w:rPr>
                <w:bCs/>
                <w:sz w:val="20"/>
                <w:szCs w:val="20"/>
                <w:lang w:eastAsia="en-CA"/>
              </w:rPr>
            </w:pPr>
            <w:r w:rsidRPr="00756D59">
              <w:rPr>
                <w:sz w:val="20"/>
                <w:szCs w:val="20"/>
                <w:lang w:eastAsia="en-CA"/>
              </w:rPr>
              <w:t>58.2</w:t>
            </w:r>
          </w:p>
        </w:tc>
        <w:tc>
          <w:tcPr>
            <w:tcW w:w="4531" w:type="dxa"/>
            <w:tcMar>
              <w:left w:w="58" w:type="dxa"/>
              <w:right w:w="58" w:type="dxa"/>
            </w:tcMar>
          </w:tcPr>
          <w:p w14:paraId="057D4639" w14:textId="77777777" w:rsidR="000E2C9D" w:rsidRPr="00756D59" w:rsidRDefault="000E2C9D" w:rsidP="0051060F">
            <w:pPr>
              <w:jc w:val="left"/>
              <w:rPr>
                <w:sz w:val="20"/>
                <w:szCs w:val="20"/>
                <w:lang w:eastAsia="en-CA"/>
              </w:rPr>
            </w:pPr>
            <w:r w:rsidRPr="00756D59">
              <w:rPr>
                <w:sz w:val="20"/>
                <w:szCs w:val="20"/>
                <w:lang w:eastAsia="en-CA"/>
              </w:rPr>
              <w:t>Installation, commissioning including safety verification; and training at the three enterprises.</w:t>
            </w:r>
          </w:p>
        </w:tc>
        <w:tc>
          <w:tcPr>
            <w:tcW w:w="1629" w:type="dxa"/>
            <w:shd w:val="clear" w:color="auto" w:fill="auto"/>
            <w:tcMar>
              <w:left w:w="58" w:type="dxa"/>
              <w:right w:w="58" w:type="dxa"/>
            </w:tcMar>
          </w:tcPr>
          <w:p w14:paraId="31FB9C39" w14:textId="77777777" w:rsidR="000E2C9D" w:rsidRPr="00756D59" w:rsidRDefault="000E2C9D" w:rsidP="0051060F">
            <w:pPr>
              <w:jc w:val="center"/>
              <w:rPr>
                <w:bCs/>
                <w:sz w:val="20"/>
                <w:szCs w:val="20"/>
                <w:lang w:eastAsia="en-CA"/>
              </w:rPr>
            </w:pPr>
            <w:r w:rsidRPr="00756D59">
              <w:rPr>
                <w:sz w:val="20"/>
                <w:szCs w:val="20"/>
                <w:lang w:eastAsia="en-CA"/>
              </w:rPr>
              <w:t>Jan-22</w:t>
            </w:r>
          </w:p>
        </w:tc>
      </w:tr>
      <w:tr w:rsidR="000E2C9D" w:rsidRPr="00756D59" w14:paraId="2EA12E5D" w14:textId="77777777" w:rsidTr="0051060F">
        <w:trPr>
          <w:trHeight w:val="337"/>
        </w:trPr>
        <w:tc>
          <w:tcPr>
            <w:tcW w:w="2261" w:type="dxa"/>
            <w:tcMar>
              <w:left w:w="58" w:type="dxa"/>
              <w:right w:w="58" w:type="dxa"/>
            </w:tcMar>
          </w:tcPr>
          <w:p w14:paraId="04085612" w14:textId="77777777" w:rsidR="000E2C9D" w:rsidRPr="00756D59" w:rsidRDefault="000E2C9D" w:rsidP="0051060F">
            <w:pPr>
              <w:jc w:val="left"/>
              <w:rPr>
                <w:sz w:val="20"/>
                <w:szCs w:val="20"/>
                <w:lang w:eastAsia="en-CA"/>
              </w:rPr>
            </w:pPr>
            <w:r w:rsidRPr="00756D59">
              <w:rPr>
                <w:sz w:val="20"/>
                <w:szCs w:val="20"/>
                <w:lang w:eastAsia="en-CA"/>
              </w:rPr>
              <w:t>Chile</w:t>
            </w:r>
          </w:p>
          <w:p w14:paraId="4EDA9554" w14:textId="77777777" w:rsidR="000E2C9D" w:rsidRPr="00756D59" w:rsidRDefault="000E2C9D" w:rsidP="0051060F">
            <w:pPr>
              <w:jc w:val="left"/>
              <w:rPr>
                <w:bCs/>
                <w:sz w:val="20"/>
                <w:szCs w:val="20"/>
                <w:lang w:eastAsia="en-CA"/>
              </w:rPr>
            </w:pPr>
            <w:r w:rsidRPr="00756D59">
              <w:rPr>
                <w:sz w:val="20"/>
                <w:szCs w:val="20"/>
                <w:lang w:eastAsia="en-CA"/>
              </w:rPr>
              <w:t>CHI/SEV/80/TAS/02+</w:t>
            </w:r>
          </w:p>
        </w:tc>
        <w:tc>
          <w:tcPr>
            <w:tcW w:w="3352" w:type="dxa"/>
            <w:tcMar>
              <w:left w:w="58" w:type="dxa"/>
              <w:right w:w="58" w:type="dxa"/>
            </w:tcMar>
          </w:tcPr>
          <w:p w14:paraId="329F9879"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FA93572"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097427F1" w14:textId="77777777" w:rsidR="000E2C9D" w:rsidRPr="00756D59" w:rsidRDefault="000E2C9D" w:rsidP="0051060F">
            <w:pPr>
              <w:jc w:val="center"/>
              <w:rPr>
                <w:bCs/>
                <w:sz w:val="20"/>
                <w:szCs w:val="20"/>
                <w:lang w:eastAsia="en-CA"/>
              </w:rPr>
            </w:pPr>
            <w:r w:rsidRPr="00756D59">
              <w:rPr>
                <w:sz w:val="20"/>
                <w:szCs w:val="20"/>
                <w:lang w:eastAsia="en-CA"/>
              </w:rPr>
              <w:t>25</w:t>
            </w:r>
          </w:p>
        </w:tc>
        <w:tc>
          <w:tcPr>
            <w:tcW w:w="4531" w:type="dxa"/>
            <w:tcMar>
              <w:left w:w="58" w:type="dxa"/>
              <w:right w:w="58" w:type="dxa"/>
            </w:tcMar>
          </w:tcPr>
          <w:p w14:paraId="482CEDA4" w14:textId="77777777" w:rsidR="000E2C9D" w:rsidRPr="00756D59" w:rsidRDefault="000E2C9D" w:rsidP="0051060F">
            <w:pPr>
              <w:jc w:val="left"/>
              <w:rPr>
                <w:sz w:val="20"/>
                <w:szCs w:val="20"/>
                <w:lang w:eastAsia="en-CA"/>
              </w:rPr>
            </w:pPr>
            <w:r w:rsidRPr="00756D59">
              <w:rPr>
                <w:sz w:val="20"/>
                <w:szCs w:val="20"/>
                <w:lang w:eastAsia="en-CA"/>
              </w:rPr>
              <w:t>Training for the NOU and relevant sectorial stakeholders on HFC policies, energy efficiency aspects for RAC equipment, safety in the handling of flammable alternatives and personnel certification scheme for handling flammable refrigerants.</w:t>
            </w:r>
          </w:p>
        </w:tc>
        <w:tc>
          <w:tcPr>
            <w:tcW w:w="1629" w:type="dxa"/>
            <w:shd w:val="clear" w:color="auto" w:fill="auto"/>
            <w:tcMar>
              <w:left w:w="58" w:type="dxa"/>
              <w:right w:w="58" w:type="dxa"/>
            </w:tcMar>
          </w:tcPr>
          <w:p w14:paraId="7EA5830B" w14:textId="77777777" w:rsidR="000E2C9D" w:rsidRPr="00756D59" w:rsidRDefault="000E2C9D" w:rsidP="0051060F">
            <w:pPr>
              <w:jc w:val="center"/>
              <w:rPr>
                <w:bCs/>
                <w:sz w:val="20"/>
                <w:szCs w:val="20"/>
                <w:lang w:eastAsia="en-CA"/>
              </w:rPr>
            </w:pPr>
            <w:r w:rsidRPr="00756D59">
              <w:rPr>
                <w:sz w:val="20"/>
                <w:szCs w:val="20"/>
                <w:lang w:eastAsia="en-CA"/>
              </w:rPr>
              <w:t>Dec-21</w:t>
            </w:r>
          </w:p>
        </w:tc>
      </w:tr>
      <w:tr w:rsidR="000E2C9D" w:rsidRPr="00756D59" w14:paraId="28E544C0" w14:textId="77777777" w:rsidTr="0051060F">
        <w:trPr>
          <w:trHeight w:val="337"/>
        </w:trPr>
        <w:tc>
          <w:tcPr>
            <w:tcW w:w="2261" w:type="dxa"/>
            <w:tcMar>
              <w:left w:w="58" w:type="dxa"/>
              <w:right w:w="58" w:type="dxa"/>
            </w:tcMar>
          </w:tcPr>
          <w:p w14:paraId="787C78E1" w14:textId="77777777" w:rsidR="000E2C9D" w:rsidRPr="00756D59" w:rsidRDefault="000E2C9D" w:rsidP="0051060F">
            <w:pPr>
              <w:jc w:val="left"/>
              <w:rPr>
                <w:color w:val="000000"/>
                <w:sz w:val="20"/>
                <w:szCs w:val="20"/>
                <w:lang w:eastAsia="en-CA"/>
              </w:rPr>
            </w:pPr>
            <w:r w:rsidRPr="00756D59">
              <w:rPr>
                <w:color w:val="000000"/>
                <w:sz w:val="20"/>
                <w:szCs w:val="20"/>
                <w:lang w:eastAsia="en-CA"/>
              </w:rPr>
              <w:t>Congo (the)</w:t>
            </w:r>
          </w:p>
          <w:p w14:paraId="5A363A6F" w14:textId="77777777" w:rsidR="000E2C9D" w:rsidRPr="00756D59" w:rsidRDefault="000E2C9D" w:rsidP="0051060F">
            <w:pPr>
              <w:jc w:val="left"/>
              <w:rPr>
                <w:bCs/>
                <w:sz w:val="20"/>
                <w:szCs w:val="20"/>
                <w:lang w:eastAsia="en-CA"/>
              </w:rPr>
            </w:pPr>
            <w:r w:rsidRPr="00756D59">
              <w:rPr>
                <w:color w:val="000000"/>
                <w:sz w:val="20"/>
                <w:szCs w:val="20"/>
                <w:lang w:eastAsia="en-CA"/>
              </w:rPr>
              <w:t>PRC/SEV/80/TAS/01+</w:t>
            </w:r>
          </w:p>
        </w:tc>
        <w:tc>
          <w:tcPr>
            <w:tcW w:w="3352" w:type="dxa"/>
            <w:tcMar>
              <w:left w:w="58" w:type="dxa"/>
              <w:right w:w="58" w:type="dxa"/>
            </w:tcMar>
          </w:tcPr>
          <w:p w14:paraId="6D6CA756" w14:textId="77777777" w:rsidR="000E2C9D" w:rsidRPr="00756D59" w:rsidRDefault="000E2C9D" w:rsidP="0051060F">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7C5C8779" w14:textId="77777777" w:rsidR="000E2C9D" w:rsidRPr="00756D59" w:rsidRDefault="000E2C9D" w:rsidP="0051060F">
            <w:pPr>
              <w:jc w:val="center"/>
              <w:rPr>
                <w:sz w:val="20"/>
                <w:szCs w:val="20"/>
                <w:lang w:eastAsia="en-CA"/>
              </w:rPr>
            </w:pPr>
            <w:r w:rsidRPr="00756D59">
              <w:rPr>
                <w:color w:val="000000"/>
                <w:sz w:val="20"/>
                <w:szCs w:val="20"/>
                <w:lang w:eastAsia="en-CA"/>
              </w:rPr>
              <w:t>Nov-17</w:t>
            </w:r>
          </w:p>
        </w:tc>
        <w:tc>
          <w:tcPr>
            <w:tcW w:w="1305" w:type="dxa"/>
            <w:shd w:val="clear" w:color="auto" w:fill="auto"/>
            <w:tcMar>
              <w:left w:w="58" w:type="dxa"/>
              <w:right w:w="58" w:type="dxa"/>
            </w:tcMar>
          </w:tcPr>
          <w:p w14:paraId="04C62944" w14:textId="77777777" w:rsidR="000E2C9D" w:rsidRPr="00756D59" w:rsidRDefault="000E2C9D" w:rsidP="0051060F">
            <w:pPr>
              <w:jc w:val="center"/>
              <w:rPr>
                <w:bCs/>
                <w:sz w:val="20"/>
                <w:szCs w:val="20"/>
                <w:lang w:eastAsia="en-CA"/>
              </w:rPr>
            </w:pPr>
            <w:r w:rsidRPr="00756D59">
              <w:rPr>
                <w:color w:val="000000"/>
                <w:sz w:val="20"/>
                <w:szCs w:val="20"/>
                <w:lang w:eastAsia="en-CA"/>
              </w:rPr>
              <w:t>73.3</w:t>
            </w:r>
          </w:p>
        </w:tc>
        <w:tc>
          <w:tcPr>
            <w:tcW w:w="4531" w:type="dxa"/>
            <w:tcMar>
              <w:left w:w="58" w:type="dxa"/>
              <w:right w:w="58" w:type="dxa"/>
            </w:tcMar>
          </w:tcPr>
          <w:p w14:paraId="4129D65E" w14:textId="77777777" w:rsidR="000E2C9D" w:rsidRPr="00756D59" w:rsidRDefault="000E2C9D" w:rsidP="0051060F">
            <w:pPr>
              <w:jc w:val="left"/>
              <w:rPr>
                <w:sz w:val="20"/>
                <w:szCs w:val="20"/>
                <w:lang w:eastAsia="en-CA"/>
              </w:rPr>
            </w:pPr>
            <w:r w:rsidRPr="00756D59">
              <w:rPr>
                <w:color w:val="000000"/>
                <w:sz w:val="20"/>
                <w:szCs w:val="20"/>
                <w:lang w:eastAsia="en-CA"/>
              </w:rPr>
              <w:t>Follow up on final steps relating to ratification; awareness raising relating to Kigali Amendment matters; and technical and administrative support for completing the pending activities.</w:t>
            </w:r>
          </w:p>
        </w:tc>
        <w:tc>
          <w:tcPr>
            <w:tcW w:w="1629" w:type="dxa"/>
            <w:shd w:val="clear" w:color="auto" w:fill="auto"/>
            <w:tcMar>
              <w:left w:w="58" w:type="dxa"/>
              <w:right w:w="58" w:type="dxa"/>
            </w:tcMar>
          </w:tcPr>
          <w:p w14:paraId="7D11A49E" w14:textId="77777777" w:rsidR="000E2C9D" w:rsidRPr="00756D59" w:rsidRDefault="000E2C9D" w:rsidP="0051060F">
            <w:pPr>
              <w:jc w:val="center"/>
              <w:rPr>
                <w:bCs/>
                <w:sz w:val="20"/>
                <w:szCs w:val="20"/>
                <w:lang w:eastAsia="en-CA"/>
              </w:rPr>
            </w:pPr>
            <w:r w:rsidRPr="00756D59">
              <w:rPr>
                <w:color w:val="000000"/>
                <w:sz w:val="20"/>
                <w:szCs w:val="20"/>
                <w:lang w:eastAsia="en-CA"/>
              </w:rPr>
              <w:t>Dec-21</w:t>
            </w:r>
          </w:p>
        </w:tc>
      </w:tr>
      <w:tr w:rsidR="000E2C9D" w:rsidRPr="00756D59" w14:paraId="3C7F9FFB" w14:textId="77777777" w:rsidTr="0051060F">
        <w:trPr>
          <w:trHeight w:val="337"/>
        </w:trPr>
        <w:tc>
          <w:tcPr>
            <w:tcW w:w="2261" w:type="dxa"/>
            <w:tcMar>
              <w:left w:w="58" w:type="dxa"/>
              <w:right w:w="58" w:type="dxa"/>
            </w:tcMar>
          </w:tcPr>
          <w:p w14:paraId="7E8B3D42" w14:textId="77777777" w:rsidR="000E2C9D" w:rsidRPr="00756D59" w:rsidRDefault="000E2C9D" w:rsidP="0051060F">
            <w:pPr>
              <w:jc w:val="left"/>
              <w:rPr>
                <w:color w:val="000000"/>
                <w:sz w:val="20"/>
                <w:szCs w:val="20"/>
                <w:lang w:eastAsia="en-CA"/>
              </w:rPr>
            </w:pPr>
            <w:r w:rsidRPr="00756D59">
              <w:rPr>
                <w:color w:val="000000"/>
                <w:sz w:val="20"/>
                <w:szCs w:val="20"/>
                <w:lang w:eastAsia="en-CA"/>
              </w:rPr>
              <w:t>Egypt</w:t>
            </w:r>
          </w:p>
          <w:p w14:paraId="3EBA0011" w14:textId="77777777" w:rsidR="000E2C9D" w:rsidRPr="00756D59" w:rsidRDefault="000E2C9D" w:rsidP="0051060F">
            <w:pPr>
              <w:jc w:val="left"/>
              <w:rPr>
                <w:bCs/>
                <w:sz w:val="20"/>
                <w:szCs w:val="20"/>
                <w:lang w:eastAsia="en-CA"/>
              </w:rPr>
            </w:pPr>
            <w:r w:rsidRPr="00756D59">
              <w:rPr>
                <w:color w:val="000000"/>
                <w:sz w:val="20"/>
                <w:szCs w:val="20"/>
                <w:lang w:eastAsia="en-CA"/>
              </w:rPr>
              <w:t>EGY/SEV/81/TAS/02+</w:t>
            </w:r>
          </w:p>
        </w:tc>
        <w:tc>
          <w:tcPr>
            <w:tcW w:w="3352" w:type="dxa"/>
            <w:tcMar>
              <w:left w:w="58" w:type="dxa"/>
              <w:right w:w="58" w:type="dxa"/>
            </w:tcMar>
          </w:tcPr>
          <w:p w14:paraId="00A16605" w14:textId="77777777" w:rsidR="000E2C9D" w:rsidRPr="00756D59" w:rsidRDefault="000E2C9D" w:rsidP="0051060F">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4AD37920" w14:textId="77777777" w:rsidR="000E2C9D" w:rsidRPr="00756D59" w:rsidRDefault="000E2C9D" w:rsidP="0051060F">
            <w:pPr>
              <w:jc w:val="center"/>
              <w:rPr>
                <w:sz w:val="20"/>
                <w:szCs w:val="20"/>
                <w:lang w:eastAsia="en-CA"/>
              </w:rPr>
            </w:pPr>
            <w:r w:rsidRPr="00756D59">
              <w:rPr>
                <w:color w:val="000000"/>
                <w:sz w:val="20"/>
                <w:szCs w:val="20"/>
                <w:lang w:eastAsia="en-CA"/>
              </w:rPr>
              <w:t>Jun-18</w:t>
            </w:r>
          </w:p>
        </w:tc>
        <w:tc>
          <w:tcPr>
            <w:tcW w:w="1305" w:type="dxa"/>
            <w:shd w:val="clear" w:color="auto" w:fill="auto"/>
            <w:tcMar>
              <w:left w:w="58" w:type="dxa"/>
              <w:right w:w="58" w:type="dxa"/>
            </w:tcMar>
          </w:tcPr>
          <w:p w14:paraId="2DDA9A04" w14:textId="77777777" w:rsidR="000E2C9D" w:rsidRPr="00756D59" w:rsidRDefault="000E2C9D" w:rsidP="0051060F">
            <w:pPr>
              <w:jc w:val="center"/>
              <w:rPr>
                <w:bCs/>
                <w:sz w:val="20"/>
                <w:szCs w:val="20"/>
                <w:lang w:eastAsia="en-CA"/>
              </w:rPr>
            </w:pPr>
            <w:r w:rsidRPr="00756D59">
              <w:rPr>
                <w:color w:val="000000"/>
                <w:sz w:val="20"/>
                <w:szCs w:val="20"/>
                <w:lang w:eastAsia="en-CA"/>
              </w:rPr>
              <w:t>24.9</w:t>
            </w:r>
          </w:p>
        </w:tc>
        <w:tc>
          <w:tcPr>
            <w:tcW w:w="4531" w:type="dxa"/>
            <w:tcMar>
              <w:left w:w="58" w:type="dxa"/>
              <w:right w:w="58" w:type="dxa"/>
            </w:tcMar>
          </w:tcPr>
          <w:p w14:paraId="36536525" w14:textId="77777777" w:rsidR="000E2C9D" w:rsidRPr="00756D59" w:rsidRDefault="000E2C9D" w:rsidP="0051060F">
            <w:pPr>
              <w:jc w:val="left"/>
              <w:rPr>
                <w:sz w:val="20"/>
                <w:szCs w:val="20"/>
                <w:lang w:eastAsia="en-CA"/>
              </w:rPr>
            </w:pPr>
            <w:r w:rsidRPr="00756D59">
              <w:rPr>
                <w:color w:val="000000"/>
                <w:sz w:val="20"/>
                <w:szCs w:val="20"/>
                <w:lang w:eastAsia="en-CA"/>
              </w:rPr>
              <w:t xml:space="preserve">Analysis of existing ozone and climate policy/legislation; and drafting the amendments to the existing legislation to allow for ratification of the Kigali Amendment; preparing the package on the ratification of Kigali Amendment; and undertaking the </w:t>
            </w:r>
            <w:r w:rsidRPr="00756D59">
              <w:rPr>
                <w:color w:val="000000"/>
                <w:sz w:val="20"/>
                <w:szCs w:val="20"/>
                <w:lang w:eastAsia="en-CA"/>
              </w:rPr>
              <w:lastRenderedPageBreak/>
              <w:t>training needs assessment for the servicing sector and preparing an assessment report.</w:t>
            </w:r>
          </w:p>
        </w:tc>
        <w:tc>
          <w:tcPr>
            <w:tcW w:w="1629" w:type="dxa"/>
            <w:shd w:val="clear" w:color="auto" w:fill="auto"/>
            <w:tcMar>
              <w:left w:w="58" w:type="dxa"/>
              <w:right w:w="58" w:type="dxa"/>
            </w:tcMar>
          </w:tcPr>
          <w:p w14:paraId="385C002D" w14:textId="77777777" w:rsidR="000E2C9D" w:rsidRPr="00756D59" w:rsidRDefault="000E2C9D" w:rsidP="0051060F">
            <w:pPr>
              <w:jc w:val="center"/>
              <w:rPr>
                <w:bCs/>
                <w:sz w:val="20"/>
                <w:szCs w:val="20"/>
                <w:lang w:eastAsia="en-CA"/>
              </w:rPr>
            </w:pPr>
            <w:r w:rsidRPr="00756D59">
              <w:rPr>
                <w:color w:val="FF0000"/>
                <w:sz w:val="20"/>
                <w:szCs w:val="20"/>
                <w:lang w:eastAsia="en-CA"/>
              </w:rPr>
              <w:lastRenderedPageBreak/>
              <w:t>Jun-22</w:t>
            </w:r>
          </w:p>
        </w:tc>
      </w:tr>
      <w:tr w:rsidR="000E2C9D" w:rsidRPr="00756D59" w14:paraId="411F5596" w14:textId="77777777" w:rsidTr="0051060F">
        <w:trPr>
          <w:trHeight w:val="337"/>
        </w:trPr>
        <w:tc>
          <w:tcPr>
            <w:tcW w:w="2261" w:type="dxa"/>
            <w:tcMar>
              <w:left w:w="58" w:type="dxa"/>
              <w:right w:w="58" w:type="dxa"/>
            </w:tcMar>
          </w:tcPr>
          <w:p w14:paraId="07292DAA" w14:textId="77777777" w:rsidR="000E2C9D" w:rsidRPr="00756D59" w:rsidRDefault="000E2C9D" w:rsidP="0051060F">
            <w:pPr>
              <w:jc w:val="left"/>
              <w:rPr>
                <w:sz w:val="20"/>
                <w:szCs w:val="20"/>
                <w:lang w:eastAsia="en-CA"/>
              </w:rPr>
            </w:pPr>
            <w:r w:rsidRPr="00756D59">
              <w:rPr>
                <w:sz w:val="20"/>
                <w:szCs w:val="20"/>
                <w:lang w:eastAsia="en-CA"/>
              </w:rPr>
              <w:lastRenderedPageBreak/>
              <w:t>Jordan</w:t>
            </w:r>
          </w:p>
          <w:p w14:paraId="51C97F31" w14:textId="77777777" w:rsidR="000E2C9D" w:rsidRPr="00756D59" w:rsidRDefault="000E2C9D" w:rsidP="0051060F">
            <w:pPr>
              <w:jc w:val="left"/>
              <w:rPr>
                <w:bCs/>
                <w:sz w:val="20"/>
                <w:szCs w:val="20"/>
                <w:lang w:eastAsia="en-CA"/>
              </w:rPr>
            </w:pPr>
            <w:r w:rsidRPr="00756D59">
              <w:rPr>
                <w:sz w:val="20"/>
                <w:szCs w:val="20"/>
                <w:lang w:eastAsia="en-CA"/>
              </w:rPr>
              <w:t>JOR/SEV/82/TAS/104</w:t>
            </w:r>
          </w:p>
        </w:tc>
        <w:tc>
          <w:tcPr>
            <w:tcW w:w="3352" w:type="dxa"/>
            <w:tcMar>
              <w:left w:w="58" w:type="dxa"/>
              <w:right w:w="58" w:type="dxa"/>
            </w:tcMar>
          </w:tcPr>
          <w:p w14:paraId="3A2149A0"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A125C43" w14:textId="77777777" w:rsidR="000E2C9D" w:rsidRPr="00756D59" w:rsidRDefault="000E2C9D" w:rsidP="0051060F">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1D6A47B7" w14:textId="77777777" w:rsidR="000E2C9D" w:rsidRPr="00756D59" w:rsidRDefault="000E2C9D" w:rsidP="0051060F">
            <w:pPr>
              <w:jc w:val="center"/>
              <w:rPr>
                <w:bCs/>
                <w:sz w:val="20"/>
                <w:szCs w:val="20"/>
                <w:lang w:eastAsia="en-CA"/>
              </w:rPr>
            </w:pPr>
            <w:r w:rsidRPr="00756D59">
              <w:rPr>
                <w:sz w:val="20"/>
                <w:szCs w:val="20"/>
                <w:lang w:eastAsia="en-CA"/>
              </w:rPr>
              <w:t>42.7</w:t>
            </w:r>
          </w:p>
        </w:tc>
        <w:tc>
          <w:tcPr>
            <w:tcW w:w="4531" w:type="dxa"/>
            <w:tcMar>
              <w:left w:w="58" w:type="dxa"/>
              <w:right w:w="58" w:type="dxa"/>
            </w:tcMar>
          </w:tcPr>
          <w:p w14:paraId="114DF500" w14:textId="77777777" w:rsidR="000E2C9D" w:rsidRPr="00756D59" w:rsidRDefault="000E2C9D" w:rsidP="0051060F">
            <w:pPr>
              <w:jc w:val="left"/>
              <w:rPr>
                <w:sz w:val="20"/>
                <w:szCs w:val="20"/>
                <w:lang w:eastAsia="en-CA"/>
              </w:rPr>
            </w:pPr>
            <w:r w:rsidRPr="00756D59">
              <w:rPr>
                <w:sz w:val="20"/>
                <w:szCs w:val="20"/>
                <w:lang w:eastAsia="en-CA"/>
              </w:rPr>
              <w:t>Conducting stakeholder workshop and finalization of the report.</w:t>
            </w:r>
          </w:p>
        </w:tc>
        <w:tc>
          <w:tcPr>
            <w:tcW w:w="1629" w:type="dxa"/>
            <w:shd w:val="clear" w:color="auto" w:fill="auto"/>
            <w:tcMar>
              <w:left w:w="58" w:type="dxa"/>
              <w:right w:w="58" w:type="dxa"/>
            </w:tcMar>
          </w:tcPr>
          <w:p w14:paraId="76BCB958" w14:textId="77777777" w:rsidR="000E2C9D" w:rsidRPr="00756D59" w:rsidRDefault="000E2C9D" w:rsidP="0051060F">
            <w:pPr>
              <w:jc w:val="center"/>
              <w:rPr>
                <w:bCs/>
                <w:sz w:val="20"/>
                <w:szCs w:val="20"/>
                <w:lang w:eastAsia="en-CA"/>
              </w:rPr>
            </w:pPr>
            <w:r w:rsidRPr="00756D59">
              <w:rPr>
                <w:sz w:val="20"/>
                <w:szCs w:val="20"/>
                <w:lang w:eastAsia="en-CA"/>
              </w:rPr>
              <w:t>Dec-21</w:t>
            </w:r>
          </w:p>
        </w:tc>
      </w:tr>
      <w:tr w:rsidR="000E2C9D" w:rsidRPr="00756D59" w14:paraId="60077C25" w14:textId="77777777" w:rsidTr="0051060F">
        <w:trPr>
          <w:trHeight w:val="337"/>
        </w:trPr>
        <w:tc>
          <w:tcPr>
            <w:tcW w:w="2261" w:type="dxa"/>
            <w:tcMar>
              <w:left w:w="58" w:type="dxa"/>
              <w:right w:w="58" w:type="dxa"/>
            </w:tcMar>
          </w:tcPr>
          <w:p w14:paraId="6A2335A1" w14:textId="77777777" w:rsidR="000E2C9D" w:rsidRPr="00756D59" w:rsidRDefault="000E2C9D" w:rsidP="0051060F">
            <w:pPr>
              <w:jc w:val="left"/>
              <w:rPr>
                <w:sz w:val="20"/>
                <w:szCs w:val="20"/>
                <w:lang w:eastAsia="en-CA"/>
              </w:rPr>
            </w:pPr>
            <w:r w:rsidRPr="00756D59">
              <w:rPr>
                <w:sz w:val="20"/>
                <w:szCs w:val="20"/>
                <w:lang w:eastAsia="en-CA"/>
              </w:rPr>
              <w:t>Libya</w:t>
            </w:r>
          </w:p>
          <w:p w14:paraId="63CD4F08" w14:textId="77777777" w:rsidR="000E2C9D" w:rsidRPr="00756D59" w:rsidRDefault="000E2C9D" w:rsidP="0051060F">
            <w:pPr>
              <w:jc w:val="left"/>
              <w:rPr>
                <w:sz w:val="20"/>
                <w:szCs w:val="20"/>
                <w:lang w:eastAsia="en-CA"/>
              </w:rPr>
            </w:pPr>
            <w:r w:rsidRPr="00756D59">
              <w:rPr>
                <w:sz w:val="20"/>
                <w:szCs w:val="20"/>
                <w:lang w:eastAsia="en-CA"/>
              </w:rPr>
              <w:t>LIB/SEV/81/TAS/01+</w:t>
            </w:r>
          </w:p>
        </w:tc>
        <w:tc>
          <w:tcPr>
            <w:tcW w:w="3352" w:type="dxa"/>
            <w:tcMar>
              <w:left w:w="58" w:type="dxa"/>
              <w:right w:w="58" w:type="dxa"/>
            </w:tcMar>
          </w:tcPr>
          <w:p w14:paraId="565DD52C"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8C7EF12"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92B6991" w14:textId="77777777" w:rsidR="000E2C9D" w:rsidRPr="00756D59" w:rsidRDefault="000E2C9D" w:rsidP="0051060F">
            <w:pPr>
              <w:jc w:val="center"/>
              <w:rPr>
                <w:sz w:val="20"/>
                <w:szCs w:val="20"/>
                <w:lang w:eastAsia="en-CA"/>
              </w:rPr>
            </w:pPr>
            <w:r w:rsidRPr="00756D59">
              <w:rPr>
                <w:sz w:val="20"/>
                <w:szCs w:val="20"/>
                <w:lang w:eastAsia="en-CA"/>
              </w:rPr>
              <w:t>12.2</w:t>
            </w:r>
          </w:p>
        </w:tc>
        <w:tc>
          <w:tcPr>
            <w:tcW w:w="4531" w:type="dxa"/>
            <w:tcMar>
              <w:left w:w="58" w:type="dxa"/>
              <w:right w:w="58" w:type="dxa"/>
            </w:tcMar>
          </w:tcPr>
          <w:p w14:paraId="717DCC52" w14:textId="77777777" w:rsidR="000E2C9D" w:rsidRPr="00756D59" w:rsidRDefault="000E2C9D" w:rsidP="0051060F">
            <w:pPr>
              <w:jc w:val="left"/>
              <w:rPr>
                <w:sz w:val="20"/>
                <w:szCs w:val="20"/>
                <w:lang w:eastAsia="en-CA"/>
              </w:rPr>
            </w:pPr>
            <w:r w:rsidRPr="00756D59">
              <w:rPr>
                <w:sz w:val="20"/>
                <w:szCs w:val="20"/>
                <w:lang w:eastAsia="en-CA"/>
              </w:rPr>
              <w:t>Preparation of legal documents for ratification of the Kigali Amendment and follow-up activities for ratification.</w:t>
            </w:r>
          </w:p>
        </w:tc>
        <w:tc>
          <w:tcPr>
            <w:tcW w:w="1629" w:type="dxa"/>
            <w:shd w:val="clear" w:color="auto" w:fill="auto"/>
            <w:tcMar>
              <w:left w:w="58" w:type="dxa"/>
              <w:right w:w="58" w:type="dxa"/>
            </w:tcMar>
          </w:tcPr>
          <w:p w14:paraId="02144E2B" w14:textId="77777777" w:rsidR="000E2C9D" w:rsidRPr="00756D59" w:rsidRDefault="000E2C9D" w:rsidP="0051060F">
            <w:pPr>
              <w:jc w:val="center"/>
              <w:rPr>
                <w:sz w:val="20"/>
                <w:szCs w:val="20"/>
                <w:lang w:eastAsia="en-CA"/>
              </w:rPr>
            </w:pPr>
            <w:r w:rsidRPr="00756D59">
              <w:rPr>
                <w:sz w:val="20"/>
                <w:szCs w:val="20"/>
                <w:lang w:eastAsia="en-CA"/>
              </w:rPr>
              <w:t>Jun-22</w:t>
            </w:r>
          </w:p>
        </w:tc>
      </w:tr>
      <w:tr w:rsidR="000E2C9D" w:rsidRPr="00756D59" w14:paraId="528AB1A0" w14:textId="77777777" w:rsidTr="0051060F">
        <w:trPr>
          <w:trHeight w:val="337"/>
        </w:trPr>
        <w:tc>
          <w:tcPr>
            <w:tcW w:w="2261" w:type="dxa"/>
            <w:tcMar>
              <w:left w:w="58" w:type="dxa"/>
              <w:right w:w="58" w:type="dxa"/>
            </w:tcMar>
          </w:tcPr>
          <w:p w14:paraId="1A327DF3" w14:textId="77777777" w:rsidR="000E2C9D" w:rsidRPr="00756D59" w:rsidRDefault="000E2C9D" w:rsidP="0051060F">
            <w:pPr>
              <w:jc w:val="left"/>
              <w:rPr>
                <w:sz w:val="20"/>
                <w:szCs w:val="20"/>
                <w:lang w:eastAsia="en-CA"/>
              </w:rPr>
            </w:pPr>
            <w:r w:rsidRPr="00756D59">
              <w:rPr>
                <w:sz w:val="20"/>
                <w:szCs w:val="20"/>
                <w:lang w:eastAsia="en-CA"/>
              </w:rPr>
              <w:t>Mexico</w:t>
            </w:r>
          </w:p>
          <w:p w14:paraId="1E1689FA" w14:textId="77777777" w:rsidR="000E2C9D" w:rsidRPr="00756D59" w:rsidRDefault="000E2C9D" w:rsidP="0051060F">
            <w:pPr>
              <w:jc w:val="left"/>
              <w:rPr>
                <w:sz w:val="20"/>
                <w:szCs w:val="20"/>
                <w:lang w:eastAsia="en-CA"/>
              </w:rPr>
            </w:pPr>
            <w:r w:rsidRPr="00756D59">
              <w:rPr>
                <w:sz w:val="20"/>
                <w:szCs w:val="20"/>
                <w:lang w:eastAsia="en-CA"/>
              </w:rPr>
              <w:t>MEX/REF/81/INV/04+</w:t>
            </w:r>
          </w:p>
        </w:tc>
        <w:tc>
          <w:tcPr>
            <w:tcW w:w="3352" w:type="dxa"/>
            <w:tcMar>
              <w:left w:w="58" w:type="dxa"/>
              <w:right w:w="58" w:type="dxa"/>
            </w:tcMar>
          </w:tcPr>
          <w:p w14:paraId="61B80639" w14:textId="77777777" w:rsidR="000E2C9D" w:rsidRPr="00756D59" w:rsidRDefault="000E2C9D" w:rsidP="0051060F">
            <w:pPr>
              <w:jc w:val="left"/>
              <w:rPr>
                <w:sz w:val="20"/>
                <w:szCs w:val="20"/>
                <w:lang w:eastAsia="en-CA"/>
              </w:rPr>
            </w:pPr>
            <w:r w:rsidRPr="00756D59">
              <w:rPr>
                <w:sz w:val="20"/>
                <w:szCs w:val="20"/>
                <w:lang w:eastAsia="en-CA"/>
              </w:rPr>
              <w:t xml:space="preserve">Conversion of commercial refrigeration manufacturing in two facilities from the use of HFC-134a and R-404A as the refrigerants to propane (R-290) and isobutane (R-600a) at </w:t>
            </w:r>
            <w:proofErr w:type="spellStart"/>
            <w:r w:rsidRPr="00756D59">
              <w:rPr>
                <w:sz w:val="20"/>
                <w:szCs w:val="20"/>
                <w:lang w:eastAsia="en-CA"/>
              </w:rPr>
              <w:t>Imbera</w:t>
            </w:r>
            <w:proofErr w:type="spellEnd"/>
          </w:p>
        </w:tc>
        <w:tc>
          <w:tcPr>
            <w:tcW w:w="1236" w:type="dxa"/>
            <w:tcMar>
              <w:left w:w="58" w:type="dxa"/>
              <w:right w:w="58" w:type="dxa"/>
            </w:tcMar>
          </w:tcPr>
          <w:p w14:paraId="6BD3A0B5"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0C91E17" w14:textId="77777777" w:rsidR="000E2C9D" w:rsidRPr="00756D59" w:rsidRDefault="000E2C9D" w:rsidP="0051060F">
            <w:pPr>
              <w:jc w:val="center"/>
              <w:rPr>
                <w:sz w:val="20"/>
                <w:szCs w:val="20"/>
                <w:lang w:eastAsia="en-CA"/>
              </w:rPr>
            </w:pPr>
            <w:r w:rsidRPr="00756D59">
              <w:rPr>
                <w:sz w:val="20"/>
                <w:szCs w:val="20"/>
                <w:lang w:eastAsia="en-CA"/>
              </w:rPr>
              <w:t>0.8</w:t>
            </w:r>
          </w:p>
        </w:tc>
        <w:tc>
          <w:tcPr>
            <w:tcW w:w="4531" w:type="dxa"/>
            <w:tcMar>
              <w:left w:w="58" w:type="dxa"/>
              <w:right w:w="58" w:type="dxa"/>
            </w:tcMar>
          </w:tcPr>
          <w:p w14:paraId="2E942635" w14:textId="77777777" w:rsidR="000E2C9D" w:rsidRPr="00756D59" w:rsidRDefault="000E2C9D" w:rsidP="0051060F">
            <w:pPr>
              <w:jc w:val="left"/>
              <w:rPr>
                <w:sz w:val="20"/>
                <w:szCs w:val="20"/>
                <w:lang w:eastAsia="en-CA"/>
              </w:rPr>
            </w:pPr>
            <w:r w:rsidRPr="00756D59">
              <w:rPr>
                <w:sz w:val="20"/>
                <w:szCs w:val="20"/>
                <w:lang w:eastAsia="en-CA"/>
              </w:rPr>
              <w:t xml:space="preserve">Finalization of installation of equipment and safety audit at </w:t>
            </w:r>
            <w:proofErr w:type="spellStart"/>
            <w:r w:rsidRPr="00756D59">
              <w:rPr>
                <w:sz w:val="20"/>
                <w:szCs w:val="20"/>
                <w:lang w:eastAsia="en-CA"/>
              </w:rPr>
              <w:t>Fersa</w:t>
            </w:r>
            <w:proofErr w:type="spellEnd"/>
            <w:r w:rsidRPr="00756D59">
              <w:rPr>
                <w:sz w:val="20"/>
                <w:szCs w:val="20"/>
                <w:lang w:eastAsia="en-CA"/>
              </w:rPr>
              <w:t xml:space="preserve"> and </w:t>
            </w:r>
            <w:proofErr w:type="spellStart"/>
            <w:r w:rsidRPr="00756D59">
              <w:rPr>
                <w:sz w:val="20"/>
                <w:szCs w:val="20"/>
                <w:lang w:eastAsia="en-CA"/>
              </w:rPr>
              <w:t>Imbera</w:t>
            </w:r>
            <w:proofErr w:type="spellEnd"/>
            <w:r w:rsidRPr="00756D59">
              <w:rPr>
                <w:sz w:val="20"/>
                <w:szCs w:val="20"/>
                <w:lang w:eastAsia="en-CA"/>
              </w:rPr>
              <w:t xml:space="preserve"> plant; and training of service technicians on using low</w:t>
            </w:r>
            <w:r w:rsidRPr="00756D59">
              <w:rPr>
                <w:sz w:val="20"/>
                <w:szCs w:val="20"/>
                <w:lang w:eastAsia="en-CA"/>
              </w:rPr>
              <w:noBreakHyphen/>
              <w:t>GWP alternatives.</w:t>
            </w:r>
          </w:p>
        </w:tc>
        <w:tc>
          <w:tcPr>
            <w:tcW w:w="1629" w:type="dxa"/>
            <w:shd w:val="clear" w:color="auto" w:fill="auto"/>
            <w:tcMar>
              <w:left w:w="58" w:type="dxa"/>
              <w:right w:w="58" w:type="dxa"/>
            </w:tcMar>
          </w:tcPr>
          <w:p w14:paraId="048A8E88"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2EA9B65D" w14:textId="77777777" w:rsidTr="0051060F">
        <w:trPr>
          <w:trHeight w:val="337"/>
        </w:trPr>
        <w:tc>
          <w:tcPr>
            <w:tcW w:w="2261" w:type="dxa"/>
            <w:tcMar>
              <w:left w:w="58" w:type="dxa"/>
              <w:right w:w="58" w:type="dxa"/>
            </w:tcMar>
          </w:tcPr>
          <w:p w14:paraId="2DCD2623" w14:textId="77777777" w:rsidR="000E2C9D" w:rsidRPr="00756D59" w:rsidRDefault="000E2C9D" w:rsidP="0051060F">
            <w:pPr>
              <w:jc w:val="left"/>
              <w:rPr>
                <w:sz w:val="20"/>
                <w:szCs w:val="20"/>
                <w:lang w:eastAsia="en-CA"/>
              </w:rPr>
            </w:pPr>
            <w:r w:rsidRPr="00756D59">
              <w:rPr>
                <w:sz w:val="20"/>
                <w:szCs w:val="20"/>
                <w:lang w:eastAsia="en-CA"/>
              </w:rPr>
              <w:t>Morocco</w:t>
            </w:r>
          </w:p>
          <w:p w14:paraId="323CCC7B" w14:textId="77777777" w:rsidR="000E2C9D" w:rsidRPr="00756D59" w:rsidRDefault="000E2C9D" w:rsidP="0051060F">
            <w:pPr>
              <w:jc w:val="left"/>
              <w:rPr>
                <w:sz w:val="20"/>
                <w:szCs w:val="20"/>
                <w:lang w:eastAsia="en-CA"/>
              </w:rPr>
            </w:pPr>
            <w:r w:rsidRPr="00756D59">
              <w:rPr>
                <w:sz w:val="20"/>
                <w:szCs w:val="20"/>
                <w:lang w:eastAsia="en-CA"/>
              </w:rPr>
              <w:t>MOR/SEV/81/TAS/01+</w:t>
            </w:r>
          </w:p>
        </w:tc>
        <w:tc>
          <w:tcPr>
            <w:tcW w:w="3352" w:type="dxa"/>
            <w:tcMar>
              <w:left w:w="58" w:type="dxa"/>
              <w:right w:w="58" w:type="dxa"/>
            </w:tcMar>
          </w:tcPr>
          <w:p w14:paraId="617D5443"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016766B"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8C9A5D0" w14:textId="77777777" w:rsidR="000E2C9D" w:rsidRPr="00756D59" w:rsidRDefault="000E2C9D" w:rsidP="0051060F">
            <w:pPr>
              <w:jc w:val="center"/>
              <w:rPr>
                <w:sz w:val="20"/>
                <w:szCs w:val="20"/>
                <w:lang w:eastAsia="en-CA"/>
              </w:rPr>
            </w:pPr>
            <w:r w:rsidRPr="00756D59">
              <w:rPr>
                <w:sz w:val="20"/>
                <w:szCs w:val="20"/>
                <w:lang w:eastAsia="en-CA"/>
              </w:rPr>
              <w:t>9.2</w:t>
            </w:r>
          </w:p>
        </w:tc>
        <w:tc>
          <w:tcPr>
            <w:tcW w:w="4531" w:type="dxa"/>
            <w:tcMar>
              <w:left w:w="58" w:type="dxa"/>
              <w:right w:w="58" w:type="dxa"/>
            </w:tcMar>
          </w:tcPr>
          <w:p w14:paraId="0AEAE638" w14:textId="77777777" w:rsidR="000E2C9D" w:rsidRPr="00756D59" w:rsidRDefault="000E2C9D" w:rsidP="0051060F">
            <w:pPr>
              <w:jc w:val="left"/>
              <w:rPr>
                <w:sz w:val="20"/>
                <w:szCs w:val="20"/>
                <w:lang w:eastAsia="en-CA"/>
              </w:rPr>
            </w:pPr>
            <w:r w:rsidRPr="00756D59">
              <w:rPr>
                <w:sz w:val="20"/>
                <w:szCs w:val="20"/>
                <w:lang w:eastAsia="en-CA"/>
              </w:rPr>
              <w:t>Update of tariff codes and licensing system; finalizing the report on HFC consumption and the report on the situation of the RAC servicing sector and legal, institutional and policy measures for the implementation of the Kigali Amendment and follow</w:t>
            </w:r>
            <w:r w:rsidRPr="00756D59">
              <w:rPr>
                <w:sz w:val="20"/>
                <w:szCs w:val="20"/>
                <w:lang w:eastAsia="en-CA"/>
              </w:rPr>
              <w:noBreakHyphen/>
              <w:t>up support for ratification of the Kigali Amendment.</w:t>
            </w:r>
          </w:p>
        </w:tc>
        <w:tc>
          <w:tcPr>
            <w:tcW w:w="1629" w:type="dxa"/>
            <w:shd w:val="clear" w:color="auto" w:fill="auto"/>
            <w:tcMar>
              <w:left w:w="58" w:type="dxa"/>
              <w:right w:w="58" w:type="dxa"/>
            </w:tcMar>
          </w:tcPr>
          <w:p w14:paraId="708EBB06" w14:textId="77777777" w:rsidR="000E2C9D" w:rsidRPr="00756D59" w:rsidRDefault="000E2C9D" w:rsidP="0051060F">
            <w:pPr>
              <w:jc w:val="center"/>
              <w:rPr>
                <w:sz w:val="20"/>
                <w:szCs w:val="20"/>
                <w:lang w:eastAsia="en-CA"/>
              </w:rPr>
            </w:pPr>
            <w:r w:rsidRPr="00756D59">
              <w:rPr>
                <w:sz w:val="20"/>
                <w:szCs w:val="20"/>
                <w:lang w:eastAsia="en-CA"/>
              </w:rPr>
              <w:t>Jan-22</w:t>
            </w:r>
          </w:p>
        </w:tc>
      </w:tr>
      <w:tr w:rsidR="000E2C9D" w:rsidRPr="00756D59" w14:paraId="0B635417" w14:textId="77777777" w:rsidTr="0051060F">
        <w:trPr>
          <w:trHeight w:val="337"/>
        </w:trPr>
        <w:tc>
          <w:tcPr>
            <w:tcW w:w="2261" w:type="dxa"/>
            <w:tcMar>
              <w:left w:w="58" w:type="dxa"/>
              <w:right w:w="58" w:type="dxa"/>
            </w:tcMar>
          </w:tcPr>
          <w:p w14:paraId="3FC5D7E4" w14:textId="77777777" w:rsidR="000E2C9D" w:rsidRPr="00756D59" w:rsidRDefault="000E2C9D" w:rsidP="0051060F">
            <w:pPr>
              <w:jc w:val="left"/>
              <w:rPr>
                <w:sz w:val="20"/>
                <w:szCs w:val="20"/>
                <w:lang w:eastAsia="en-CA"/>
              </w:rPr>
            </w:pPr>
            <w:r w:rsidRPr="00756D59">
              <w:rPr>
                <w:sz w:val="20"/>
                <w:szCs w:val="20"/>
                <w:lang w:eastAsia="en-CA"/>
              </w:rPr>
              <w:t>Niger (the)</w:t>
            </w:r>
          </w:p>
          <w:p w14:paraId="23F811F5" w14:textId="77777777" w:rsidR="000E2C9D" w:rsidRPr="00756D59" w:rsidRDefault="000E2C9D" w:rsidP="0051060F">
            <w:pPr>
              <w:jc w:val="left"/>
              <w:rPr>
                <w:sz w:val="20"/>
                <w:szCs w:val="20"/>
                <w:lang w:eastAsia="en-CA"/>
              </w:rPr>
            </w:pPr>
            <w:r w:rsidRPr="00756D59">
              <w:rPr>
                <w:sz w:val="20"/>
                <w:szCs w:val="20"/>
                <w:lang w:eastAsia="en-CA"/>
              </w:rPr>
              <w:t>NER/SEV/81/TAS/01+</w:t>
            </w:r>
          </w:p>
        </w:tc>
        <w:tc>
          <w:tcPr>
            <w:tcW w:w="3352" w:type="dxa"/>
            <w:tcMar>
              <w:left w:w="58" w:type="dxa"/>
              <w:right w:w="58" w:type="dxa"/>
            </w:tcMar>
          </w:tcPr>
          <w:p w14:paraId="7ED5AC75"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645F724" w14:textId="77777777" w:rsidR="000E2C9D" w:rsidRPr="00756D59" w:rsidRDefault="000E2C9D" w:rsidP="0051060F">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5271CFC" w14:textId="77777777" w:rsidR="000E2C9D" w:rsidRPr="00756D59" w:rsidRDefault="000E2C9D" w:rsidP="0051060F">
            <w:pPr>
              <w:jc w:val="center"/>
              <w:rPr>
                <w:sz w:val="20"/>
                <w:szCs w:val="20"/>
                <w:lang w:eastAsia="en-CA"/>
              </w:rPr>
            </w:pPr>
            <w:r w:rsidRPr="00756D59">
              <w:rPr>
                <w:sz w:val="20"/>
                <w:szCs w:val="20"/>
                <w:lang w:eastAsia="en-CA"/>
              </w:rPr>
              <w:t>76.2</w:t>
            </w:r>
          </w:p>
        </w:tc>
        <w:tc>
          <w:tcPr>
            <w:tcW w:w="4531" w:type="dxa"/>
            <w:tcMar>
              <w:left w:w="58" w:type="dxa"/>
              <w:right w:w="58" w:type="dxa"/>
            </w:tcMar>
          </w:tcPr>
          <w:p w14:paraId="688FC184" w14:textId="77777777" w:rsidR="000E2C9D" w:rsidRPr="00756D59" w:rsidRDefault="000E2C9D" w:rsidP="0051060F">
            <w:pPr>
              <w:jc w:val="left"/>
              <w:rPr>
                <w:sz w:val="20"/>
                <w:szCs w:val="20"/>
                <w:lang w:eastAsia="en-CA"/>
              </w:rPr>
            </w:pPr>
            <w:r w:rsidRPr="00756D59">
              <w:rPr>
                <w:sz w:val="20"/>
                <w:szCs w:val="20"/>
                <w:lang w:eastAsia="en-CA"/>
              </w:rPr>
              <w:t xml:space="preserve">Finalization and adoption of national and regional HS codes; training activities for Government/customs office; and awareness activities for the RAC service sector.  </w:t>
            </w:r>
          </w:p>
        </w:tc>
        <w:tc>
          <w:tcPr>
            <w:tcW w:w="1629" w:type="dxa"/>
            <w:shd w:val="clear" w:color="auto" w:fill="auto"/>
            <w:tcMar>
              <w:left w:w="58" w:type="dxa"/>
              <w:right w:w="58" w:type="dxa"/>
            </w:tcMar>
          </w:tcPr>
          <w:p w14:paraId="6DFFDA37"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104AE19D" w14:textId="77777777" w:rsidTr="0051060F">
        <w:trPr>
          <w:trHeight w:val="337"/>
        </w:trPr>
        <w:tc>
          <w:tcPr>
            <w:tcW w:w="2261" w:type="dxa"/>
            <w:tcMar>
              <w:left w:w="58" w:type="dxa"/>
              <w:right w:w="58" w:type="dxa"/>
            </w:tcMar>
          </w:tcPr>
          <w:p w14:paraId="7C9D9D3D" w14:textId="77777777" w:rsidR="000E2C9D" w:rsidRPr="00756D59" w:rsidRDefault="000E2C9D" w:rsidP="0051060F">
            <w:pPr>
              <w:jc w:val="left"/>
              <w:rPr>
                <w:sz w:val="20"/>
                <w:szCs w:val="20"/>
                <w:lang w:eastAsia="en-CA"/>
              </w:rPr>
            </w:pPr>
            <w:r w:rsidRPr="00756D59">
              <w:rPr>
                <w:sz w:val="20"/>
                <w:szCs w:val="20"/>
                <w:lang w:eastAsia="en-CA"/>
              </w:rPr>
              <w:t>Philippines (the)</w:t>
            </w:r>
          </w:p>
          <w:p w14:paraId="45A637C7" w14:textId="77777777" w:rsidR="000E2C9D" w:rsidRPr="00756D59" w:rsidRDefault="000E2C9D" w:rsidP="0051060F">
            <w:pPr>
              <w:jc w:val="left"/>
              <w:rPr>
                <w:sz w:val="20"/>
                <w:szCs w:val="20"/>
                <w:lang w:eastAsia="en-CA"/>
              </w:rPr>
            </w:pPr>
            <w:r w:rsidRPr="00756D59">
              <w:rPr>
                <w:sz w:val="20"/>
                <w:szCs w:val="20"/>
                <w:lang w:eastAsia="en-CA"/>
              </w:rPr>
              <w:t>PHI/SEV/83/TAS/02+</w:t>
            </w:r>
          </w:p>
        </w:tc>
        <w:tc>
          <w:tcPr>
            <w:tcW w:w="3352" w:type="dxa"/>
            <w:tcMar>
              <w:left w:w="58" w:type="dxa"/>
              <w:right w:w="58" w:type="dxa"/>
            </w:tcMar>
          </w:tcPr>
          <w:p w14:paraId="14B6A8A2" w14:textId="77777777" w:rsidR="000E2C9D" w:rsidRPr="00756D59" w:rsidRDefault="000E2C9D" w:rsidP="0051060F">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E701270" w14:textId="77777777" w:rsidR="000E2C9D" w:rsidRPr="00756D59" w:rsidRDefault="000E2C9D" w:rsidP="0051060F">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C802661" w14:textId="77777777" w:rsidR="000E2C9D" w:rsidRPr="00756D59" w:rsidRDefault="000E2C9D" w:rsidP="0051060F">
            <w:pPr>
              <w:jc w:val="center"/>
              <w:rPr>
                <w:sz w:val="20"/>
                <w:szCs w:val="20"/>
                <w:lang w:eastAsia="en-CA"/>
              </w:rPr>
            </w:pPr>
            <w:r w:rsidRPr="00756D59">
              <w:rPr>
                <w:sz w:val="20"/>
                <w:szCs w:val="20"/>
                <w:lang w:eastAsia="en-CA"/>
              </w:rPr>
              <w:t>48.6</w:t>
            </w:r>
          </w:p>
        </w:tc>
        <w:tc>
          <w:tcPr>
            <w:tcW w:w="4531" w:type="dxa"/>
            <w:tcMar>
              <w:left w:w="58" w:type="dxa"/>
              <w:right w:w="58" w:type="dxa"/>
            </w:tcMar>
          </w:tcPr>
          <w:p w14:paraId="0B4D5353" w14:textId="77777777" w:rsidR="000E2C9D" w:rsidRPr="00756D59" w:rsidRDefault="000E2C9D" w:rsidP="0051060F">
            <w:pPr>
              <w:jc w:val="left"/>
              <w:rPr>
                <w:sz w:val="20"/>
                <w:szCs w:val="20"/>
                <w:lang w:eastAsia="en-CA"/>
              </w:rPr>
            </w:pPr>
            <w:r w:rsidRPr="00756D59">
              <w:rPr>
                <w:sz w:val="20"/>
                <w:szCs w:val="20"/>
                <w:lang w:eastAsia="en-CA"/>
              </w:rPr>
              <w:t>Final stakeholder meetings and validation workshop that could not be conducted due to restriction in the country.</w:t>
            </w:r>
          </w:p>
        </w:tc>
        <w:tc>
          <w:tcPr>
            <w:tcW w:w="1629" w:type="dxa"/>
            <w:shd w:val="clear" w:color="auto" w:fill="auto"/>
            <w:tcMar>
              <w:left w:w="58" w:type="dxa"/>
              <w:right w:w="58" w:type="dxa"/>
            </w:tcMar>
          </w:tcPr>
          <w:p w14:paraId="308242D6" w14:textId="77777777" w:rsidR="000E2C9D" w:rsidRPr="00756D59" w:rsidRDefault="000E2C9D" w:rsidP="0051060F">
            <w:pPr>
              <w:jc w:val="center"/>
              <w:rPr>
                <w:sz w:val="20"/>
                <w:szCs w:val="20"/>
                <w:lang w:eastAsia="en-CA"/>
              </w:rPr>
            </w:pPr>
            <w:r w:rsidRPr="00756D59">
              <w:rPr>
                <w:sz w:val="20"/>
                <w:szCs w:val="20"/>
                <w:lang w:eastAsia="en-CA"/>
              </w:rPr>
              <w:t>Dec-21</w:t>
            </w:r>
          </w:p>
        </w:tc>
      </w:tr>
      <w:tr w:rsidR="000E2C9D" w:rsidRPr="00756D59" w14:paraId="2F6C4BD9" w14:textId="77777777" w:rsidTr="0051060F">
        <w:trPr>
          <w:trHeight w:val="337"/>
        </w:trPr>
        <w:tc>
          <w:tcPr>
            <w:tcW w:w="2261" w:type="dxa"/>
            <w:tcMar>
              <w:left w:w="58" w:type="dxa"/>
              <w:right w:w="58" w:type="dxa"/>
            </w:tcMar>
          </w:tcPr>
          <w:p w14:paraId="23BDFDA8" w14:textId="77777777" w:rsidR="000E2C9D" w:rsidRPr="00756D59" w:rsidRDefault="000E2C9D" w:rsidP="0051060F">
            <w:pPr>
              <w:jc w:val="left"/>
              <w:rPr>
                <w:color w:val="000000"/>
                <w:sz w:val="20"/>
                <w:szCs w:val="20"/>
                <w:lang w:eastAsia="en-CA"/>
              </w:rPr>
            </w:pPr>
            <w:r w:rsidRPr="00756D59">
              <w:rPr>
                <w:color w:val="000000"/>
                <w:sz w:val="20"/>
                <w:szCs w:val="20"/>
                <w:lang w:eastAsia="en-CA"/>
              </w:rPr>
              <w:t>Qatar</w:t>
            </w:r>
          </w:p>
          <w:p w14:paraId="4AB8E3A8" w14:textId="77777777" w:rsidR="000E2C9D" w:rsidRPr="00756D59" w:rsidRDefault="000E2C9D" w:rsidP="0051060F">
            <w:pPr>
              <w:jc w:val="left"/>
              <w:rPr>
                <w:sz w:val="20"/>
                <w:szCs w:val="20"/>
                <w:lang w:eastAsia="en-CA"/>
              </w:rPr>
            </w:pPr>
            <w:r w:rsidRPr="00756D59">
              <w:rPr>
                <w:color w:val="000000"/>
                <w:sz w:val="20"/>
                <w:szCs w:val="20"/>
                <w:lang w:eastAsia="en-CA"/>
              </w:rPr>
              <w:t>QAT/SEV/82/TAS/24</w:t>
            </w:r>
          </w:p>
        </w:tc>
        <w:tc>
          <w:tcPr>
            <w:tcW w:w="3352" w:type="dxa"/>
            <w:tcMar>
              <w:left w:w="58" w:type="dxa"/>
              <w:right w:w="58" w:type="dxa"/>
            </w:tcMar>
          </w:tcPr>
          <w:p w14:paraId="320284C4" w14:textId="77777777" w:rsidR="000E2C9D" w:rsidRPr="00756D59" w:rsidRDefault="000E2C9D" w:rsidP="0051060F">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25AC19CA" w14:textId="77777777" w:rsidR="000E2C9D" w:rsidRPr="00756D59" w:rsidRDefault="000E2C9D" w:rsidP="0051060F">
            <w:pPr>
              <w:jc w:val="center"/>
              <w:rPr>
                <w:sz w:val="20"/>
                <w:szCs w:val="20"/>
                <w:lang w:eastAsia="en-CA"/>
              </w:rPr>
            </w:pPr>
            <w:r w:rsidRPr="00756D59">
              <w:rPr>
                <w:color w:val="000000"/>
                <w:sz w:val="20"/>
                <w:szCs w:val="20"/>
                <w:lang w:eastAsia="en-CA"/>
              </w:rPr>
              <w:t>Dec-18</w:t>
            </w:r>
          </w:p>
        </w:tc>
        <w:tc>
          <w:tcPr>
            <w:tcW w:w="1305" w:type="dxa"/>
            <w:shd w:val="clear" w:color="auto" w:fill="auto"/>
            <w:tcMar>
              <w:left w:w="58" w:type="dxa"/>
              <w:right w:w="58" w:type="dxa"/>
            </w:tcMar>
          </w:tcPr>
          <w:p w14:paraId="566611E7" w14:textId="77777777" w:rsidR="000E2C9D" w:rsidRPr="00756D59" w:rsidRDefault="000E2C9D" w:rsidP="0051060F">
            <w:pPr>
              <w:jc w:val="center"/>
              <w:rPr>
                <w:sz w:val="20"/>
                <w:szCs w:val="20"/>
                <w:lang w:eastAsia="en-CA"/>
              </w:rPr>
            </w:pPr>
            <w:r w:rsidRPr="00756D59">
              <w:rPr>
                <w:color w:val="000000"/>
                <w:sz w:val="20"/>
                <w:szCs w:val="20"/>
                <w:lang w:eastAsia="en-CA"/>
              </w:rPr>
              <w:t>10</w:t>
            </w:r>
          </w:p>
        </w:tc>
        <w:tc>
          <w:tcPr>
            <w:tcW w:w="4531" w:type="dxa"/>
            <w:tcMar>
              <w:left w:w="58" w:type="dxa"/>
              <w:right w:w="58" w:type="dxa"/>
            </w:tcMar>
          </w:tcPr>
          <w:p w14:paraId="24C9BB9D" w14:textId="77777777" w:rsidR="000E2C9D" w:rsidRPr="00756D59" w:rsidRDefault="000E2C9D" w:rsidP="0051060F">
            <w:pPr>
              <w:jc w:val="left"/>
              <w:rPr>
                <w:sz w:val="20"/>
                <w:szCs w:val="20"/>
                <w:lang w:eastAsia="en-CA"/>
              </w:rPr>
            </w:pPr>
            <w:r w:rsidRPr="00756D59">
              <w:rPr>
                <w:color w:val="000000"/>
                <w:sz w:val="20"/>
                <w:szCs w:val="20"/>
                <w:lang w:eastAsia="en-CA"/>
              </w:rPr>
              <w:t>Activities with regard to HFC survey and analysis including identifying opportunities, challenges and barriers for applying low-GWP alternatives for various applications as well as estimating potential impact of transition to low-GWP alternatives, projected CO</w:t>
            </w:r>
            <w:r w:rsidRPr="00756D59">
              <w:rPr>
                <w:color w:val="000000"/>
                <w:sz w:val="20"/>
                <w:szCs w:val="20"/>
                <w:vertAlign w:val="subscript"/>
                <w:lang w:eastAsia="en-CA"/>
              </w:rPr>
              <w:t>2</w:t>
            </w:r>
            <w:r w:rsidRPr="00756D59">
              <w:rPr>
                <w:color w:val="000000"/>
                <w:sz w:val="20"/>
                <w:szCs w:val="20"/>
                <w:lang w:eastAsia="en-CA"/>
              </w:rPr>
              <w:t xml:space="preserve"> emissions avoided, feasibility and potential methodology for estimating HFC bank and emissions; reviewing the licensing system including organizing workshop or webinar on licensing systems to highlight the regulatory and administrative measures for the control of HFCs and HFC blends; and organising </w:t>
            </w:r>
            <w:r w:rsidRPr="00756D59">
              <w:rPr>
                <w:color w:val="000000"/>
                <w:sz w:val="20"/>
                <w:szCs w:val="20"/>
                <w:lang w:eastAsia="en-CA"/>
              </w:rPr>
              <w:lastRenderedPageBreak/>
              <w:t>workshop or webinar to identify training needs for customs officers and metrological and standards organization on monitoring and controlling HFCs trade.</w:t>
            </w:r>
          </w:p>
        </w:tc>
        <w:tc>
          <w:tcPr>
            <w:tcW w:w="1629" w:type="dxa"/>
            <w:shd w:val="clear" w:color="auto" w:fill="auto"/>
            <w:tcMar>
              <w:left w:w="58" w:type="dxa"/>
              <w:right w:w="58" w:type="dxa"/>
            </w:tcMar>
          </w:tcPr>
          <w:p w14:paraId="6A2F30B4" w14:textId="77777777" w:rsidR="000E2C9D" w:rsidRPr="00756D59" w:rsidRDefault="000E2C9D" w:rsidP="0051060F">
            <w:pPr>
              <w:jc w:val="center"/>
              <w:rPr>
                <w:sz w:val="20"/>
                <w:szCs w:val="20"/>
                <w:lang w:eastAsia="en-CA"/>
              </w:rPr>
            </w:pPr>
            <w:r w:rsidRPr="00756D59">
              <w:rPr>
                <w:color w:val="000000"/>
                <w:sz w:val="20"/>
                <w:szCs w:val="20"/>
                <w:lang w:eastAsia="en-CA"/>
              </w:rPr>
              <w:lastRenderedPageBreak/>
              <w:t>Dec-21</w:t>
            </w:r>
          </w:p>
        </w:tc>
      </w:tr>
      <w:tr w:rsidR="000E2C9D" w:rsidRPr="00756D59" w14:paraId="54BE0C47" w14:textId="77777777" w:rsidTr="0051060F">
        <w:trPr>
          <w:trHeight w:val="337"/>
        </w:trPr>
        <w:tc>
          <w:tcPr>
            <w:tcW w:w="2261" w:type="dxa"/>
            <w:tcMar>
              <w:left w:w="58" w:type="dxa"/>
              <w:right w:w="58" w:type="dxa"/>
            </w:tcMar>
          </w:tcPr>
          <w:p w14:paraId="68A6913B" w14:textId="77777777" w:rsidR="000E2C9D" w:rsidRPr="00756D59" w:rsidRDefault="000E2C9D" w:rsidP="0051060F">
            <w:pPr>
              <w:jc w:val="left"/>
              <w:rPr>
                <w:sz w:val="20"/>
                <w:szCs w:val="20"/>
                <w:lang w:eastAsia="en-CA"/>
              </w:rPr>
            </w:pPr>
            <w:r w:rsidRPr="00756D59">
              <w:rPr>
                <w:sz w:val="20"/>
                <w:szCs w:val="20"/>
                <w:lang w:eastAsia="en-CA"/>
              </w:rPr>
              <w:lastRenderedPageBreak/>
              <w:t>Somalia</w:t>
            </w:r>
          </w:p>
          <w:p w14:paraId="591E76A0" w14:textId="77777777" w:rsidR="000E2C9D" w:rsidRPr="00756D59" w:rsidRDefault="000E2C9D" w:rsidP="0051060F">
            <w:pPr>
              <w:jc w:val="left"/>
              <w:rPr>
                <w:color w:val="000000"/>
                <w:sz w:val="20"/>
                <w:szCs w:val="20"/>
                <w:lang w:eastAsia="en-CA"/>
              </w:rPr>
            </w:pPr>
            <w:r w:rsidRPr="00756D59">
              <w:rPr>
                <w:sz w:val="20"/>
                <w:szCs w:val="20"/>
                <w:lang w:eastAsia="en-CA"/>
              </w:rPr>
              <w:t>SOM/SEV/80/TAS/01+</w:t>
            </w:r>
          </w:p>
        </w:tc>
        <w:tc>
          <w:tcPr>
            <w:tcW w:w="3352" w:type="dxa"/>
            <w:tcMar>
              <w:left w:w="58" w:type="dxa"/>
              <w:right w:w="58" w:type="dxa"/>
            </w:tcMar>
          </w:tcPr>
          <w:p w14:paraId="00B9AB13" w14:textId="77777777" w:rsidR="000E2C9D" w:rsidRPr="00756D59" w:rsidRDefault="000E2C9D" w:rsidP="0051060F">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DE4AE4C" w14:textId="77777777" w:rsidR="000E2C9D" w:rsidRPr="00756D59" w:rsidRDefault="000E2C9D" w:rsidP="0051060F">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8FF94DD" w14:textId="77777777" w:rsidR="000E2C9D" w:rsidRPr="00756D59" w:rsidRDefault="000E2C9D" w:rsidP="0051060F">
            <w:pPr>
              <w:jc w:val="center"/>
              <w:rPr>
                <w:color w:val="000000"/>
                <w:sz w:val="20"/>
                <w:szCs w:val="20"/>
                <w:lang w:eastAsia="en-CA"/>
              </w:rPr>
            </w:pPr>
            <w:r w:rsidRPr="00756D59">
              <w:rPr>
                <w:sz w:val="20"/>
                <w:szCs w:val="20"/>
                <w:lang w:eastAsia="en-CA"/>
              </w:rPr>
              <w:t>69.5</w:t>
            </w:r>
          </w:p>
        </w:tc>
        <w:tc>
          <w:tcPr>
            <w:tcW w:w="4531" w:type="dxa"/>
            <w:tcMar>
              <w:left w:w="58" w:type="dxa"/>
              <w:right w:w="58" w:type="dxa"/>
            </w:tcMar>
          </w:tcPr>
          <w:p w14:paraId="7FFEE661" w14:textId="77777777" w:rsidR="000E2C9D" w:rsidRPr="00756D59" w:rsidRDefault="000E2C9D" w:rsidP="0051060F">
            <w:pPr>
              <w:jc w:val="left"/>
              <w:rPr>
                <w:color w:val="000000"/>
                <w:sz w:val="20"/>
                <w:szCs w:val="20"/>
                <w:lang w:eastAsia="en-CA"/>
              </w:rPr>
            </w:pPr>
            <w:r w:rsidRPr="00756D59">
              <w:rPr>
                <w:sz w:val="20"/>
                <w:szCs w:val="20"/>
                <w:lang w:eastAsia="en-CA"/>
              </w:rPr>
              <w:t>Completion of the remaining activities including review of the licensing systems, review of the data reporting systems and preparation of national strategy for Kigali Amendment implementation.</w:t>
            </w:r>
          </w:p>
        </w:tc>
        <w:tc>
          <w:tcPr>
            <w:tcW w:w="1629" w:type="dxa"/>
            <w:shd w:val="clear" w:color="auto" w:fill="auto"/>
            <w:tcMar>
              <w:left w:w="58" w:type="dxa"/>
              <w:right w:w="58" w:type="dxa"/>
            </w:tcMar>
          </w:tcPr>
          <w:p w14:paraId="70D9206E" w14:textId="77777777" w:rsidR="000E2C9D" w:rsidRPr="00756D59" w:rsidRDefault="000E2C9D" w:rsidP="0051060F">
            <w:pPr>
              <w:jc w:val="center"/>
              <w:rPr>
                <w:color w:val="000000"/>
                <w:sz w:val="20"/>
                <w:szCs w:val="20"/>
                <w:lang w:eastAsia="en-CA"/>
              </w:rPr>
            </w:pPr>
            <w:r w:rsidRPr="00756D59">
              <w:rPr>
                <w:sz w:val="20"/>
                <w:szCs w:val="20"/>
                <w:lang w:eastAsia="en-CA"/>
              </w:rPr>
              <w:t>Dec-21</w:t>
            </w:r>
          </w:p>
        </w:tc>
      </w:tr>
      <w:tr w:rsidR="000E2C9D" w:rsidRPr="00756D59" w14:paraId="20194AA0" w14:textId="77777777" w:rsidTr="0051060F">
        <w:trPr>
          <w:trHeight w:val="337"/>
        </w:trPr>
        <w:tc>
          <w:tcPr>
            <w:tcW w:w="2261" w:type="dxa"/>
            <w:tcMar>
              <w:left w:w="58" w:type="dxa"/>
              <w:right w:w="58" w:type="dxa"/>
            </w:tcMar>
          </w:tcPr>
          <w:p w14:paraId="19E9E46D" w14:textId="77777777" w:rsidR="000E2C9D" w:rsidRPr="00756D59" w:rsidRDefault="000E2C9D" w:rsidP="0051060F">
            <w:pPr>
              <w:jc w:val="left"/>
              <w:rPr>
                <w:color w:val="000000"/>
                <w:sz w:val="20"/>
                <w:szCs w:val="20"/>
                <w:lang w:eastAsia="en-CA"/>
              </w:rPr>
            </w:pPr>
            <w:r w:rsidRPr="00756D59">
              <w:rPr>
                <w:color w:val="000000"/>
                <w:sz w:val="20"/>
                <w:szCs w:val="20"/>
                <w:lang w:eastAsia="en-CA"/>
              </w:rPr>
              <w:t>Turkey</w:t>
            </w:r>
          </w:p>
          <w:p w14:paraId="3CECDAE7" w14:textId="77777777" w:rsidR="000E2C9D" w:rsidRPr="00756D59" w:rsidRDefault="000E2C9D" w:rsidP="0051060F">
            <w:pPr>
              <w:jc w:val="left"/>
              <w:rPr>
                <w:color w:val="000000"/>
                <w:sz w:val="20"/>
                <w:szCs w:val="20"/>
                <w:lang w:eastAsia="en-CA"/>
              </w:rPr>
            </w:pPr>
            <w:r w:rsidRPr="00756D59">
              <w:rPr>
                <w:color w:val="000000"/>
                <w:sz w:val="20"/>
                <w:szCs w:val="20"/>
                <w:lang w:eastAsia="en-CA"/>
              </w:rPr>
              <w:t>TUR/SEV/80/TAS/01+</w:t>
            </w:r>
          </w:p>
        </w:tc>
        <w:tc>
          <w:tcPr>
            <w:tcW w:w="3352" w:type="dxa"/>
            <w:tcMar>
              <w:left w:w="58" w:type="dxa"/>
              <w:right w:w="58" w:type="dxa"/>
            </w:tcMar>
          </w:tcPr>
          <w:p w14:paraId="65969753" w14:textId="77777777" w:rsidR="000E2C9D" w:rsidRPr="00756D59" w:rsidRDefault="000E2C9D" w:rsidP="0051060F">
            <w:pPr>
              <w:jc w:val="left"/>
              <w:rPr>
                <w:color w:val="000000"/>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5D3828F6" w14:textId="77777777" w:rsidR="000E2C9D" w:rsidRPr="00756D59" w:rsidRDefault="000E2C9D" w:rsidP="0051060F">
            <w:pPr>
              <w:jc w:val="center"/>
              <w:rPr>
                <w:color w:val="000000"/>
                <w:sz w:val="20"/>
                <w:szCs w:val="20"/>
                <w:lang w:eastAsia="en-CA"/>
              </w:rPr>
            </w:pPr>
            <w:r w:rsidRPr="00756D59">
              <w:rPr>
                <w:color w:val="000000"/>
                <w:sz w:val="20"/>
                <w:szCs w:val="20"/>
                <w:lang w:eastAsia="en-CA"/>
              </w:rPr>
              <w:t>Nov-17</w:t>
            </w:r>
          </w:p>
        </w:tc>
        <w:tc>
          <w:tcPr>
            <w:tcW w:w="1305" w:type="dxa"/>
            <w:shd w:val="clear" w:color="auto" w:fill="auto"/>
            <w:tcMar>
              <w:left w:w="58" w:type="dxa"/>
              <w:right w:w="58" w:type="dxa"/>
            </w:tcMar>
          </w:tcPr>
          <w:p w14:paraId="4E884F17" w14:textId="77777777" w:rsidR="000E2C9D" w:rsidRPr="00756D59" w:rsidRDefault="000E2C9D" w:rsidP="0051060F">
            <w:pPr>
              <w:jc w:val="center"/>
              <w:rPr>
                <w:color w:val="000000"/>
                <w:sz w:val="20"/>
                <w:szCs w:val="20"/>
                <w:lang w:eastAsia="en-CA"/>
              </w:rPr>
            </w:pPr>
            <w:r w:rsidRPr="00756D59">
              <w:rPr>
                <w:color w:val="000000"/>
                <w:sz w:val="20"/>
                <w:szCs w:val="20"/>
                <w:lang w:eastAsia="en-CA"/>
              </w:rPr>
              <w:t>75.1</w:t>
            </w:r>
          </w:p>
        </w:tc>
        <w:tc>
          <w:tcPr>
            <w:tcW w:w="4531" w:type="dxa"/>
            <w:tcMar>
              <w:left w:w="58" w:type="dxa"/>
              <w:right w:w="58" w:type="dxa"/>
            </w:tcMar>
          </w:tcPr>
          <w:p w14:paraId="5E4F0A82" w14:textId="77777777" w:rsidR="000E2C9D" w:rsidRPr="00756D59" w:rsidRDefault="000E2C9D" w:rsidP="0051060F">
            <w:pPr>
              <w:jc w:val="left"/>
              <w:rPr>
                <w:color w:val="000000"/>
                <w:sz w:val="20"/>
                <w:szCs w:val="20"/>
                <w:lang w:eastAsia="en-CA"/>
              </w:rPr>
            </w:pPr>
            <w:r w:rsidRPr="00756D59">
              <w:rPr>
                <w:color w:val="000000"/>
                <w:sz w:val="20"/>
                <w:szCs w:val="20"/>
                <w:lang w:eastAsia="en-CA"/>
              </w:rPr>
              <w:t>Completion of study tour for experience exchange relating to Kigali Amendment implementation.</w:t>
            </w:r>
          </w:p>
        </w:tc>
        <w:tc>
          <w:tcPr>
            <w:tcW w:w="1629" w:type="dxa"/>
            <w:shd w:val="clear" w:color="auto" w:fill="auto"/>
            <w:tcMar>
              <w:left w:w="58" w:type="dxa"/>
              <w:right w:w="58" w:type="dxa"/>
            </w:tcMar>
          </w:tcPr>
          <w:p w14:paraId="1952FF4F" w14:textId="77777777" w:rsidR="000E2C9D" w:rsidRPr="00756D59" w:rsidRDefault="000E2C9D" w:rsidP="0051060F">
            <w:pPr>
              <w:jc w:val="center"/>
              <w:rPr>
                <w:color w:val="000000"/>
                <w:sz w:val="20"/>
                <w:szCs w:val="20"/>
                <w:lang w:eastAsia="en-CA"/>
              </w:rPr>
            </w:pPr>
            <w:r w:rsidRPr="00756D59">
              <w:rPr>
                <w:color w:val="000000"/>
                <w:sz w:val="20"/>
                <w:szCs w:val="20"/>
                <w:lang w:eastAsia="en-CA"/>
              </w:rPr>
              <w:t>Dec-21</w:t>
            </w:r>
          </w:p>
        </w:tc>
      </w:tr>
      <w:tr w:rsidR="000E2C9D" w:rsidRPr="00756D59" w14:paraId="70E0C3CA" w14:textId="77777777" w:rsidTr="0051060F">
        <w:trPr>
          <w:trHeight w:val="337"/>
        </w:trPr>
        <w:tc>
          <w:tcPr>
            <w:tcW w:w="2261" w:type="dxa"/>
            <w:tcMar>
              <w:left w:w="58" w:type="dxa"/>
              <w:right w:w="58" w:type="dxa"/>
            </w:tcMar>
          </w:tcPr>
          <w:p w14:paraId="05509633" w14:textId="77777777" w:rsidR="000E2C9D" w:rsidRPr="00756D59" w:rsidRDefault="000E2C9D" w:rsidP="0051060F">
            <w:pPr>
              <w:jc w:val="left"/>
              <w:rPr>
                <w:sz w:val="20"/>
                <w:szCs w:val="20"/>
                <w:lang w:eastAsia="en-CA"/>
              </w:rPr>
            </w:pPr>
            <w:r w:rsidRPr="00756D59">
              <w:rPr>
                <w:sz w:val="20"/>
                <w:szCs w:val="20"/>
                <w:lang w:eastAsia="en-CA"/>
              </w:rPr>
              <w:t>Uruguay</w:t>
            </w:r>
          </w:p>
          <w:p w14:paraId="7F9ECD3C" w14:textId="77777777" w:rsidR="000E2C9D" w:rsidRPr="00756D59" w:rsidRDefault="000E2C9D" w:rsidP="0051060F">
            <w:pPr>
              <w:jc w:val="left"/>
              <w:rPr>
                <w:color w:val="000000"/>
                <w:sz w:val="20"/>
                <w:szCs w:val="20"/>
                <w:lang w:eastAsia="en-CA"/>
              </w:rPr>
            </w:pPr>
            <w:r w:rsidRPr="00756D59">
              <w:rPr>
                <w:sz w:val="20"/>
                <w:szCs w:val="20"/>
                <w:lang w:eastAsia="en-CA"/>
              </w:rPr>
              <w:t>URU/SEV/80/TAS/01+</w:t>
            </w:r>
          </w:p>
        </w:tc>
        <w:tc>
          <w:tcPr>
            <w:tcW w:w="3352" w:type="dxa"/>
            <w:tcMar>
              <w:left w:w="58" w:type="dxa"/>
              <w:right w:w="58" w:type="dxa"/>
            </w:tcMar>
          </w:tcPr>
          <w:p w14:paraId="0A34652B" w14:textId="77777777" w:rsidR="000E2C9D" w:rsidRPr="00756D59" w:rsidRDefault="000E2C9D" w:rsidP="0051060F">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719EB87" w14:textId="77777777" w:rsidR="000E2C9D" w:rsidRPr="00756D59" w:rsidRDefault="000E2C9D" w:rsidP="0051060F">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86D69C4" w14:textId="77777777" w:rsidR="000E2C9D" w:rsidRPr="00756D59" w:rsidRDefault="000E2C9D" w:rsidP="0051060F">
            <w:pPr>
              <w:jc w:val="center"/>
              <w:rPr>
                <w:color w:val="000000"/>
                <w:sz w:val="20"/>
                <w:szCs w:val="20"/>
                <w:lang w:eastAsia="en-CA"/>
              </w:rPr>
            </w:pPr>
            <w:r w:rsidRPr="00756D59">
              <w:rPr>
                <w:sz w:val="20"/>
                <w:szCs w:val="20"/>
                <w:lang w:eastAsia="en-CA"/>
              </w:rPr>
              <w:t>86.6</w:t>
            </w:r>
          </w:p>
        </w:tc>
        <w:tc>
          <w:tcPr>
            <w:tcW w:w="4531" w:type="dxa"/>
            <w:tcMar>
              <w:left w:w="58" w:type="dxa"/>
              <w:right w:w="58" w:type="dxa"/>
            </w:tcMar>
          </w:tcPr>
          <w:p w14:paraId="787F683B" w14:textId="77777777" w:rsidR="000E2C9D" w:rsidRPr="00756D59" w:rsidRDefault="000E2C9D" w:rsidP="0051060F">
            <w:pPr>
              <w:jc w:val="left"/>
              <w:rPr>
                <w:color w:val="000000"/>
                <w:sz w:val="20"/>
                <w:szCs w:val="20"/>
                <w:lang w:eastAsia="en-CA"/>
              </w:rPr>
            </w:pPr>
            <w:r w:rsidRPr="00756D59">
              <w:rPr>
                <w:sz w:val="20"/>
                <w:szCs w:val="20"/>
                <w:lang w:eastAsia="en-CA"/>
              </w:rPr>
              <w:t>Completion of review of on-line training programmes.</w:t>
            </w:r>
          </w:p>
        </w:tc>
        <w:tc>
          <w:tcPr>
            <w:tcW w:w="1629" w:type="dxa"/>
            <w:shd w:val="clear" w:color="auto" w:fill="auto"/>
            <w:tcMar>
              <w:left w:w="58" w:type="dxa"/>
              <w:right w:w="58" w:type="dxa"/>
            </w:tcMar>
          </w:tcPr>
          <w:p w14:paraId="4ACE8C14" w14:textId="77777777" w:rsidR="000E2C9D" w:rsidRPr="00756D59" w:rsidRDefault="000E2C9D" w:rsidP="0051060F">
            <w:pPr>
              <w:jc w:val="center"/>
              <w:rPr>
                <w:color w:val="000000"/>
                <w:sz w:val="20"/>
                <w:szCs w:val="20"/>
                <w:lang w:eastAsia="en-CA"/>
              </w:rPr>
            </w:pPr>
            <w:r w:rsidRPr="00756D59">
              <w:rPr>
                <w:sz w:val="20"/>
                <w:szCs w:val="20"/>
                <w:lang w:eastAsia="en-CA"/>
              </w:rPr>
              <w:t>Dec-21</w:t>
            </w:r>
          </w:p>
        </w:tc>
      </w:tr>
      <w:tr w:rsidR="000E2C9D" w:rsidRPr="00756D59" w14:paraId="2BDEFD5D" w14:textId="77777777" w:rsidTr="0051060F">
        <w:trPr>
          <w:trHeight w:val="337"/>
        </w:trPr>
        <w:tc>
          <w:tcPr>
            <w:tcW w:w="2261" w:type="dxa"/>
            <w:tcMar>
              <w:left w:w="58" w:type="dxa"/>
              <w:right w:w="58" w:type="dxa"/>
            </w:tcMar>
          </w:tcPr>
          <w:p w14:paraId="79C40521" w14:textId="77777777" w:rsidR="000E2C9D" w:rsidRPr="00756D59" w:rsidRDefault="000E2C9D" w:rsidP="0051060F">
            <w:pPr>
              <w:jc w:val="left"/>
              <w:rPr>
                <w:sz w:val="20"/>
                <w:szCs w:val="20"/>
                <w:lang w:eastAsia="en-CA"/>
              </w:rPr>
            </w:pPr>
            <w:r w:rsidRPr="00756D59">
              <w:rPr>
                <w:sz w:val="20"/>
                <w:szCs w:val="20"/>
                <w:lang w:eastAsia="en-CA"/>
              </w:rPr>
              <w:t>Venezuela (Bolivarian Republic of)</w:t>
            </w:r>
          </w:p>
          <w:p w14:paraId="7005C0CA" w14:textId="77777777" w:rsidR="000E2C9D" w:rsidRPr="00756D59" w:rsidRDefault="000E2C9D" w:rsidP="0051060F">
            <w:pPr>
              <w:jc w:val="left"/>
              <w:rPr>
                <w:color w:val="000000"/>
                <w:sz w:val="20"/>
                <w:szCs w:val="20"/>
                <w:lang w:eastAsia="en-CA"/>
              </w:rPr>
            </w:pPr>
            <w:r w:rsidRPr="00756D59">
              <w:rPr>
                <w:sz w:val="20"/>
                <w:szCs w:val="20"/>
                <w:lang w:eastAsia="en-CA"/>
              </w:rPr>
              <w:t>VEN/SEV/81/TAS/01+</w:t>
            </w:r>
          </w:p>
        </w:tc>
        <w:tc>
          <w:tcPr>
            <w:tcW w:w="3352" w:type="dxa"/>
            <w:tcMar>
              <w:left w:w="58" w:type="dxa"/>
              <w:right w:w="58" w:type="dxa"/>
            </w:tcMar>
          </w:tcPr>
          <w:p w14:paraId="27C204B0" w14:textId="77777777" w:rsidR="000E2C9D" w:rsidRPr="00756D59" w:rsidRDefault="000E2C9D" w:rsidP="0051060F">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93A9ECA" w14:textId="77777777" w:rsidR="000E2C9D" w:rsidRPr="00756D59" w:rsidRDefault="000E2C9D" w:rsidP="0051060F">
            <w:pPr>
              <w:jc w:val="center"/>
              <w:rPr>
                <w:color w:val="000000"/>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8EA96D5" w14:textId="77777777" w:rsidR="000E2C9D" w:rsidRPr="00756D59" w:rsidRDefault="000E2C9D" w:rsidP="0051060F">
            <w:pPr>
              <w:jc w:val="center"/>
              <w:rPr>
                <w:color w:val="000000"/>
                <w:sz w:val="20"/>
                <w:szCs w:val="20"/>
                <w:lang w:eastAsia="en-CA"/>
              </w:rPr>
            </w:pPr>
            <w:r w:rsidRPr="00756D59">
              <w:rPr>
                <w:sz w:val="20"/>
                <w:szCs w:val="20"/>
                <w:lang w:eastAsia="en-CA"/>
              </w:rPr>
              <w:t>56.2</w:t>
            </w:r>
          </w:p>
        </w:tc>
        <w:tc>
          <w:tcPr>
            <w:tcW w:w="4531" w:type="dxa"/>
            <w:tcMar>
              <w:left w:w="58" w:type="dxa"/>
              <w:right w:w="58" w:type="dxa"/>
            </w:tcMar>
          </w:tcPr>
          <w:p w14:paraId="1AA92EFD" w14:textId="77777777" w:rsidR="000E2C9D" w:rsidRPr="00756D59" w:rsidRDefault="000E2C9D" w:rsidP="0051060F">
            <w:pPr>
              <w:jc w:val="left"/>
              <w:rPr>
                <w:color w:val="000000"/>
                <w:sz w:val="20"/>
                <w:szCs w:val="20"/>
                <w:lang w:eastAsia="en-CA"/>
              </w:rPr>
            </w:pPr>
            <w:r w:rsidRPr="00756D59">
              <w:rPr>
                <w:sz w:val="20"/>
                <w:szCs w:val="20"/>
                <w:lang w:eastAsia="en-CA"/>
              </w:rPr>
              <w:t>Review of standards for adoption of HFC-free technologies; customs trainings related to HFC control; and technical and administrative support for ratification.</w:t>
            </w:r>
          </w:p>
        </w:tc>
        <w:tc>
          <w:tcPr>
            <w:tcW w:w="1629" w:type="dxa"/>
            <w:shd w:val="clear" w:color="auto" w:fill="auto"/>
            <w:tcMar>
              <w:left w:w="58" w:type="dxa"/>
              <w:right w:w="58" w:type="dxa"/>
            </w:tcMar>
          </w:tcPr>
          <w:p w14:paraId="677C6FEE" w14:textId="77777777" w:rsidR="000E2C9D" w:rsidRPr="00756D59" w:rsidRDefault="000E2C9D" w:rsidP="0051060F">
            <w:pPr>
              <w:jc w:val="center"/>
              <w:rPr>
                <w:color w:val="000000"/>
                <w:sz w:val="20"/>
                <w:szCs w:val="20"/>
                <w:lang w:eastAsia="en-CA"/>
              </w:rPr>
            </w:pPr>
            <w:r w:rsidRPr="00756D59">
              <w:rPr>
                <w:sz w:val="20"/>
                <w:szCs w:val="20"/>
                <w:lang w:eastAsia="en-CA"/>
              </w:rPr>
              <w:t>Jun-22</w:t>
            </w:r>
          </w:p>
        </w:tc>
      </w:tr>
      <w:tr w:rsidR="000E2C9D" w:rsidRPr="00756D59" w14:paraId="2643BEA9" w14:textId="77777777" w:rsidTr="0051060F">
        <w:trPr>
          <w:trHeight w:val="337"/>
        </w:trPr>
        <w:tc>
          <w:tcPr>
            <w:tcW w:w="2261" w:type="dxa"/>
            <w:tcMar>
              <w:left w:w="58" w:type="dxa"/>
              <w:right w:w="58" w:type="dxa"/>
            </w:tcMar>
          </w:tcPr>
          <w:p w14:paraId="24AAB4F3" w14:textId="77777777" w:rsidR="000E2C9D" w:rsidRPr="00756D59" w:rsidRDefault="000E2C9D" w:rsidP="0051060F">
            <w:pPr>
              <w:keepNext/>
              <w:jc w:val="left"/>
              <w:rPr>
                <w:b/>
              </w:rPr>
            </w:pPr>
            <w:r w:rsidRPr="00756D59">
              <w:rPr>
                <w:b/>
              </w:rPr>
              <w:t>WORLD BANK</w:t>
            </w:r>
          </w:p>
        </w:tc>
        <w:tc>
          <w:tcPr>
            <w:tcW w:w="3352" w:type="dxa"/>
            <w:tcMar>
              <w:left w:w="58" w:type="dxa"/>
              <w:right w:w="58" w:type="dxa"/>
            </w:tcMar>
          </w:tcPr>
          <w:p w14:paraId="43EC91CA" w14:textId="77777777" w:rsidR="000E2C9D" w:rsidRPr="00756D59" w:rsidRDefault="000E2C9D" w:rsidP="0051060F">
            <w:pPr>
              <w:jc w:val="left"/>
              <w:rPr>
                <w:color w:val="000000"/>
                <w:sz w:val="20"/>
                <w:szCs w:val="20"/>
                <w:lang w:eastAsia="en-CA"/>
              </w:rPr>
            </w:pPr>
          </w:p>
        </w:tc>
        <w:tc>
          <w:tcPr>
            <w:tcW w:w="1236" w:type="dxa"/>
            <w:tcMar>
              <w:left w:w="58" w:type="dxa"/>
              <w:right w:w="58" w:type="dxa"/>
            </w:tcMar>
          </w:tcPr>
          <w:p w14:paraId="65A1BF1B" w14:textId="77777777" w:rsidR="000E2C9D" w:rsidRPr="00756D59" w:rsidRDefault="000E2C9D" w:rsidP="0051060F">
            <w:pPr>
              <w:jc w:val="center"/>
              <w:rPr>
                <w:color w:val="000000"/>
                <w:sz w:val="20"/>
                <w:szCs w:val="20"/>
                <w:lang w:eastAsia="en-CA"/>
              </w:rPr>
            </w:pPr>
          </w:p>
        </w:tc>
        <w:tc>
          <w:tcPr>
            <w:tcW w:w="1305" w:type="dxa"/>
            <w:shd w:val="clear" w:color="auto" w:fill="auto"/>
            <w:tcMar>
              <w:left w:w="58" w:type="dxa"/>
              <w:right w:w="58" w:type="dxa"/>
            </w:tcMar>
          </w:tcPr>
          <w:p w14:paraId="092D6F04" w14:textId="77777777" w:rsidR="000E2C9D" w:rsidRPr="00756D59" w:rsidRDefault="000E2C9D" w:rsidP="0051060F">
            <w:pPr>
              <w:jc w:val="center"/>
              <w:rPr>
                <w:color w:val="000000"/>
                <w:sz w:val="20"/>
                <w:szCs w:val="20"/>
                <w:lang w:eastAsia="en-CA"/>
              </w:rPr>
            </w:pPr>
          </w:p>
        </w:tc>
        <w:tc>
          <w:tcPr>
            <w:tcW w:w="4531" w:type="dxa"/>
            <w:tcMar>
              <w:left w:w="58" w:type="dxa"/>
              <w:right w:w="58" w:type="dxa"/>
            </w:tcMar>
          </w:tcPr>
          <w:p w14:paraId="2F0897C3" w14:textId="77777777" w:rsidR="000E2C9D" w:rsidRPr="00756D59" w:rsidRDefault="000E2C9D" w:rsidP="0051060F">
            <w:pPr>
              <w:jc w:val="left"/>
              <w:rPr>
                <w:color w:val="000000"/>
                <w:sz w:val="20"/>
                <w:szCs w:val="20"/>
                <w:lang w:eastAsia="en-CA"/>
              </w:rPr>
            </w:pPr>
          </w:p>
        </w:tc>
        <w:tc>
          <w:tcPr>
            <w:tcW w:w="1629" w:type="dxa"/>
            <w:shd w:val="clear" w:color="auto" w:fill="auto"/>
            <w:tcMar>
              <w:left w:w="58" w:type="dxa"/>
              <w:right w:w="58" w:type="dxa"/>
            </w:tcMar>
          </w:tcPr>
          <w:p w14:paraId="77B2ED3A" w14:textId="77777777" w:rsidR="000E2C9D" w:rsidRPr="00756D59" w:rsidRDefault="000E2C9D" w:rsidP="0051060F">
            <w:pPr>
              <w:jc w:val="center"/>
              <w:rPr>
                <w:color w:val="000000"/>
                <w:sz w:val="20"/>
                <w:szCs w:val="20"/>
                <w:lang w:eastAsia="en-CA"/>
              </w:rPr>
            </w:pPr>
          </w:p>
        </w:tc>
      </w:tr>
      <w:tr w:rsidR="000E2C9D" w:rsidRPr="00A94487" w14:paraId="44129F06" w14:textId="77777777" w:rsidTr="0051060F">
        <w:trPr>
          <w:trHeight w:val="337"/>
        </w:trPr>
        <w:tc>
          <w:tcPr>
            <w:tcW w:w="2261" w:type="dxa"/>
            <w:tcMar>
              <w:left w:w="58" w:type="dxa"/>
              <w:right w:w="58" w:type="dxa"/>
            </w:tcMar>
          </w:tcPr>
          <w:p w14:paraId="0FF62526" w14:textId="77777777" w:rsidR="000E2C9D" w:rsidRPr="00756D59" w:rsidRDefault="000E2C9D" w:rsidP="0051060F">
            <w:pPr>
              <w:jc w:val="left"/>
              <w:rPr>
                <w:sz w:val="20"/>
                <w:szCs w:val="20"/>
                <w:lang w:eastAsia="en-CA"/>
              </w:rPr>
            </w:pPr>
            <w:r w:rsidRPr="00756D59">
              <w:rPr>
                <w:sz w:val="20"/>
                <w:szCs w:val="20"/>
                <w:lang w:eastAsia="en-CA"/>
              </w:rPr>
              <w:t>Thailand</w:t>
            </w:r>
          </w:p>
          <w:p w14:paraId="70FBEEC8" w14:textId="77777777" w:rsidR="000E2C9D" w:rsidRPr="00756D59" w:rsidRDefault="000E2C9D" w:rsidP="0051060F">
            <w:pPr>
              <w:jc w:val="left"/>
              <w:rPr>
                <w:color w:val="000000"/>
                <w:sz w:val="20"/>
                <w:szCs w:val="20"/>
                <w:lang w:eastAsia="en-CA"/>
              </w:rPr>
            </w:pPr>
            <w:r w:rsidRPr="00756D59">
              <w:rPr>
                <w:sz w:val="20"/>
                <w:szCs w:val="20"/>
                <w:lang w:eastAsia="en-CA"/>
              </w:rPr>
              <w:t>THA/SEV/80/TAS/01+</w:t>
            </w:r>
          </w:p>
        </w:tc>
        <w:tc>
          <w:tcPr>
            <w:tcW w:w="3352" w:type="dxa"/>
            <w:tcMar>
              <w:left w:w="58" w:type="dxa"/>
              <w:right w:w="58" w:type="dxa"/>
            </w:tcMar>
          </w:tcPr>
          <w:p w14:paraId="0C044F8B" w14:textId="77777777" w:rsidR="000E2C9D" w:rsidRPr="00756D59" w:rsidRDefault="000E2C9D" w:rsidP="0051060F">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C6C35BB" w14:textId="77777777" w:rsidR="000E2C9D" w:rsidRPr="00756D59" w:rsidRDefault="000E2C9D" w:rsidP="0051060F">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E55FD2E" w14:textId="77777777" w:rsidR="000E2C9D" w:rsidRPr="00756D59" w:rsidRDefault="000E2C9D" w:rsidP="0051060F">
            <w:pPr>
              <w:jc w:val="center"/>
              <w:rPr>
                <w:color w:val="000000"/>
                <w:sz w:val="20"/>
                <w:szCs w:val="20"/>
                <w:lang w:eastAsia="en-CA"/>
              </w:rPr>
            </w:pPr>
            <w:r w:rsidRPr="00756D59">
              <w:rPr>
                <w:sz w:val="20"/>
                <w:szCs w:val="20"/>
                <w:lang w:eastAsia="en-CA"/>
              </w:rPr>
              <w:t>42.7</w:t>
            </w:r>
          </w:p>
        </w:tc>
        <w:tc>
          <w:tcPr>
            <w:tcW w:w="4531" w:type="dxa"/>
            <w:tcMar>
              <w:left w:w="58" w:type="dxa"/>
              <w:right w:w="58" w:type="dxa"/>
            </w:tcMar>
          </w:tcPr>
          <w:p w14:paraId="43DEBB08" w14:textId="77777777" w:rsidR="000E2C9D" w:rsidRPr="00756D59" w:rsidRDefault="000E2C9D" w:rsidP="0051060F">
            <w:pPr>
              <w:jc w:val="left"/>
              <w:rPr>
                <w:color w:val="000000"/>
                <w:sz w:val="20"/>
                <w:szCs w:val="20"/>
                <w:lang w:eastAsia="en-CA"/>
              </w:rPr>
            </w:pPr>
            <w:r w:rsidRPr="00756D59">
              <w:rPr>
                <w:sz w:val="20"/>
                <w:szCs w:val="20"/>
                <w:lang w:eastAsia="en-CA"/>
              </w:rPr>
              <w:t>Finalization of cost analysis and strategy development; stakeholder consultation on the strategy; and finalization of report.</w:t>
            </w:r>
          </w:p>
        </w:tc>
        <w:tc>
          <w:tcPr>
            <w:tcW w:w="1629" w:type="dxa"/>
            <w:shd w:val="clear" w:color="auto" w:fill="auto"/>
            <w:tcMar>
              <w:left w:w="58" w:type="dxa"/>
              <w:right w:w="58" w:type="dxa"/>
            </w:tcMar>
          </w:tcPr>
          <w:p w14:paraId="52B9FC58" w14:textId="77777777" w:rsidR="000E2C9D" w:rsidRPr="00A94487" w:rsidRDefault="000E2C9D" w:rsidP="0051060F">
            <w:pPr>
              <w:jc w:val="center"/>
              <w:rPr>
                <w:color w:val="000000"/>
                <w:sz w:val="20"/>
                <w:szCs w:val="20"/>
                <w:lang w:eastAsia="en-CA"/>
              </w:rPr>
            </w:pPr>
            <w:r w:rsidRPr="00756D59">
              <w:rPr>
                <w:sz w:val="20"/>
                <w:szCs w:val="20"/>
                <w:lang w:eastAsia="en-CA"/>
              </w:rPr>
              <w:t>Sep-21</w:t>
            </w:r>
          </w:p>
        </w:tc>
      </w:tr>
    </w:tbl>
    <w:p w14:paraId="196B87F7" w14:textId="77777777" w:rsidR="000E2C9D" w:rsidRDefault="000E2C9D" w:rsidP="000E2C9D"/>
    <w:p w14:paraId="4D4BDFF4" w14:textId="77777777" w:rsidR="00756D59" w:rsidRPr="00A94487" w:rsidRDefault="00756D59" w:rsidP="000E2C9D"/>
    <w:p w14:paraId="72DB6995" w14:textId="77777777" w:rsidR="00B415BF" w:rsidRPr="00EB24D7" w:rsidRDefault="00B415BF" w:rsidP="00B415BF"/>
    <w:tbl>
      <w:tblPr>
        <w:tblStyle w:val="TableGrid"/>
        <w:tblW w:w="1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2"/>
        <w:gridCol w:w="2852"/>
        <w:gridCol w:w="2852"/>
        <w:gridCol w:w="2854"/>
      </w:tblGrid>
      <w:tr w:rsidR="00E85409" w14:paraId="1E264FF7" w14:textId="77777777" w:rsidTr="00756D59">
        <w:trPr>
          <w:trHeight w:val="533"/>
        </w:trPr>
        <w:tc>
          <w:tcPr>
            <w:tcW w:w="2851" w:type="dxa"/>
          </w:tcPr>
          <w:p w14:paraId="666E6014" w14:textId="77777777" w:rsidR="00E85409" w:rsidRDefault="00E85409" w:rsidP="00F71FF8"/>
        </w:tc>
        <w:tc>
          <w:tcPr>
            <w:tcW w:w="2852" w:type="dxa"/>
          </w:tcPr>
          <w:p w14:paraId="3368CF49" w14:textId="77777777" w:rsidR="00E85409" w:rsidRDefault="00E85409" w:rsidP="00F71FF8"/>
        </w:tc>
        <w:tc>
          <w:tcPr>
            <w:tcW w:w="2852" w:type="dxa"/>
            <w:tcBorders>
              <w:bottom w:val="single" w:sz="4" w:space="0" w:color="auto"/>
            </w:tcBorders>
          </w:tcPr>
          <w:p w14:paraId="56E4EC33" w14:textId="77777777" w:rsidR="00E85409" w:rsidRDefault="00E85409" w:rsidP="00F71FF8"/>
        </w:tc>
        <w:tc>
          <w:tcPr>
            <w:tcW w:w="2852" w:type="dxa"/>
          </w:tcPr>
          <w:p w14:paraId="274641B6" w14:textId="77777777" w:rsidR="00E85409" w:rsidRDefault="00E85409" w:rsidP="00F71FF8"/>
        </w:tc>
        <w:tc>
          <w:tcPr>
            <w:tcW w:w="2854" w:type="dxa"/>
          </w:tcPr>
          <w:p w14:paraId="4D53AD25" w14:textId="77777777" w:rsidR="00E85409" w:rsidRDefault="00E85409" w:rsidP="00F71FF8"/>
        </w:tc>
      </w:tr>
    </w:tbl>
    <w:p w14:paraId="3ED6834F" w14:textId="77777777" w:rsidR="00E85409" w:rsidRPr="00B04161" w:rsidRDefault="00E85409" w:rsidP="004E7F9C">
      <w:pPr>
        <w:rPr>
          <w:lang w:val="en-CA"/>
        </w:rPr>
      </w:pPr>
    </w:p>
    <w:sectPr w:rsidR="00E85409" w:rsidRPr="00B04161" w:rsidSect="000E2C9D">
      <w:headerReference w:type="even" r:id="rId37"/>
      <w:headerReference w:type="default" r:id="rId38"/>
      <w:footerReference w:type="even" r:id="rId39"/>
      <w:footerReference w:type="default" r:id="rId40"/>
      <w:headerReference w:type="first" r:id="rId41"/>
      <w:footerReference w:type="first" r:id="rId42"/>
      <w:pgSz w:w="15840" w:h="12240" w:orient="landscape" w:code="1"/>
      <w:pgMar w:top="1440" w:right="864" w:bottom="1440" w:left="72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F1F5" w14:textId="77777777" w:rsidR="005A0741" w:rsidRDefault="005A0741" w:rsidP="004A504B">
      <w:r>
        <w:separator/>
      </w:r>
    </w:p>
  </w:endnote>
  <w:endnote w:type="continuationSeparator" w:id="0">
    <w:p w14:paraId="20F5BD56" w14:textId="77777777" w:rsidR="005A0741" w:rsidRDefault="005A0741" w:rsidP="004A504B">
      <w:r>
        <w:continuationSeparator/>
      </w:r>
    </w:p>
  </w:endnote>
  <w:endnote w:type="continuationNotice" w:id="1">
    <w:p w14:paraId="1553EC6B" w14:textId="77777777" w:rsidR="005A0741" w:rsidRDefault="005A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taPlusBook-Roman-Identity-H">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3DB5" w14:textId="5AF596D8" w:rsidR="006C7AE9" w:rsidRPr="0033525D" w:rsidRDefault="006C7AE9">
    <w:pPr>
      <w:jc w:val="center"/>
    </w:pPr>
    <w:r>
      <w:fldChar w:fldCharType="begin"/>
    </w:r>
    <w:r>
      <w:instrText xml:space="preserve"> PAGE </w:instrText>
    </w:r>
    <w:r>
      <w:fldChar w:fldCharType="separate"/>
    </w:r>
    <w:r w:rsidR="006D5A7C">
      <w:rPr>
        <w:noProof/>
      </w:rPr>
      <w:t>46</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1F8F" w14:textId="47CDE646" w:rsidR="006C7AE9" w:rsidRPr="0033525D" w:rsidRDefault="006C7AE9">
    <w:pPr>
      <w:jc w:val="center"/>
    </w:pPr>
    <w:r>
      <w:fldChar w:fldCharType="begin"/>
    </w:r>
    <w:r>
      <w:instrText xml:space="preserve"> PAGE </w:instrText>
    </w:r>
    <w:r>
      <w:fldChar w:fldCharType="separate"/>
    </w:r>
    <w:r w:rsidR="006D5A7C">
      <w:rPr>
        <w:noProof/>
      </w:rPr>
      <w:t>2</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A4C5" w14:textId="71E12925" w:rsidR="006C7AE9" w:rsidRPr="0033525D" w:rsidRDefault="006C7AE9">
    <w:pPr>
      <w:jc w:val="center"/>
    </w:pPr>
    <w:r>
      <w:fldChar w:fldCharType="begin"/>
    </w:r>
    <w:r>
      <w:instrText xml:space="preserve"> PAGE </w:instrText>
    </w:r>
    <w:r>
      <w:fldChar w:fldCharType="separate"/>
    </w:r>
    <w:r w:rsidR="006D5A7C">
      <w:rPr>
        <w:noProof/>
      </w:rPr>
      <w:t>3</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99272"/>
      <w:docPartObj>
        <w:docPartGallery w:val="Page Numbers (Bottom of Page)"/>
        <w:docPartUnique/>
      </w:docPartObj>
    </w:sdtPr>
    <w:sdtEndPr>
      <w:rPr>
        <w:noProof/>
      </w:rPr>
    </w:sdtEndPr>
    <w:sdtContent>
      <w:p w14:paraId="06C03660" w14:textId="4FB64165" w:rsidR="006C7AE9" w:rsidRDefault="006C7AE9">
        <w:pPr>
          <w:pStyle w:val="Footer"/>
          <w:jc w:val="center"/>
        </w:pPr>
        <w:r>
          <w:fldChar w:fldCharType="begin"/>
        </w:r>
        <w:r>
          <w:instrText xml:space="preserve"> PAGE   \* MERGEFORMAT </w:instrText>
        </w:r>
        <w:r>
          <w:fldChar w:fldCharType="separate"/>
        </w:r>
        <w:r w:rsidR="006D5A7C">
          <w:rPr>
            <w:noProof/>
          </w:rPr>
          <w:t>1</w:t>
        </w:r>
        <w:r>
          <w:rPr>
            <w:noProof/>
          </w:rPr>
          <w:fldChar w:fldCharType="end"/>
        </w:r>
      </w:p>
    </w:sdtContent>
  </w:sdt>
  <w:p w14:paraId="16F2C48A" w14:textId="77777777" w:rsidR="006C7AE9" w:rsidRPr="00CE74DC" w:rsidRDefault="006C7AE9" w:rsidP="00CE74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E054" w14:textId="1CFD7B3C" w:rsidR="006C7AE9" w:rsidRPr="0033525D" w:rsidRDefault="006C7AE9">
    <w:pPr>
      <w:jc w:val="center"/>
    </w:pPr>
    <w:r>
      <w:fldChar w:fldCharType="begin"/>
    </w:r>
    <w:r>
      <w:instrText xml:space="preserve"> PAGE </w:instrText>
    </w:r>
    <w:r>
      <w:fldChar w:fldCharType="separate"/>
    </w:r>
    <w:r w:rsidR="006D5A7C">
      <w:rPr>
        <w:noProof/>
      </w:rPr>
      <w:t>45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27DA" w14:textId="77777777" w:rsidR="006C7AE9" w:rsidRDefault="006C7AE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BE8A611" w14:textId="77777777" w:rsidR="006C7AE9" w:rsidRDefault="006C7AE9" w:rsidP="00FF033E">
    <w:pPr>
      <w:pBdr>
        <w:top w:val="single" w:sz="4" w:space="1" w:color="auto"/>
        <w:left w:val="single" w:sz="4" w:space="4" w:color="auto"/>
        <w:bottom w:val="single" w:sz="4" w:space="1" w:color="auto"/>
        <w:right w:val="single" w:sz="4" w:space="4" w:color="auto"/>
      </w:pBdr>
      <w:jc w:val="right"/>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6B9B" w14:textId="192CCC94" w:rsidR="006C7AE9" w:rsidRPr="0033525D" w:rsidRDefault="006C7AE9">
    <w:pPr>
      <w:jc w:val="center"/>
    </w:pPr>
    <w:r>
      <w:fldChar w:fldCharType="begin"/>
    </w:r>
    <w:r>
      <w:instrText xml:space="preserve"> PAGE </w:instrText>
    </w:r>
    <w:r>
      <w:fldChar w:fldCharType="separate"/>
    </w:r>
    <w:r w:rsidR="006D5A7C">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1F5F" w14:textId="72C76515" w:rsidR="006C7AE9" w:rsidRPr="0033525D" w:rsidRDefault="006C7AE9">
    <w:pPr>
      <w:jc w:val="center"/>
    </w:pPr>
    <w:r>
      <w:fldChar w:fldCharType="begin"/>
    </w:r>
    <w:r>
      <w:instrText xml:space="preserve"> PAGE </w:instrText>
    </w:r>
    <w:r>
      <w:fldChar w:fldCharType="separate"/>
    </w:r>
    <w:r w:rsidR="006D5A7C">
      <w:rPr>
        <w:noProof/>
      </w:rPr>
      <w:t>9</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90709"/>
      <w:docPartObj>
        <w:docPartGallery w:val="Page Numbers (Bottom of Page)"/>
        <w:docPartUnique/>
      </w:docPartObj>
    </w:sdtPr>
    <w:sdtEndPr>
      <w:rPr>
        <w:noProof/>
      </w:rPr>
    </w:sdtEndPr>
    <w:sdtContent>
      <w:p w14:paraId="6CDB6042" w14:textId="50843F76" w:rsidR="006C7AE9" w:rsidRDefault="006C7AE9" w:rsidP="005E2E94">
        <w:pPr>
          <w:pStyle w:val="Footer"/>
          <w:jc w:val="center"/>
        </w:pPr>
        <w:r>
          <w:fldChar w:fldCharType="begin"/>
        </w:r>
        <w:r>
          <w:instrText xml:space="preserve"> PAGE   \* MERGEFORMAT </w:instrText>
        </w:r>
        <w:r>
          <w:fldChar w:fldCharType="separate"/>
        </w:r>
        <w:r w:rsidR="006D5A7C">
          <w:rPr>
            <w:noProof/>
          </w:rPr>
          <w:t>1</w:t>
        </w:r>
        <w:r>
          <w:rPr>
            <w:noProof/>
          </w:rPr>
          <w:fldChar w:fldCharType="end"/>
        </w:r>
      </w:p>
    </w:sdtContent>
  </w:sdt>
  <w:p w14:paraId="3708C53B" w14:textId="77777777" w:rsidR="006C7AE9" w:rsidRPr="00C627AC" w:rsidRDefault="006C7AE9" w:rsidP="005E2E9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25264"/>
      <w:docPartObj>
        <w:docPartGallery w:val="Page Numbers (Bottom of Page)"/>
        <w:docPartUnique/>
      </w:docPartObj>
    </w:sdtPr>
    <w:sdtEndPr>
      <w:rPr>
        <w:noProof/>
      </w:rPr>
    </w:sdtEndPr>
    <w:sdtContent>
      <w:p w14:paraId="676E1643" w14:textId="2E96E935" w:rsidR="006C7AE9" w:rsidRDefault="006C7AE9">
        <w:pPr>
          <w:pStyle w:val="Footer"/>
          <w:jc w:val="center"/>
        </w:pPr>
        <w:r>
          <w:fldChar w:fldCharType="begin"/>
        </w:r>
        <w:r>
          <w:instrText xml:space="preserve"> PAGE   \* MERGEFORMAT </w:instrText>
        </w:r>
        <w:r>
          <w:fldChar w:fldCharType="separate"/>
        </w:r>
        <w:r w:rsidR="006D5A7C">
          <w:rPr>
            <w:noProof/>
          </w:rPr>
          <w:t>1</w:t>
        </w:r>
        <w:r>
          <w:rPr>
            <w:noProof/>
          </w:rPr>
          <w:fldChar w:fldCharType="end"/>
        </w:r>
      </w:p>
    </w:sdtContent>
  </w:sdt>
  <w:p w14:paraId="05590373" w14:textId="77777777" w:rsidR="006C7AE9" w:rsidRPr="00CE74DC" w:rsidRDefault="006C7AE9" w:rsidP="00CE74D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AADB" w14:textId="5D4F89AE" w:rsidR="006C7AE9" w:rsidRPr="0033525D" w:rsidRDefault="006C7AE9">
    <w:pPr>
      <w:jc w:val="center"/>
    </w:pPr>
    <w:r>
      <w:fldChar w:fldCharType="begin"/>
    </w:r>
    <w:r>
      <w:instrText xml:space="preserve"> PAGE </w:instrText>
    </w:r>
    <w:r>
      <w:fldChar w:fldCharType="separate"/>
    </w:r>
    <w:r w:rsidR="006D5A7C">
      <w:rPr>
        <w:noProof/>
      </w:rPr>
      <w:t>8</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81817"/>
      <w:docPartObj>
        <w:docPartGallery w:val="Page Numbers (Bottom of Page)"/>
        <w:docPartUnique/>
      </w:docPartObj>
    </w:sdtPr>
    <w:sdtEndPr>
      <w:rPr>
        <w:noProof/>
      </w:rPr>
    </w:sdtEndPr>
    <w:sdtContent>
      <w:p w14:paraId="4F1F148D" w14:textId="0842B5FB" w:rsidR="006C7AE9" w:rsidRDefault="006C7AE9">
        <w:pPr>
          <w:pStyle w:val="Footer"/>
          <w:jc w:val="center"/>
        </w:pPr>
        <w:r>
          <w:fldChar w:fldCharType="begin"/>
        </w:r>
        <w:r>
          <w:instrText xml:space="preserve"> PAGE   \* MERGEFORMAT </w:instrText>
        </w:r>
        <w:r>
          <w:fldChar w:fldCharType="separate"/>
        </w:r>
        <w:r w:rsidR="006D5A7C">
          <w:rPr>
            <w:noProof/>
          </w:rPr>
          <w:t>1</w:t>
        </w:r>
        <w:r>
          <w:rPr>
            <w:noProof/>
          </w:rPr>
          <w:fldChar w:fldCharType="end"/>
        </w:r>
      </w:p>
    </w:sdtContent>
  </w:sdt>
  <w:p w14:paraId="766433AB" w14:textId="77777777" w:rsidR="006C7AE9" w:rsidRPr="00CE74DC" w:rsidRDefault="006C7AE9" w:rsidP="00CE74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DA80" w14:textId="77777777" w:rsidR="005A0741" w:rsidRDefault="005A0741" w:rsidP="004A504B">
      <w:r>
        <w:separator/>
      </w:r>
    </w:p>
  </w:footnote>
  <w:footnote w:type="continuationSeparator" w:id="0">
    <w:p w14:paraId="26B2774C" w14:textId="77777777" w:rsidR="005A0741" w:rsidRDefault="005A0741" w:rsidP="004A504B">
      <w:r>
        <w:continuationSeparator/>
      </w:r>
    </w:p>
  </w:footnote>
  <w:footnote w:type="continuationNotice" w:id="1">
    <w:p w14:paraId="74BEB5F2" w14:textId="77777777" w:rsidR="005A0741" w:rsidRDefault="005A0741"/>
  </w:footnote>
  <w:footnote w:id="2">
    <w:p w14:paraId="0C62BD3C" w14:textId="77777777" w:rsidR="006C7AE9" w:rsidRPr="00EF7609" w:rsidRDefault="006C7AE9">
      <w:pPr>
        <w:pStyle w:val="FootnoteText"/>
        <w:rPr>
          <w:lang w:val="en-US"/>
        </w:rPr>
      </w:pPr>
      <w:r>
        <w:rPr>
          <w:rStyle w:val="FootnoteReference"/>
        </w:rPr>
        <w:footnoteRef/>
      </w:r>
      <w:r>
        <w:t xml:space="preserve"> </w:t>
      </w:r>
      <w:r w:rsidRPr="00660453">
        <w:t>Online meetings and an intersessional approval process will be held in June and July 2021 due to coronavirus disease</w:t>
      </w:r>
      <w:r w:rsidRPr="00692D14">
        <w:t xml:space="preserve"> (COVID-19)</w:t>
      </w:r>
    </w:p>
  </w:footnote>
  <w:footnote w:id="3">
    <w:p w14:paraId="430259C0" w14:textId="77777777" w:rsidR="006C7AE9" w:rsidRPr="00C32DB3" w:rsidRDefault="006C7AE9">
      <w:pPr>
        <w:pStyle w:val="FootnoteText"/>
        <w:rPr>
          <w:lang w:val="en-US"/>
        </w:rPr>
      </w:pPr>
      <w:r>
        <w:rPr>
          <w:rStyle w:val="FootnoteReference"/>
        </w:rPr>
        <w:footnoteRef/>
      </w:r>
      <w:r>
        <w:t xml:space="preserve"> UNEP/OzL.Pro/ExCom/86/</w:t>
      </w:r>
      <w:r w:rsidRPr="00A2334C">
        <w:t>15-20</w:t>
      </w:r>
    </w:p>
  </w:footnote>
  <w:footnote w:id="4">
    <w:p w14:paraId="4C39E202" w14:textId="77777777" w:rsidR="006C7AE9" w:rsidRPr="00875756" w:rsidRDefault="006C7AE9" w:rsidP="00CB1E45">
      <w:pPr>
        <w:pStyle w:val="FootnoteText"/>
        <w:rPr>
          <w:lang w:val="en-US"/>
        </w:rPr>
      </w:pPr>
      <w:r>
        <w:rPr>
          <w:rStyle w:val="FootnoteReference"/>
        </w:rPr>
        <w:footnoteRef/>
      </w:r>
      <w:r>
        <w:t xml:space="preserve"> </w:t>
      </w:r>
      <w:r>
        <w:rPr>
          <w:lang w:val="en-US"/>
        </w:rPr>
        <w:t>UNEP/OzL.Pro</w:t>
      </w:r>
      <w:r w:rsidRPr="00A837A2">
        <w:rPr>
          <w:lang w:val="en-US"/>
        </w:rPr>
        <w:t>/ExCom/</w:t>
      </w:r>
      <w:r>
        <w:rPr>
          <w:lang w:val="en-US"/>
        </w:rPr>
        <w:t>87</w:t>
      </w:r>
      <w:r w:rsidRPr="000A7674">
        <w:rPr>
          <w:lang w:val="en-US"/>
        </w:rPr>
        <w:t>/9/Add</w:t>
      </w:r>
      <w:r>
        <w:rPr>
          <w:lang w:val="en-US"/>
        </w:rPr>
        <w:t>.1</w:t>
      </w:r>
    </w:p>
  </w:footnote>
  <w:footnote w:id="5">
    <w:p w14:paraId="63A03699" w14:textId="77777777" w:rsidR="006C7AE9" w:rsidRDefault="006C7AE9" w:rsidP="00B53651">
      <w:pPr>
        <w:pStyle w:val="FootnoteText"/>
      </w:pPr>
      <w:r w:rsidRPr="00FD1CAA">
        <w:rPr>
          <w:rStyle w:val="FootnoteReference"/>
        </w:rPr>
        <w:footnoteRef/>
      </w:r>
      <w:r w:rsidRPr="00FD1CAA">
        <w:t xml:space="preserve"> Institutional strengthening (IS), halon banking, customs training, recovery and recycling (R&amp;R), and demonstration projects are not subject to procedures for project cancellation. Nevertheless, the Executive Committee has decided to continue to monitor them as appropriate (decision 36/14(b)).</w:t>
      </w:r>
      <w:r>
        <w:t xml:space="preserve"> </w:t>
      </w:r>
    </w:p>
  </w:footnote>
  <w:footnote w:id="6">
    <w:p w14:paraId="145B7D8D" w14:textId="77777777" w:rsidR="006C7AE9" w:rsidRPr="00A97D70" w:rsidRDefault="006C7AE9">
      <w:pPr>
        <w:pStyle w:val="FootnoteText"/>
        <w:rPr>
          <w:lang w:val="en-US"/>
        </w:rPr>
      </w:pPr>
      <w:r>
        <w:rPr>
          <w:rStyle w:val="FootnoteReference"/>
        </w:rPr>
        <w:footnoteRef/>
      </w:r>
      <w:r>
        <w:t xml:space="preserve"> </w:t>
      </w:r>
      <w:r w:rsidRPr="00845D1D">
        <w:rPr>
          <w:lang w:val="en-CA"/>
        </w:rPr>
        <w:t>R</w:t>
      </w:r>
      <w:r>
        <w:rPr>
          <w:lang w:val="en-CA"/>
        </w:rPr>
        <w:t>eport</w:t>
      </w:r>
      <w:r w:rsidRPr="00845D1D">
        <w:rPr>
          <w:lang w:val="en-CA"/>
        </w:rPr>
        <w:t xml:space="preserve"> related to the </w:t>
      </w:r>
      <w:r>
        <w:rPr>
          <w:lang w:val="en-CA"/>
        </w:rPr>
        <w:t>HPMP for Uruguay is included in</w:t>
      </w:r>
      <w:r w:rsidRPr="00845D1D">
        <w:rPr>
          <w:lang w:val="en-CA"/>
        </w:rPr>
        <w:t xml:space="preserve"> </w:t>
      </w:r>
      <w:r>
        <w:rPr>
          <w:lang w:val="en-CA"/>
        </w:rPr>
        <w:t xml:space="preserve">the </w:t>
      </w:r>
      <w:r w:rsidRPr="00845D1D">
        <w:rPr>
          <w:lang w:val="en-CA"/>
        </w:rPr>
        <w:t xml:space="preserve">project proposal </w:t>
      </w:r>
      <w:r>
        <w:rPr>
          <w:lang w:val="en-CA"/>
        </w:rPr>
        <w:t>document</w:t>
      </w:r>
      <w:r w:rsidRPr="00845D1D">
        <w:rPr>
          <w:lang w:val="en-CA"/>
        </w:rPr>
        <w:t xml:space="preserve"> (UNEP/OzL.Pro/ExCom/85/</w:t>
      </w:r>
      <w:r>
        <w:rPr>
          <w:lang w:val="en-CA"/>
        </w:rPr>
        <w:t>52).</w:t>
      </w:r>
    </w:p>
  </w:footnote>
  <w:footnote w:id="7">
    <w:p w14:paraId="14EC4844" w14:textId="77777777" w:rsidR="006C7AE9" w:rsidRPr="00171A2D" w:rsidRDefault="006C7AE9" w:rsidP="00F17DAA">
      <w:pPr>
        <w:pStyle w:val="FootnoteText"/>
        <w:rPr>
          <w:lang w:val="en-CA"/>
        </w:rPr>
      </w:pPr>
      <w:r>
        <w:rPr>
          <w:rStyle w:val="FootnoteReference"/>
        </w:rPr>
        <w:footnoteRef/>
      </w:r>
      <w:r>
        <w:t xml:space="preserve"> </w:t>
      </w:r>
      <w:r>
        <w:rPr>
          <w:lang w:val="en-CA"/>
        </w:rPr>
        <w:t>UNEP/OzL.Pro/ExCom/63</w:t>
      </w:r>
      <w:r w:rsidRPr="00970A4C">
        <w:rPr>
          <w:lang w:val="en-CA"/>
        </w:rPr>
        <w:t>/22</w:t>
      </w:r>
    </w:p>
  </w:footnote>
  <w:footnote w:id="8">
    <w:p w14:paraId="479D1B77" w14:textId="77777777" w:rsidR="006C7AE9" w:rsidRPr="00B47F72" w:rsidRDefault="006C7AE9" w:rsidP="00F17DAA">
      <w:pPr>
        <w:pStyle w:val="FootnoteText"/>
        <w:rPr>
          <w:lang w:val="en-US"/>
        </w:rPr>
      </w:pPr>
      <w:r w:rsidRPr="00B47F72">
        <w:rPr>
          <w:rStyle w:val="FootnoteReference"/>
        </w:rPr>
        <w:footnoteRef/>
      </w:r>
      <w:r w:rsidRPr="00B47F72">
        <w:t xml:space="preserve"> </w:t>
      </w:r>
      <w:r w:rsidRPr="00B47F72">
        <w:rPr>
          <w:color w:val="4D5156"/>
          <w:shd w:val="clear" w:color="auto" w:fill="FFFFFF"/>
        </w:rPr>
        <w:t>Automated</w:t>
      </w:r>
      <w:r>
        <w:rPr>
          <w:color w:val="4D5156"/>
          <w:shd w:val="clear" w:color="auto" w:fill="FFFFFF"/>
        </w:rPr>
        <w:t xml:space="preserve"> </w:t>
      </w:r>
      <w:r>
        <w:rPr>
          <w:rStyle w:val="Emphasis"/>
          <w:color w:val="5F6368"/>
          <w:shd w:val="clear" w:color="auto" w:fill="FFFFFF"/>
        </w:rPr>
        <w:t>S</w:t>
      </w:r>
      <w:r w:rsidRPr="00B47F72">
        <w:rPr>
          <w:rStyle w:val="Emphasis"/>
          <w:color w:val="5F6368"/>
          <w:shd w:val="clear" w:color="auto" w:fill="FFFFFF"/>
        </w:rPr>
        <w:t>ystem</w:t>
      </w:r>
      <w:r>
        <w:rPr>
          <w:rStyle w:val="Emphasis"/>
          <w:color w:val="5F6368"/>
          <w:shd w:val="clear" w:color="auto" w:fill="FFFFFF"/>
        </w:rPr>
        <w:t xml:space="preserve"> </w:t>
      </w:r>
      <w:r w:rsidRPr="00B47F72">
        <w:rPr>
          <w:color w:val="4D5156"/>
          <w:shd w:val="clear" w:color="auto" w:fill="FFFFFF"/>
        </w:rPr>
        <w:t xml:space="preserve">for </w:t>
      </w:r>
      <w:r>
        <w:rPr>
          <w:color w:val="4D5156"/>
          <w:shd w:val="clear" w:color="auto" w:fill="FFFFFF"/>
        </w:rPr>
        <w:t>C</w:t>
      </w:r>
      <w:r w:rsidRPr="00B47F72">
        <w:rPr>
          <w:color w:val="4D5156"/>
          <w:shd w:val="clear" w:color="auto" w:fill="FFFFFF"/>
        </w:rPr>
        <w:t xml:space="preserve">ustoms </w:t>
      </w:r>
      <w:r>
        <w:rPr>
          <w:color w:val="4D5156"/>
          <w:shd w:val="clear" w:color="auto" w:fill="FFFFFF"/>
        </w:rPr>
        <w:t>D</w:t>
      </w:r>
      <w:r w:rsidRPr="00B47F72">
        <w:rPr>
          <w:color w:val="4D5156"/>
          <w:shd w:val="clear" w:color="auto" w:fill="FFFFFF"/>
        </w:rPr>
        <w:t>ata</w:t>
      </w:r>
    </w:p>
  </w:footnote>
  <w:footnote w:id="9">
    <w:p w14:paraId="713377FF" w14:textId="77777777" w:rsidR="006C7AE9" w:rsidRDefault="006C7AE9" w:rsidP="00F17DAA">
      <w:pPr>
        <w:pStyle w:val="FootnoteText"/>
      </w:pPr>
      <w:r w:rsidRPr="00794CDF">
        <w:rPr>
          <w:rStyle w:val="FootnoteReference"/>
        </w:rPr>
        <w:footnoteRef/>
      </w:r>
      <w:r w:rsidRPr="00794CDF">
        <w:t xml:space="preserve"> UNEP/OzL.Pro/ExCom/84/39</w:t>
      </w:r>
    </w:p>
  </w:footnote>
  <w:footnote w:id="10">
    <w:p w14:paraId="5E8F74AF" w14:textId="77777777" w:rsidR="006C7AE9" w:rsidRPr="00157F0D" w:rsidRDefault="006C7AE9" w:rsidP="00F17DAA">
      <w:pPr>
        <w:pStyle w:val="FootnoteText"/>
        <w:rPr>
          <w:lang w:val="en-US"/>
        </w:rPr>
      </w:pPr>
      <w:r w:rsidRPr="00C41FB9">
        <w:rPr>
          <w:rStyle w:val="FootnoteReference"/>
        </w:rPr>
        <w:footnoteRef/>
      </w:r>
      <w:r w:rsidRPr="00C41FB9">
        <w:t xml:space="preserve"> The funding of US $348,767 approved for the two enterprises in the XPS foam sector, was lower than the estimated incremental cost of US $439,200; it was agreed that the Government of Argentina would have flexibility in the allocation of funds between the two enterprises, on the understanding that both enterprises would convert to the selected technology on time (paragraph 76 of document UNEP/OzL.Pro/ExCom/79/27).</w:t>
      </w:r>
    </w:p>
  </w:footnote>
  <w:footnote w:id="11">
    <w:p w14:paraId="407C51F0" w14:textId="77777777" w:rsidR="006C7AE9" w:rsidRPr="00E133B5" w:rsidRDefault="006C7AE9" w:rsidP="005F0F31">
      <w:pPr>
        <w:pStyle w:val="FootnoteText"/>
        <w:rPr>
          <w:lang w:val="en-CA"/>
        </w:rPr>
      </w:pPr>
      <w:r w:rsidRPr="00E133B5">
        <w:rPr>
          <w:rStyle w:val="FootnoteReference"/>
        </w:rPr>
        <w:footnoteRef/>
      </w:r>
      <w:r w:rsidRPr="00E133B5">
        <w:t xml:space="preserve"> </w:t>
      </w:r>
      <w:r w:rsidRPr="00E133B5">
        <w:rPr>
          <w:lang w:val="en-CA"/>
        </w:rPr>
        <w:t>UNEP/OzL.Pro/ExCom/66/31</w:t>
      </w:r>
    </w:p>
  </w:footnote>
  <w:footnote w:id="12">
    <w:p w14:paraId="7C604165" w14:textId="77777777" w:rsidR="006C7AE9" w:rsidRPr="00E133B5" w:rsidRDefault="006C7AE9" w:rsidP="005F0F31">
      <w:pPr>
        <w:pStyle w:val="FootnoteText"/>
        <w:rPr>
          <w:lang w:val="en-CA"/>
        </w:rPr>
      </w:pPr>
      <w:r w:rsidRPr="00E133B5">
        <w:rPr>
          <w:rStyle w:val="FootnoteReference"/>
        </w:rPr>
        <w:footnoteRef/>
      </w:r>
      <w:r w:rsidRPr="00E133B5">
        <w:t xml:space="preserve"> </w:t>
      </w:r>
      <w:r w:rsidRPr="00E133B5">
        <w:rPr>
          <w:color w:val="000000"/>
          <w:shd w:val="clear" w:color="auto" w:fill="F9F9F9"/>
        </w:rPr>
        <w:t>UNEP/OzL.Pro/ExCom/85/20</w:t>
      </w:r>
    </w:p>
  </w:footnote>
  <w:footnote w:id="13">
    <w:p w14:paraId="13B9BE66" w14:textId="77777777" w:rsidR="006C7AE9" w:rsidRPr="00F15058" w:rsidRDefault="006C7AE9" w:rsidP="000D376B">
      <w:pPr>
        <w:pStyle w:val="FootnoteText"/>
        <w:rPr>
          <w:lang w:val="en-US"/>
        </w:rPr>
      </w:pPr>
      <w:r>
        <w:rPr>
          <w:rStyle w:val="FootnoteReference"/>
        </w:rPr>
        <w:footnoteRef/>
      </w:r>
      <w:r>
        <w:t xml:space="preserve"> Annex IV of document </w:t>
      </w:r>
      <w:r w:rsidRPr="00F15058">
        <w:t>UNEP/OzL.Pro/ExCom/85/67</w:t>
      </w:r>
    </w:p>
  </w:footnote>
  <w:footnote w:id="14">
    <w:p w14:paraId="57CA0886" w14:textId="77777777" w:rsidR="006C7AE9" w:rsidRPr="00F66EEB" w:rsidRDefault="006C7AE9" w:rsidP="00F66EEB">
      <w:pPr>
        <w:pStyle w:val="Heading1"/>
        <w:numPr>
          <w:ilvl w:val="0"/>
          <w:numId w:val="0"/>
        </w:numPr>
        <w:rPr>
          <w:sz w:val="20"/>
          <w:szCs w:val="20"/>
          <w:lang w:val="en-CA"/>
        </w:rPr>
      </w:pPr>
      <w:r w:rsidRPr="00D23BB8">
        <w:rPr>
          <w:rStyle w:val="FootnoteReference"/>
          <w:sz w:val="20"/>
          <w:szCs w:val="20"/>
        </w:rPr>
        <w:footnoteRef/>
      </w:r>
      <w:r w:rsidRPr="00D23BB8">
        <w:rPr>
          <w:sz w:val="20"/>
          <w:szCs w:val="20"/>
        </w:rPr>
        <w:t xml:space="preserve"> </w:t>
      </w:r>
      <w:r w:rsidRPr="00D23BB8">
        <w:rPr>
          <w:sz w:val="20"/>
          <w:szCs w:val="20"/>
          <w:lang w:val="en-CA"/>
        </w:rPr>
        <w:t xml:space="preserve">Of the original eight </w:t>
      </w:r>
      <w:r>
        <w:rPr>
          <w:sz w:val="20"/>
          <w:szCs w:val="20"/>
          <w:lang w:val="en-CA"/>
        </w:rPr>
        <w:t>SMEs</w:t>
      </w:r>
      <w:r w:rsidRPr="00D23BB8">
        <w:rPr>
          <w:sz w:val="20"/>
          <w:szCs w:val="20"/>
          <w:lang w:val="en-CA"/>
        </w:rPr>
        <w:t xml:space="preserve"> anticipated for the group project</w:t>
      </w:r>
      <w:r>
        <w:rPr>
          <w:sz w:val="20"/>
          <w:szCs w:val="20"/>
          <w:lang w:val="en-CA"/>
        </w:rPr>
        <w:t>,</w:t>
      </w:r>
      <w:r w:rsidRPr="00D23BB8">
        <w:rPr>
          <w:sz w:val="20"/>
          <w:szCs w:val="20"/>
          <w:lang w:val="en-CA"/>
        </w:rPr>
        <w:t xml:space="preserve"> two became individual projects and converted on their own; two did not participate; and three were incorporated into the group project which</w:t>
      </w:r>
      <w:r>
        <w:rPr>
          <w:sz w:val="20"/>
          <w:szCs w:val="20"/>
          <w:lang w:val="en-CA"/>
        </w:rPr>
        <w:t xml:space="preserve"> met the eligibility requirements but</w:t>
      </w:r>
      <w:r w:rsidRPr="00D23BB8">
        <w:rPr>
          <w:sz w:val="20"/>
          <w:szCs w:val="20"/>
          <w:lang w:val="en-CA"/>
        </w:rPr>
        <w:t xml:space="preserve"> had not originally been identified in the market study during the project preparation.</w:t>
      </w:r>
    </w:p>
  </w:footnote>
  <w:footnote w:id="15">
    <w:p w14:paraId="7CB5E2BB" w14:textId="77777777" w:rsidR="006C7AE9" w:rsidRDefault="006C7AE9" w:rsidP="00CD305F">
      <w:pPr>
        <w:pStyle w:val="FootnoteText"/>
      </w:pPr>
      <w:r>
        <w:rPr>
          <w:rStyle w:val="FootnoteReference"/>
        </w:rPr>
        <w:footnoteRef/>
      </w:r>
      <w:r>
        <w:t xml:space="preserve"> UNEP/OzL.Pro/ExCom/85/24</w:t>
      </w:r>
    </w:p>
  </w:footnote>
  <w:footnote w:id="16">
    <w:p w14:paraId="68C808E8" w14:textId="77777777" w:rsidR="006C7AE9" w:rsidRPr="00171A2D" w:rsidRDefault="006C7AE9" w:rsidP="00ED126B">
      <w:pPr>
        <w:pStyle w:val="FootnoteText"/>
        <w:rPr>
          <w:lang w:val="en-CA"/>
        </w:rPr>
      </w:pPr>
      <w:r>
        <w:rPr>
          <w:rStyle w:val="FootnoteReference"/>
        </w:rPr>
        <w:footnoteRef/>
      </w:r>
      <w:r>
        <w:t xml:space="preserve"> </w:t>
      </w:r>
      <w:r>
        <w:rPr>
          <w:lang w:val="en-CA"/>
        </w:rPr>
        <w:t>UNEP/OzL.Pro/ExCom/63</w:t>
      </w:r>
      <w:r w:rsidRPr="00970A4C">
        <w:rPr>
          <w:lang w:val="en-CA"/>
        </w:rPr>
        <w:t>/</w:t>
      </w:r>
      <w:r>
        <w:rPr>
          <w:lang w:val="en-CA"/>
        </w:rPr>
        <w:t>5</w:t>
      </w:r>
      <w:r w:rsidRPr="00970A4C">
        <w:rPr>
          <w:lang w:val="en-CA"/>
        </w:rPr>
        <w:t>2</w:t>
      </w:r>
    </w:p>
  </w:footnote>
  <w:footnote w:id="17">
    <w:p w14:paraId="5D0A988D" w14:textId="77777777" w:rsidR="006C7AE9" w:rsidRPr="005248CC" w:rsidRDefault="006C7AE9" w:rsidP="00ED126B">
      <w:pPr>
        <w:pStyle w:val="FootnoteText"/>
      </w:pPr>
      <w:r>
        <w:rPr>
          <w:rStyle w:val="FootnoteReference"/>
        </w:rPr>
        <w:footnoteRef/>
      </w:r>
      <w:r>
        <w:t xml:space="preserve"> </w:t>
      </w:r>
      <w:r>
        <w:rPr>
          <w:lang w:val="en-CA"/>
        </w:rPr>
        <w:t>UNEP/OzL.Pro/ExCom/83</w:t>
      </w:r>
      <w:r w:rsidRPr="00970A4C">
        <w:rPr>
          <w:lang w:val="en-CA"/>
        </w:rPr>
        <w:t>/</w:t>
      </w:r>
      <w:r>
        <w:rPr>
          <w:lang w:val="en-CA"/>
        </w:rPr>
        <w:t>26</w:t>
      </w:r>
    </w:p>
  </w:footnote>
  <w:footnote w:id="18">
    <w:p w14:paraId="7A8B451E" w14:textId="77777777" w:rsidR="006C7AE9" w:rsidRPr="001461B0" w:rsidRDefault="006C7AE9" w:rsidP="00057D57">
      <w:pPr>
        <w:pStyle w:val="FootnoteText"/>
        <w:rPr>
          <w:lang w:val="en-CA"/>
        </w:rPr>
      </w:pPr>
      <w:r>
        <w:rPr>
          <w:rStyle w:val="FootnoteReference"/>
        </w:rPr>
        <w:footnoteRef/>
      </w:r>
      <w:r>
        <w:t xml:space="preserve"> </w:t>
      </w:r>
      <w:r>
        <w:rPr>
          <w:lang w:val="en-CA"/>
        </w:rPr>
        <w:t xml:space="preserve">The Executive Committee approved the third tranche of the HPMP on the understanding </w:t>
      </w:r>
      <w:r>
        <w:rPr>
          <w:i/>
          <w:lang w:val="en-CA"/>
        </w:rPr>
        <w:t xml:space="preserve">inter alia </w:t>
      </w:r>
      <w:r>
        <w:rPr>
          <w:lang w:val="en-CA"/>
        </w:rPr>
        <w:t xml:space="preserve">that </w:t>
      </w:r>
      <w:r w:rsidRPr="00F81941">
        <w:t>the Government could submit its stage II of the HPMP once 80</w:t>
      </w:r>
      <w:r>
        <w:t> </w:t>
      </w:r>
      <w:r w:rsidRPr="00F81941">
        <w:t>per cent of the total funds approved for UNIDO had been disbursed</w:t>
      </w:r>
      <w:r>
        <w:t>.</w:t>
      </w:r>
    </w:p>
  </w:footnote>
  <w:footnote w:id="19">
    <w:p w14:paraId="4BE77F51" w14:textId="77777777" w:rsidR="006C7AE9" w:rsidRPr="00456E82" w:rsidRDefault="006C7AE9" w:rsidP="00024F17">
      <w:pPr>
        <w:pStyle w:val="FootnoteText"/>
        <w:rPr>
          <w:lang w:val="en-US"/>
        </w:rPr>
      </w:pPr>
      <w:r>
        <w:rPr>
          <w:rStyle w:val="FootnoteReference"/>
        </w:rPr>
        <w:footnoteRef/>
      </w:r>
      <w:r>
        <w:t xml:space="preserve"> </w:t>
      </w:r>
      <w:r>
        <w:rPr>
          <w:lang w:val="en-US"/>
        </w:rPr>
        <w:t>Paragraph 9 of document UNEP/OzL.Pro/ExCom/85/31 lists the actions to be implemented during the fourth tranche of stage I of the HPMP based on the recommendations in the verification report.</w:t>
      </w:r>
    </w:p>
  </w:footnote>
  <w:footnote w:id="20">
    <w:p w14:paraId="0B0C242A" w14:textId="77777777" w:rsidR="006C7AE9" w:rsidRPr="0051592C" w:rsidRDefault="006C7AE9" w:rsidP="00F63AF8">
      <w:pPr>
        <w:pStyle w:val="FootnoteText"/>
        <w:rPr>
          <w:lang w:val="en-US"/>
        </w:rPr>
      </w:pPr>
      <w:r>
        <w:rPr>
          <w:rStyle w:val="FootnoteReference"/>
        </w:rPr>
        <w:footnoteRef/>
      </w:r>
      <w:r>
        <w:t xml:space="preserve"> </w:t>
      </w:r>
      <w:r>
        <w:rPr>
          <w:lang w:val="en-US"/>
        </w:rPr>
        <w:t>UNEP/OzL.Pro/ExCom/77/51</w:t>
      </w:r>
    </w:p>
  </w:footnote>
  <w:footnote w:id="21">
    <w:p w14:paraId="6BD41BA6" w14:textId="77777777" w:rsidR="006C7AE9" w:rsidRPr="00CC54EB" w:rsidRDefault="006C7AE9" w:rsidP="00F63AF8">
      <w:pPr>
        <w:pStyle w:val="FootnoteText"/>
        <w:rPr>
          <w:lang w:val="en-US"/>
        </w:rPr>
      </w:pPr>
      <w:r>
        <w:rPr>
          <w:rStyle w:val="FootnoteReference"/>
        </w:rPr>
        <w:footnoteRef/>
      </w:r>
      <w:r>
        <w:t xml:space="preserve"> </w:t>
      </w:r>
      <w:r>
        <w:rPr>
          <w:lang w:val="en-US"/>
        </w:rPr>
        <w:t>Paragraphs 126 to 136</w:t>
      </w:r>
      <w:r>
        <w:t xml:space="preserve"> of </w:t>
      </w:r>
      <w:r>
        <w:rPr>
          <w:lang w:val="en-US"/>
        </w:rPr>
        <w:t>UNEP/OzL.Pro/ExCom/83/11; decision 83/24(b).</w:t>
      </w:r>
    </w:p>
  </w:footnote>
  <w:footnote w:id="22">
    <w:p w14:paraId="43359894" w14:textId="77777777" w:rsidR="006C7AE9" w:rsidRPr="00CC54EB" w:rsidRDefault="006C7AE9" w:rsidP="00F63AF8">
      <w:pPr>
        <w:pStyle w:val="FootnoteText"/>
        <w:rPr>
          <w:lang w:val="en-US"/>
        </w:rPr>
      </w:pPr>
      <w:r>
        <w:rPr>
          <w:rStyle w:val="FootnoteReference"/>
        </w:rPr>
        <w:footnoteRef/>
      </w:r>
      <w:r>
        <w:t xml:space="preserve"> </w:t>
      </w:r>
      <w:r>
        <w:rPr>
          <w:lang w:val="en-CA"/>
        </w:rPr>
        <w:t>P</w:t>
      </w:r>
      <w:r w:rsidRPr="000D73F8">
        <w:rPr>
          <w:lang w:val="en-CA"/>
        </w:rPr>
        <w:t>aragraphs 79 to 94 of document UNEP/OzL.Pro/ExCom/86/21</w:t>
      </w:r>
      <w:r>
        <w:rPr>
          <w:lang w:val="en-CA"/>
        </w:rPr>
        <w:t>; decision 86/25(b).</w:t>
      </w:r>
    </w:p>
  </w:footnote>
  <w:footnote w:id="23">
    <w:p w14:paraId="7A2B478B" w14:textId="77777777" w:rsidR="006C7AE9" w:rsidRPr="00171A2D" w:rsidRDefault="006C7AE9" w:rsidP="00F11B2B">
      <w:pPr>
        <w:pStyle w:val="FootnoteText"/>
        <w:rPr>
          <w:lang w:val="en-CA"/>
        </w:rPr>
      </w:pPr>
      <w:r>
        <w:rPr>
          <w:rStyle w:val="FootnoteReference"/>
        </w:rPr>
        <w:footnoteRef/>
      </w:r>
      <w:r>
        <w:t xml:space="preserve"> </w:t>
      </w:r>
      <w:r>
        <w:rPr>
          <w:lang w:val="en-CA"/>
        </w:rPr>
        <w:t>UNEP/OzL.Pro/ExCom/63/38</w:t>
      </w:r>
    </w:p>
  </w:footnote>
  <w:footnote w:id="24">
    <w:p w14:paraId="6964A145" w14:textId="77777777" w:rsidR="006C7AE9" w:rsidRPr="005F47B9" w:rsidRDefault="006C7AE9" w:rsidP="00F11B2B">
      <w:pPr>
        <w:pStyle w:val="FootnoteText"/>
        <w:rPr>
          <w:lang w:val="en-CA"/>
        </w:rPr>
      </w:pPr>
      <w:r w:rsidRPr="005F47B9">
        <w:rPr>
          <w:rStyle w:val="FootnoteReference"/>
        </w:rPr>
        <w:footnoteRef/>
      </w:r>
      <w:r w:rsidRPr="005F47B9">
        <w:t xml:space="preserve"> </w:t>
      </w:r>
      <w:r w:rsidRPr="007C20AE">
        <w:rPr>
          <w:lang w:val="en-CA"/>
        </w:rPr>
        <w:t>UNEP/OzL.Pro/ExCom/85/33</w:t>
      </w:r>
    </w:p>
  </w:footnote>
  <w:footnote w:id="25">
    <w:p w14:paraId="548BC4FB" w14:textId="77777777" w:rsidR="006C7AE9" w:rsidRPr="0051592C" w:rsidRDefault="006C7AE9" w:rsidP="009C7B62">
      <w:pPr>
        <w:pStyle w:val="FootnoteText"/>
        <w:rPr>
          <w:lang w:val="en-US"/>
        </w:rPr>
      </w:pPr>
      <w:r>
        <w:rPr>
          <w:rStyle w:val="FootnoteReference"/>
        </w:rPr>
        <w:footnoteRef/>
      </w:r>
      <w:r>
        <w:t xml:space="preserve"> </w:t>
      </w:r>
      <w:r>
        <w:rPr>
          <w:lang w:val="en-US"/>
        </w:rPr>
        <w:t>UNEP/OzL.Pro/ExCom/77/54.</w:t>
      </w:r>
    </w:p>
  </w:footnote>
  <w:footnote w:id="26">
    <w:p w14:paraId="1110C720" w14:textId="77777777" w:rsidR="006C7AE9" w:rsidRPr="00934223" w:rsidRDefault="006C7AE9" w:rsidP="009C7B62">
      <w:pPr>
        <w:pStyle w:val="FootnoteText"/>
        <w:rPr>
          <w:lang w:val="en-CA"/>
        </w:rPr>
      </w:pPr>
      <w:r>
        <w:rPr>
          <w:rStyle w:val="FootnoteReference"/>
        </w:rPr>
        <w:footnoteRef/>
      </w:r>
      <w:r>
        <w:t xml:space="preserve"> </w:t>
      </w:r>
      <w:r>
        <w:rPr>
          <w:lang w:val="en-CA"/>
        </w:rPr>
        <w:t xml:space="preserve">Ten enterprises with consumption above 20 mt completed their conversion to cyclopentane </w:t>
      </w:r>
      <w:r w:rsidRPr="00934223">
        <w:rPr>
          <w:lang w:val="en-CA"/>
        </w:rPr>
        <w:t>pure or pre</w:t>
      </w:r>
      <w:r>
        <w:rPr>
          <w:lang w:val="en-CA"/>
        </w:rPr>
        <w:t>-</w:t>
      </w:r>
      <w:r w:rsidRPr="00934223">
        <w:rPr>
          <w:lang w:val="en-CA"/>
        </w:rPr>
        <w:t>blended in polyol systems</w:t>
      </w:r>
      <w:r>
        <w:rPr>
          <w:lang w:val="en-CA"/>
        </w:rPr>
        <w:t xml:space="preserve"> by the end of 2019, including Asia Roofing Company whose change of technology to cyclopentane had been noted in decision 84/77(a)(ii). </w:t>
      </w:r>
    </w:p>
  </w:footnote>
  <w:footnote w:id="27">
    <w:p w14:paraId="4BB3C65B" w14:textId="77777777" w:rsidR="006C7AE9" w:rsidRPr="003E0AD1" w:rsidRDefault="006C7AE9" w:rsidP="009E4A04">
      <w:pPr>
        <w:pStyle w:val="FootnoteText"/>
      </w:pPr>
      <w:r w:rsidRPr="003E0AD1">
        <w:rPr>
          <w:rStyle w:val="FootnoteReference"/>
        </w:rPr>
        <w:footnoteRef/>
      </w:r>
      <w:r w:rsidRPr="003E0AD1">
        <w:t xml:space="preserve"> The fifth and final tranche of stage I of the HPMP was approved at the 75</w:t>
      </w:r>
      <w:r w:rsidRPr="003E0AD1">
        <w:rPr>
          <w:vertAlign w:val="superscript"/>
        </w:rPr>
        <w:t>th</w:t>
      </w:r>
      <w:r w:rsidRPr="003E0AD1">
        <w:t xml:space="preserve"> meeting at a total cost of </w:t>
      </w:r>
      <w:r>
        <w:t>US $</w:t>
      </w:r>
      <w:r w:rsidRPr="003E0AD1">
        <w:t xml:space="preserve">1,449,982, consisting of </w:t>
      </w:r>
      <w:r>
        <w:t>US $</w:t>
      </w:r>
      <w:r w:rsidRPr="003E0AD1">
        <w:t xml:space="preserve">226,317 plus agency support costs of </w:t>
      </w:r>
      <w:r>
        <w:t>US $</w:t>
      </w:r>
      <w:r w:rsidRPr="003E0AD1">
        <w:t xml:space="preserve">16,974 for UNIDO, and </w:t>
      </w:r>
      <w:r>
        <w:t>US $</w:t>
      </w:r>
      <w:r w:rsidRPr="003E0AD1">
        <w:t xml:space="preserve">1,122,503 plus agency support costs of </w:t>
      </w:r>
      <w:r>
        <w:t>US $</w:t>
      </w:r>
      <w:r w:rsidRPr="003E0AD1">
        <w:t>84,188 for UNDP.</w:t>
      </w:r>
    </w:p>
  </w:footnote>
  <w:footnote w:id="28">
    <w:p w14:paraId="4ACD5F95" w14:textId="77777777" w:rsidR="006C7AE9" w:rsidRPr="00992BCA" w:rsidRDefault="006C7AE9" w:rsidP="009E4A04">
      <w:pPr>
        <w:pStyle w:val="FootnoteText"/>
        <w:rPr>
          <w:sz w:val="16"/>
          <w:szCs w:val="16"/>
        </w:rPr>
      </w:pPr>
      <w:r w:rsidRPr="003E0AD1">
        <w:rPr>
          <w:rStyle w:val="FootnoteReference"/>
        </w:rPr>
        <w:footnoteRef/>
      </w:r>
      <w:r w:rsidRPr="003E0AD1">
        <w:t xml:space="preserve"> Provision reflected in Annex XII of document UNEP/OzL.Pro/ExCom/75</w:t>
      </w:r>
      <w:r>
        <w:t>/85 (The Government of Mexico, UNIDO and UNDP were requested to submit progress reports on a yearly basis on the implementation of the work programme associated with the final tranche until the completion of the project).</w:t>
      </w:r>
    </w:p>
  </w:footnote>
  <w:footnote w:id="29">
    <w:p w14:paraId="43D8BEC1" w14:textId="77777777" w:rsidR="006C7AE9" w:rsidRPr="00CE1C56" w:rsidRDefault="006C7AE9" w:rsidP="009E4A04">
      <w:pPr>
        <w:pStyle w:val="FootnoteText"/>
        <w:rPr>
          <w:lang w:val="en-US"/>
        </w:rPr>
      </w:pPr>
      <w:r>
        <w:rPr>
          <w:rStyle w:val="FootnoteReference"/>
        </w:rPr>
        <w:footnoteRef/>
      </w:r>
      <w:r>
        <w:t xml:space="preserve"> </w:t>
      </w:r>
      <w:r>
        <w:rPr>
          <w:lang w:val="en-US"/>
        </w:rPr>
        <w:t>Annex IV of document UNEP/OzL.Pro/ExCom/86/4</w:t>
      </w:r>
    </w:p>
  </w:footnote>
  <w:footnote w:id="30">
    <w:p w14:paraId="6D1AD3F8" w14:textId="77777777" w:rsidR="006C7AE9" w:rsidRPr="009E4A04" w:rsidRDefault="006C7AE9" w:rsidP="009E4A04">
      <w:pPr>
        <w:pStyle w:val="FootnoteText"/>
        <w:rPr>
          <w:lang w:val="es-419"/>
        </w:rPr>
      </w:pPr>
      <w:r>
        <w:rPr>
          <w:rStyle w:val="FootnoteReference"/>
        </w:rPr>
        <w:footnoteRef/>
      </w:r>
      <w:r w:rsidRPr="009E4A04">
        <w:rPr>
          <w:lang w:val="es-419"/>
        </w:rPr>
        <w:t xml:space="preserve"> MEX/PHA/64/INV/157</w:t>
      </w:r>
    </w:p>
  </w:footnote>
  <w:footnote w:id="31">
    <w:p w14:paraId="3942B37A" w14:textId="77777777" w:rsidR="006C7AE9" w:rsidRPr="009E4A04" w:rsidRDefault="006C7AE9" w:rsidP="009E4A04">
      <w:pPr>
        <w:pStyle w:val="FootnoteText"/>
        <w:rPr>
          <w:lang w:val="es-419"/>
        </w:rPr>
      </w:pPr>
      <w:r>
        <w:rPr>
          <w:rStyle w:val="FootnoteReference"/>
        </w:rPr>
        <w:footnoteRef/>
      </w:r>
      <w:r w:rsidRPr="009E4A04">
        <w:rPr>
          <w:lang w:val="es-419"/>
        </w:rPr>
        <w:t xml:space="preserve"> MEX/PHA/75/TAS/144</w:t>
      </w:r>
    </w:p>
  </w:footnote>
  <w:footnote w:id="32">
    <w:p w14:paraId="4EEC15D4" w14:textId="77777777" w:rsidR="006C7AE9" w:rsidRPr="00584618" w:rsidRDefault="006C7AE9" w:rsidP="006C5006">
      <w:pPr>
        <w:pStyle w:val="FootnoteText"/>
        <w:rPr>
          <w:lang w:val="en-US"/>
        </w:rPr>
      </w:pPr>
      <w:r>
        <w:rPr>
          <w:rStyle w:val="FootnoteReference"/>
        </w:rPr>
        <w:footnoteRef/>
      </w:r>
      <w:r>
        <w:t xml:space="preserve"> Approved at the 83</w:t>
      </w:r>
      <w:r w:rsidRPr="00584618">
        <w:rPr>
          <w:vertAlign w:val="superscript"/>
        </w:rPr>
        <w:t>rd</w:t>
      </w:r>
      <w:r>
        <w:t xml:space="preserve"> meeting at a total cost of US $35,000, plus agency support costs of US $2,625 for UNIDO.</w:t>
      </w:r>
      <w:r>
        <w:rPr>
          <w:lang w:val="en-US"/>
        </w:rPr>
        <w:t xml:space="preserve"> </w:t>
      </w:r>
    </w:p>
  </w:footnote>
  <w:footnote w:id="33">
    <w:p w14:paraId="520E3CEF" w14:textId="77777777" w:rsidR="006C7AE9" w:rsidRPr="00584618" w:rsidRDefault="006C7AE9" w:rsidP="006C5006">
      <w:pPr>
        <w:pStyle w:val="FootnoteText"/>
        <w:rPr>
          <w:lang w:val="en-US"/>
        </w:rPr>
      </w:pPr>
      <w:r>
        <w:rPr>
          <w:rStyle w:val="FootnoteReference"/>
        </w:rPr>
        <w:footnoteRef/>
      </w:r>
      <w:r>
        <w:t xml:space="preserve"> To request</w:t>
      </w:r>
      <w:r w:rsidRPr="001A279D">
        <w:rPr>
          <w:lang w:val="en-CA"/>
        </w:rPr>
        <w:t xml:space="preserve"> the Government of Morocco and UNIDO to submit progress reports on a yearly basis on the implementation of the work programme associated with the third and final tranche until the completion of the project, verification reports until approval of stage II of the HPMP, and the project completion report to the first meeting of the Executive Committee in 2022</w:t>
      </w:r>
      <w:r>
        <w:rPr>
          <w:lang w:val="en-CA"/>
        </w:rPr>
        <w:t>.</w:t>
      </w:r>
    </w:p>
  </w:footnote>
  <w:footnote w:id="34">
    <w:p w14:paraId="07446B47" w14:textId="77777777" w:rsidR="006C7AE9" w:rsidRPr="00026D7B" w:rsidRDefault="006C7AE9" w:rsidP="006C5006">
      <w:pPr>
        <w:pStyle w:val="FootnoteText"/>
        <w:rPr>
          <w:lang w:val="en-US"/>
        </w:rPr>
      </w:pPr>
      <w:r>
        <w:rPr>
          <w:rStyle w:val="FootnoteReference"/>
        </w:rPr>
        <w:footnoteRef/>
      </w:r>
      <w:r>
        <w:t xml:space="preserve"> </w:t>
      </w:r>
      <w:r w:rsidRPr="00067D46">
        <w:t>Report of the Eighty-third meeting of the Executive Committee</w:t>
      </w:r>
    </w:p>
  </w:footnote>
  <w:footnote w:id="35">
    <w:p w14:paraId="66D43D16" w14:textId="77777777" w:rsidR="006C7AE9" w:rsidRPr="00073406" w:rsidRDefault="006C7AE9" w:rsidP="006C5006">
      <w:pPr>
        <w:pStyle w:val="FootnoteText"/>
        <w:rPr>
          <w:lang w:val="en-US"/>
        </w:rPr>
      </w:pPr>
      <w:r>
        <w:rPr>
          <w:rStyle w:val="FootnoteReference"/>
        </w:rPr>
        <w:footnoteRef/>
      </w:r>
      <w:r>
        <w:t xml:space="preserve"> </w:t>
      </w:r>
      <w:r>
        <w:rPr>
          <w:lang w:val="en-US"/>
        </w:rPr>
        <w:t>As also reflected in corrigendum UNEP/OzL.Pro/ExCom/83/48/Corr.3</w:t>
      </w:r>
    </w:p>
  </w:footnote>
  <w:footnote w:id="36">
    <w:p w14:paraId="77385AF7" w14:textId="77777777" w:rsidR="006C7AE9" w:rsidRPr="00171A2D" w:rsidRDefault="006C7AE9" w:rsidP="00176809">
      <w:pPr>
        <w:pStyle w:val="FootnoteText"/>
        <w:rPr>
          <w:lang w:val="en-CA"/>
        </w:rPr>
      </w:pPr>
      <w:r>
        <w:rPr>
          <w:rStyle w:val="FootnoteReference"/>
        </w:rPr>
        <w:footnoteRef/>
      </w:r>
      <w:r>
        <w:t xml:space="preserve"> </w:t>
      </w:r>
      <w:r>
        <w:rPr>
          <w:lang w:val="en-CA"/>
        </w:rPr>
        <w:t>UNEP/OzL.Pro/ExCom/62/42.</w:t>
      </w:r>
    </w:p>
  </w:footnote>
  <w:footnote w:id="37">
    <w:p w14:paraId="4806BE1A" w14:textId="77777777" w:rsidR="006C7AE9" w:rsidRPr="005F47B9" w:rsidRDefault="006C7AE9" w:rsidP="00176809">
      <w:pPr>
        <w:pStyle w:val="FootnoteText"/>
        <w:rPr>
          <w:lang w:val="en-CA"/>
        </w:rPr>
      </w:pPr>
      <w:r w:rsidRPr="00AF5D18">
        <w:rPr>
          <w:rStyle w:val="FootnoteReference"/>
        </w:rPr>
        <w:footnoteRef/>
      </w:r>
      <w:r w:rsidRPr="00AF5D18">
        <w:t xml:space="preserve"> </w:t>
      </w:r>
      <w:r w:rsidRPr="00176809">
        <w:rPr>
          <w:lang w:val="en-CA"/>
        </w:rPr>
        <w:t>UNEP/OzL.Pro/ExCom/86/63.</w:t>
      </w:r>
    </w:p>
  </w:footnote>
  <w:footnote w:id="38">
    <w:p w14:paraId="45B7B566" w14:textId="77777777" w:rsidR="006C7AE9" w:rsidRPr="00531A1D" w:rsidRDefault="006C7AE9" w:rsidP="00226D17">
      <w:pPr>
        <w:pStyle w:val="FootnoteText"/>
        <w:rPr>
          <w:lang w:val="en-US"/>
        </w:rPr>
      </w:pPr>
      <w:r>
        <w:rPr>
          <w:rStyle w:val="FootnoteReference"/>
        </w:rPr>
        <w:footnoteRef/>
      </w:r>
      <w:r>
        <w:t xml:space="preserve"> UNE</w:t>
      </w:r>
      <w:r w:rsidRPr="00AD335F">
        <w:rPr>
          <w:lang w:val="en-CA"/>
        </w:rPr>
        <w:t>P/OzL.Pro/ExCom/63/46 and Annex XXI of do</w:t>
      </w:r>
      <w:r>
        <w:rPr>
          <w:lang w:val="en-CA"/>
        </w:rPr>
        <w:t>cument UNEP/OzL.Pro/ExCom/63/60.</w:t>
      </w:r>
    </w:p>
  </w:footnote>
  <w:footnote w:id="39">
    <w:p w14:paraId="33B6EE9C" w14:textId="77777777" w:rsidR="006C7AE9" w:rsidRPr="00AE4C12" w:rsidRDefault="006C7AE9" w:rsidP="00226D17">
      <w:pPr>
        <w:pStyle w:val="FootnoteText"/>
        <w:tabs>
          <w:tab w:val="center" w:pos="4680"/>
        </w:tabs>
        <w:rPr>
          <w:lang w:val="en-US"/>
        </w:rPr>
      </w:pPr>
      <w:r>
        <w:rPr>
          <w:rStyle w:val="FootnoteReference"/>
        </w:rPr>
        <w:footnoteRef/>
      </w:r>
      <w:r>
        <w:t xml:space="preserve"> UNEP/OzL.Pro/ExCom/85/42</w:t>
      </w:r>
    </w:p>
  </w:footnote>
  <w:footnote w:id="40">
    <w:p w14:paraId="0BECA760" w14:textId="77777777" w:rsidR="006C7AE9" w:rsidRPr="006A294E" w:rsidRDefault="006C7AE9" w:rsidP="00226D17">
      <w:pPr>
        <w:pStyle w:val="FootnoteText"/>
        <w:rPr>
          <w:lang w:val="en-US"/>
        </w:rPr>
      </w:pPr>
      <w:r>
        <w:rPr>
          <w:rStyle w:val="FootnoteReference"/>
        </w:rPr>
        <w:footnoteRef/>
      </w:r>
      <w:r>
        <w:t xml:space="preserve"> </w:t>
      </w:r>
      <w:r>
        <w:rPr>
          <w:lang w:val="en-US"/>
        </w:rPr>
        <w:t>UNEP/OzL.Pro/ExCom/86/67</w:t>
      </w:r>
    </w:p>
  </w:footnote>
  <w:footnote w:id="41">
    <w:p w14:paraId="10DDB30B" w14:textId="77777777" w:rsidR="006C7AE9" w:rsidRPr="00A97E2B" w:rsidRDefault="006C7AE9" w:rsidP="00226D17">
      <w:pPr>
        <w:pStyle w:val="FootnoteText"/>
        <w:rPr>
          <w:lang w:val="en-US"/>
        </w:rPr>
      </w:pPr>
      <w:r>
        <w:rPr>
          <w:rStyle w:val="FootnoteReference"/>
        </w:rPr>
        <w:footnoteRef/>
      </w:r>
      <w:r>
        <w:t xml:space="preserve"> </w:t>
      </w:r>
      <w:r>
        <w:rPr>
          <w:lang w:val="en-US"/>
        </w:rPr>
        <w:t xml:space="preserve">Except for Nauru and Niue which agreed </w:t>
      </w:r>
      <w:r>
        <w:t>that</w:t>
      </w:r>
      <w:r w:rsidRPr="00BC0379">
        <w:t xml:space="preserve"> all approved funds under the third (final) tranche </w:t>
      </w:r>
      <w:r>
        <w:t xml:space="preserve">would be </w:t>
      </w:r>
      <w:r w:rsidRPr="00BC0379">
        <w:t xml:space="preserve">retained by UNEP to support the travel of experts to deliver the local training workshop or trainees from Nauru/Niue to attend the workshop in other countries under </w:t>
      </w:r>
      <w:r>
        <w:t xml:space="preserve">the </w:t>
      </w:r>
      <w:r w:rsidRPr="00BC0379">
        <w:t>south-south cooperation framework.</w:t>
      </w:r>
      <w:r>
        <w:t xml:space="preserve">  </w:t>
      </w:r>
    </w:p>
  </w:footnote>
  <w:footnote w:id="42">
    <w:p w14:paraId="242A6412" w14:textId="77777777" w:rsidR="006C7AE9" w:rsidRPr="00C1185A" w:rsidRDefault="006C7AE9" w:rsidP="00621D13">
      <w:pPr>
        <w:pStyle w:val="FootnoteText"/>
      </w:pPr>
      <w:r>
        <w:rPr>
          <w:rStyle w:val="FootnoteReference"/>
        </w:rPr>
        <w:footnoteRef/>
      </w:r>
      <w:r>
        <w:t xml:space="preserve"> </w:t>
      </w:r>
      <w:r w:rsidRPr="00C1185A">
        <w:t>Stage II of the HPMP was approved at the 80</w:t>
      </w:r>
      <w:r w:rsidRPr="00855936">
        <w:rPr>
          <w:vertAlign w:val="superscript"/>
        </w:rPr>
        <w:t>th</w:t>
      </w:r>
      <w:r w:rsidRPr="00C1185A">
        <w:t xml:space="preserve"> meeting to meet a 50 per cent reduction in HCFCs by 2021 at a total cost of </w:t>
      </w:r>
      <w:r>
        <w:t>US $</w:t>
      </w:r>
      <w:r w:rsidRPr="00C1185A">
        <w:t xml:space="preserve">2,750,057 plus agency support </w:t>
      </w:r>
      <w:r>
        <w:t xml:space="preserve">costs </w:t>
      </w:r>
      <w:r w:rsidRPr="00C1185A">
        <w:t xml:space="preserve">of </w:t>
      </w:r>
      <w:r>
        <w:t>US $</w:t>
      </w:r>
      <w:r w:rsidRPr="00C1185A">
        <w:t>192,504 for</w:t>
      </w:r>
      <w:r>
        <w:t xml:space="preserve"> the World Bank</w:t>
      </w:r>
      <w:r w:rsidRPr="00C1185A">
        <w:t>.</w:t>
      </w:r>
      <w:r>
        <w:t xml:space="preserve"> At the 83</w:t>
      </w:r>
      <w:r w:rsidRPr="00C1185A">
        <w:rPr>
          <w:vertAlign w:val="superscript"/>
        </w:rPr>
        <w:t>rd</w:t>
      </w:r>
      <w:r>
        <w:t xml:space="preserve"> meeting the Agreement was revised to transfer to UNIDO all the phase-out activities included in stage II (</w:t>
      </w:r>
      <w:r>
        <w:rPr>
          <w:lang w:val="en-US"/>
        </w:rPr>
        <w:t>A</w:t>
      </w:r>
      <w:proofErr w:type="spellStart"/>
      <w:r>
        <w:t>nnex</w:t>
      </w:r>
      <w:proofErr w:type="spellEnd"/>
      <w:r>
        <w:t xml:space="preserve"> IV of document UNEP/OzL.Pro/ExCom/83/48).</w:t>
      </w:r>
      <w:r w:rsidRPr="00CB34EC">
        <w:t xml:space="preserve"> </w:t>
      </w:r>
    </w:p>
  </w:footnote>
  <w:footnote w:id="43">
    <w:p w14:paraId="094DCD6D" w14:textId="77777777" w:rsidR="006C7AE9" w:rsidRDefault="006C7AE9" w:rsidP="00621D13">
      <w:pPr>
        <w:pStyle w:val="FootnoteText"/>
      </w:pPr>
      <w:r>
        <w:rPr>
          <w:rStyle w:val="FootnoteReference"/>
        </w:rPr>
        <w:footnoteRef/>
      </w:r>
      <w:r>
        <w:t xml:space="preserve"> DAO 2013-25 also known as the Revised Chemical Control Order for ODS</w:t>
      </w:r>
    </w:p>
  </w:footnote>
  <w:footnote w:id="44">
    <w:p w14:paraId="08CE7BA2" w14:textId="77777777" w:rsidR="006C7AE9" w:rsidRPr="008A3CCC" w:rsidRDefault="006C7AE9" w:rsidP="00621D13">
      <w:pPr>
        <w:pStyle w:val="FootnoteText"/>
        <w:rPr>
          <w:lang w:val="en-US"/>
        </w:rPr>
      </w:pPr>
      <w:r>
        <w:rPr>
          <w:rStyle w:val="FootnoteReference"/>
        </w:rPr>
        <w:footnoteRef/>
      </w:r>
      <w:r>
        <w:t xml:space="preserve"> </w:t>
      </w:r>
      <w:r>
        <w:rPr>
          <w:lang w:val="en-US"/>
        </w:rPr>
        <w:t>UNEP/OzL.Pro/ExCom/80/48</w:t>
      </w:r>
    </w:p>
  </w:footnote>
  <w:footnote w:id="45">
    <w:p w14:paraId="7469AFB1" w14:textId="77777777" w:rsidR="006C7AE9" w:rsidRPr="00D65825" w:rsidRDefault="006C7AE9" w:rsidP="00621D13">
      <w:pPr>
        <w:pStyle w:val="FootnoteText"/>
        <w:rPr>
          <w:lang w:val="en-US"/>
        </w:rPr>
      </w:pPr>
      <w:r w:rsidRPr="00D91E9C">
        <w:rPr>
          <w:rStyle w:val="FootnoteReference"/>
        </w:rPr>
        <w:footnoteRef/>
      </w:r>
      <w:r w:rsidRPr="00D91E9C">
        <w:t xml:space="preserve"> As per the letter forwarded from</w:t>
      </w:r>
      <w:r>
        <w:t xml:space="preserve"> the Department of Environment and Natural Resources of the Philippines to UNIDO.</w:t>
      </w:r>
    </w:p>
  </w:footnote>
  <w:footnote w:id="46">
    <w:p w14:paraId="15862233" w14:textId="77777777" w:rsidR="006C7AE9" w:rsidRPr="00F15058" w:rsidRDefault="006C7AE9" w:rsidP="00300A91">
      <w:pPr>
        <w:pStyle w:val="FootnoteText"/>
        <w:rPr>
          <w:lang w:val="en-US"/>
        </w:rPr>
      </w:pPr>
      <w:r>
        <w:rPr>
          <w:rStyle w:val="FootnoteReference"/>
        </w:rPr>
        <w:footnoteRef/>
      </w:r>
      <w:r>
        <w:t xml:space="preserve"> UNEP/OzL.Pro/ExCom/85/52</w:t>
      </w:r>
    </w:p>
  </w:footnote>
  <w:footnote w:id="47">
    <w:p w14:paraId="55DAAC9B" w14:textId="77777777" w:rsidR="006C7AE9" w:rsidRPr="005E3281" w:rsidRDefault="006C7AE9" w:rsidP="00300A91">
      <w:pPr>
        <w:pStyle w:val="FootnoteText"/>
        <w:rPr>
          <w:lang w:val="en-US"/>
        </w:rPr>
      </w:pPr>
      <w:r>
        <w:rPr>
          <w:rStyle w:val="FootnoteReference"/>
        </w:rPr>
        <w:footnoteRef/>
      </w:r>
      <w:r>
        <w:t xml:space="preserve"> </w:t>
      </w:r>
      <w:r w:rsidRPr="005E3281">
        <w:t>UNEP/OzL.Pro/ExCom/77/67</w:t>
      </w:r>
      <w:r>
        <w:t xml:space="preserve"> and Annex XXIV of document UNEP/OzL.Pro/ExCom/77/76.</w:t>
      </w:r>
    </w:p>
  </w:footnote>
  <w:footnote w:id="48">
    <w:p w14:paraId="411CAB59" w14:textId="77777777" w:rsidR="006C7AE9" w:rsidRPr="006A294E" w:rsidRDefault="006C7AE9" w:rsidP="00300A91">
      <w:pPr>
        <w:pStyle w:val="FootnoteText"/>
        <w:rPr>
          <w:lang w:val="en-US"/>
        </w:rPr>
      </w:pPr>
      <w:r>
        <w:rPr>
          <w:rStyle w:val="FootnoteReference"/>
        </w:rPr>
        <w:footnoteRef/>
      </w:r>
      <w:r>
        <w:t xml:space="preserve"> </w:t>
      </w:r>
      <w:r>
        <w:rPr>
          <w:lang w:val="en-US"/>
        </w:rPr>
        <w:t>UNEP/OzL.Pro/ExCom/86/80</w:t>
      </w:r>
    </w:p>
  </w:footnote>
  <w:footnote w:id="49">
    <w:p w14:paraId="03E64489" w14:textId="77777777" w:rsidR="006C7AE9" w:rsidRPr="00C31E41" w:rsidRDefault="006C7AE9" w:rsidP="00725768">
      <w:pPr>
        <w:pStyle w:val="FootnoteText"/>
        <w:rPr>
          <w:lang w:val="en-US"/>
        </w:rPr>
      </w:pPr>
      <w:r>
        <w:rPr>
          <w:rStyle w:val="FootnoteReference"/>
        </w:rPr>
        <w:footnoteRef/>
      </w:r>
      <w:r>
        <w:t xml:space="preserve"> </w:t>
      </w:r>
      <w:r w:rsidRPr="005725EB">
        <w:t>When approving enabling activities, to maintain the 18-month implementation period for such</w:t>
      </w:r>
      <w:r>
        <w:t xml:space="preserve"> projects in line with decision </w:t>
      </w:r>
      <w:r w:rsidRPr="005725EB">
        <w:t>79/46(d)(iii) and, if needed, to extend that period by no more than 12 months (totalling 30 months from project approval), when an official request for extension was received by the Secretariat</w:t>
      </w:r>
      <w:r>
        <w:t>.</w:t>
      </w:r>
    </w:p>
  </w:footnote>
  <w:footnote w:id="50">
    <w:p w14:paraId="33DFEF06" w14:textId="77777777" w:rsidR="006C7AE9" w:rsidRPr="007E055F" w:rsidRDefault="006C7AE9" w:rsidP="00F63AF8">
      <w:pPr>
        <w:pStyle w:val="Heading1"/>
        <w:numPr>
          <w:ilvl w:val="0"/>
          <w:numId w:val="0"/>
        </w:numPr>
        <w:spacing w:after="0"/>
        <w:rPr>
          <w:lang w:val="en-CA"/>
        </w:rPr>
      </w:pPr>
      <w:r w:rsidRPr="007E055F">
        <w:rPr>
          <w:rStyle w:val="FootnoteReference"/>
          <w:sz w:val="20"/>
          <w:szCs w:val="20"/>
        </w:rPr>
        <w:footnoteRef/>
      </w:r>
      <w:r w:rsidRPr="007E055F">
        <w:rPr>
          <w:sz w:val="20"/>
          <w:szCs w:val="20"/>
        </w:rPr>
        <w:t xml:space="preserve"> The Committee decided to maintain the 18-month implementation period for </w:t>
      </w:r>
      <w:r>
        <w:rPr>
          <w:sz w:val="20"/>
          <w:szCs w:val="20"/>
        </w:rPr>
        <w:t>enabling activities</w:t>
      </w:r>
      <w:r w:rsidRPr="007E055F">
        <w:rPr>
          <w:sz w:val="20"/>
          <w:szCs w:val="20"/>
        </w:rPr>
        <w:t xml:space="preserve"> and, if needed, to extend that period by no more than 12 months (totalling 30 months from project approval), when an official request for extension was received by the Secretariat.</w:t>
      </w:r>
    </w:p>
  </w:footnote>
  <w:footnote w:id="51">
    <w:p w14:paraId="30E175F3" w14:textId="77777777" w:rsidR="006C7AE9" w:rsidRPr="001E3DD7" w:rsidRDefault="006C7AE9" w:rsidP="00FD48F3">
      <w:pPr>
        <w:pStyle w:val="FootnoteText"/>
        <w:rPr>
          <w:lang w:val="en-CA"/>
        </w:rPr>
      </w:pPr>
      <w:r>
        <w:rPr>
          <w:rStyle w:val="FootnoteReference"/>
        </w:rPr>
        <w:footnoteRef/>
      </w:r>
      <w:r>
        <w:t xml:space="preserve"> </w:t>
      </w:r>
      <w:r w:rsidRPr="001E3DD7">
        <w:t>The UN Security Council Committee established pursuant to Resolution 1718 was consulted before submission of stage</w:t>
      </w:r>
      <w:r>
        <w:t> </w:t>
      </w:r>
      <w:r w:rsidRPr="001E3DD7">
        <w:t>I of the HPMP to establish whether the equipment or any other services under the HPMP could be provided to the country.</w:t>
      </w:r>
    </w:p>
  </w:footnote>
  <w:footnote w:id="52">
    <w:p w14:paraId="5476AAAA" w14:textId="77777777" w:rsidR="006C7AE9" w:rsidRPr="00D83831" w:rsidRDefault="006C7AE9" w:rsidP="00FD48F3">
      <w:pPr>
        <w:pStyle w:val="FootnoteText"/>
        <w:rPr>
          <w:lang w:val="en-CA"/>
        </w:rPr>
      </w:pPr>
      <w:r>
        <w:rPr>
          <w:rStyle w:val="FootnoteReference"/>
        </w:rPr>
        <w:footnoteRef/>
      </w:r>
      <w:r>
        <w:t xml:space="preserve"> </w:t>
      </w:r>
      <w:r w:rsidRPr="002378DF">
        <w:t>23 to 27 November 2020</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0E9F" w14:textId="77777777" w:rsidR="006C7AE9" w:rsidRPr="0033525D" w:rsidRDefault="006C7AE9">
    <w:fldSimple w:instr=" DOCPROPERTY &quot;Document number&quot;  \* MERGEFORMAT ">
      <w:r>
        <w:t>UNEP/OzL.Pro/ExCom/87/9</w:t>
      </w:r>
    </w:fldSimple>
  </w:p>
  <w:p w14:paraId="78E5BD14" w14:textId="77777777" w:rsidR="006C7AE9" w:rsidRDefault="006C7AE9"/>
  <w:p w14:paraId="2093A7DF" w14:textId="77777777" w:rsidR="006C7AE9" w:rsidRPr="0033525D" w:rsidRDefault="006C7AE9"/>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C72C" w14:textId="77777777" w:rsidR="006C7AE9" w:rsidRPr="0033525D" w:rsidRDefault="006C7AE9">
    <w:fldSimple w:instr=" DOCPROPERTY &quot;Document number&quot;  \* MERGEFORMAT ">
      <w:r>
        <w:t>UNEP/OzL.Pro/ExCom/85/9</w:t>
      </w:r>
    </w:fldSimple>
  </w:p>
  <w:p w14:paraId="090A9CAF" w14:textId="77777777" w:rsidR="006C7AE9" w:rsidRPr="0033525D" w:rsidRDefault="006C7AE9">
    <w:r>
      <w:t>Annex IX</w:t>
    </w:r>
  </w:p>
  <w:p w14:paraId="772993CD" w14:textId="77777777" w:rsidR="006C7AE9" w:rsidRPr="0033525D" w:rsidRDefault="006C7AE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5CBC" w14:textId="77777777" w:rsidR="006C7AE9" w:rsidRPr="0033525D" w:rsidRDefault="006C7AE9">
    <w:pPr>
      <w:jc w:val="right"/>
    </w:pPr>
    <w:fldSimple w:instr=" DOCPROPERTY &quot;Document number&quot;  \* MERGEFORMAT ">
      <w:r>
        <w:t>UNEP/OzL.Pro/ExCom/85/9</w:t>
      </w:r>
    </w:fldSimple>
  </w:p>
  <w:p w14:paraId="046872AA" w14:textId="77777777" w:rsidR="006C7AE9" w:rsidRPr="0033525D" w:rsidRDefault="006C7AE9" w:rsidP="0070646B">
    <w:pPr>
      <w:jc w:val="right"/>
    </w:pPr>
    <w:r>
      <w:t>Annex IX</w:t>
    </w:r>
  </w:p>
  <w:p w14:paraId="3603997B" w14:textId="77777777" w:rsidR="006C7AE9" w:rsidRPr="0033525D" w:rsidRDefault="006C7AE9">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FFB4" w14:textId="77777777" w:rsidR="006C7AE9" w:rsidRPr="0033525D" w:rsidRDefault="006C7AE9" w:rsidP="0070646B">
    <w:pPr>
      <w:jc w:val="right"/>
    </w:pPr>
    <w:fldSimple w:instr=" DOCPROPERTY &quot;Document number&quot;  \* MERGEFORMAT ">
      <w:r>
        <w:t>UNEP/OzL.Pro/ExCom/87/9</w:t>
      </w:r>
    </w:fldSimple>
  </w:p>
  <w:p w14:paraId="0BCB75DC" w14:textId="77777777" w:rsidR="006C7AE9" w:rsidRDefault="006C7AE9" w:rsidP="0070646B">
    <w:pPr>
      <w:pStyle w:val="Header"/>
      <w:jc w:val="right"/>
    </w:pPr>
    <w:r>
      <w:t>Annex IV</w:t>
    </w:r>
  </w:p>
  <w:p w14:paraId="177527C1" w14:textId="77777777" w:rsidR="006C7AE9" w:rsidRDefault="006C7AE9">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11BD" w14:textId="77777777" w:rsidR="006C7AE9" w:rsidRPr="0033525D" w:rsidRDefault="006C7AE9" w:rsidP="0070646B">
    <w:pPr>
      <w:jc w:val="right"/>
    </w:pPr>
    <w:fldSimple w:instr=" DOCPROPERTY &quot;Document number&quot;  \* MERGEFORMAT ">
      <w:r>
        <w:t>UNEP/OzL.Pro/ExCom/87/9</w:t>
      </w:r>
    </w:fldSimple>
  </w:p>
  <w:p w14:paraId="69BD5D05" w14:textId="77777777" w:rsidR="006C7AE9" w:rsidRDefault="006C7AE9" w:rsidP="0070646B">
    <w:pPr>
      <w:pStyle w:val="Header"/>
      <w:jc w:val="right"/>
    </w:pPr>
    <w:r>
      <w:t>Annex V</w:t>
    </w:r>
  </w:p>
  <w:p w14:paraId="20A66F19" w14:textId="77777777" w:rsidR="006C7AE9" w:rsidRDefault="006C7AE9">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B4A2" w14:textId="77777777" w:rsidR="006C7AE9" w:rsidRPr="0033525D" w:rsidRDefault="006C7AE9">
    <w:fldSimple w:instr=" DOCPROPERTY &quot;Document number&quot;  \* MERGEFORMAT ">
      <w:r>
        <w:t>UNEP/OzL.Pro/ExCom/87/9</w:t>
      </w:r>
    </w:fldSimple>
  </w:p>
  <w:p w14:paraId="4A746A8A" w14:textId="77777777" w:rsidR="006C7AE9" w:rsidRPr="0033525D" w:rsidRDefault="006C7AE9">
    <w:r>
      <w:t>Annex VI</w:t>
    </w:r>
  </w:p>
  <w:p w14:paraId="6F28191B" w14:textId="77777777" w:rsidR="006C7AE9" w:rsidRPr="0033525D" w:rsidRDefault="006C7AE9"/>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C44A" w14:textId="77777777" w:rsidR="006C7AE9" w:rsidRPr="0033525D" w:rsidRDefault="006C7AE9">
    <w:pPr>
      <w:jc w:val="right"/>
    </w:pPr>
    <w:fldSimple w:instr=" DOCPROPERTY &quot;Document number&quot;  \* MERGEFORMAT ">
      <w:r>
        <w:t>UNEP/OzL.Pro/ExCom/87/9</w:t>
      </w:r>
    </w:fldSimple>
  </w:p>
  <w:p w14:paraId="48323E7F" w14:textId="77777777" w:rsidR="006C7AE9" w:rsidRPr="0033525D" w:rsidRDefault="006C7AE9" w:rsidP="0070646B">
    <w:pPr>
      <w:jc w:val="right"/>
    </w:pPr>
    <w:r>
      <w:t>Annex VI</w:t>
    </w:r>
  </w:p>
  <w:p w14:paraId="4A947277" w14:textId="77777777" w:rsidR="006C7AE9" w:rsidRPr="0033525D" w:rsidRDefault="006C7AE9">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8F75" w14:textId="77777777" w:rsidR="006C7AE9" w:rsidRDefault="006C7AE9" w:rsidP="00E92CFE">
    <w:pPr>
      <w:jc w:val="right"/>
    </w:pPr>
    <w:fldSimple w:instr=" DOCPROPERTY &quot;Document number&quot;  \* MERGEFORMAT ">
      <w:r>
        <w:t>UNEP/OzL.Pro/ExCom/87/9</w:t>
      </w:r>
    </w:fldSimple>
  </w:p>
  <w:p w14:paraId="22F4666E" w14:textId="77777777" w:rsidR="006C7AE9" w:rsidRPr="0033525D" w:rsidRDefault="006C7AE9" w:rsidP="00E92CFE">
    <w:pPr>
      <w:jc w:val="right"/>
    </w:pPr>
    <w:r>
      <w:t>Annex VI</w:t>
    </w:r>
  </w:p>
  <w:p w14:paraId="150A4528" w14:textId="77777777" w:rsidR="006C7AE9" w:rsidRPr="0033525D" w:rsidRDefault="006C7AE9" w:rsidP="00E92CFE"/>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0135" w14:textId="77777777" w:rsidR="006C7AE9" w:rsidRPr="0033525D" w:rsidRDefault="006C7AE9">
    <w:fldSimple w:instr=" DOCPROPERTY &quot;Document number&quot;  \* MERGEFORMAT ">
      <w:r>
        <w:t>UNEP/OzL.Pro/ExCom/87/9</w:t>
      </w:r>
    </w:fldSimple>
  </w:p>
  <w:p w14:paraId="3C4D17E9" w14:textId="77777777" w:rsidR="006C7AE9" w:rsidRPr="0033525D" w:rsidRDefault="006C7AE9">
    <w:r>
      <w:t>Annex VII</w:t>
    </w:r>
  </w:p>
  <w:p w14:paraId="749B0E52" w14:textId="77777777" w:rsidR="006C7AE9" w:rsidRPr="0033525D" w:rsidRDefault="006C7AE9"/>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1859" w14:textId="77777777" w:rsidR="006C7AE9" w:rsidRPr="0033525D" w:rsidRDefault="006C7AE9">
    <w:pPr>
      <w:jc w:val="right"/>
    </w:pPr>
    <w:fldSimple w:instr=" DOCPROPERTY &quot;Document number&quot;  \* MERGEFORMAT ">
      <w:r>
        <w:t>UNEP/OzL.Pro/ExCom/87/9</w:t>
      </w:r>
    </w:fldSimple>
  </w:p>
  <w:p w14:paraId="1DC0DA89" w14:textId="77777777" w:rsidR="006C7AE9" w:rsidRPr="0033525D" w:rsidRDefault="006C7AE9" w:rsidP="0070646B">
    <w:pPr>
      <w:jc w:val="right"/>
    </w:pPr>
    <w:r>
      <w:t>Annex VII</w:t>
    </w:r>
  </w:p>
  <w:p w14:paraId="0A8C8932" w14:textId="77777777" w:rsidR="006C7AE9" w:rsidRPr="0033525D" w:rsidRDefault="006C7AE9">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DD03" w14:textId="77777777" w:rsidR="006C7AE9" w:rsidRDefault="006C7AE9" w:rsidP="00E92CFE">
    <w:pPr>
      <w:jc w:val="right"/>
    </w:pPr>
    <w:fldSimple w:instr=" DOCPROPERTY &quot;Document number&quot;  \* MERGEFORMAT ">
      <w:r>
        <w:t>UNEP/OzL.Pro/ExCom/87/9</w:t>
      </w:r>
    </w:fldSimple>
  </w:p>
  <w:p w14:paraId="2182890B" w14:textId="77777777" w:rsidR="006C7AE9" w:rsidRPr="0033525D" w:rsidRDefault="006C7AE9" w:rsidP="00E92CFE">
    <w:pPr>
      <w:jc w:val="right"/>
    </w:pPr>
    <w:r>
      <w:t>Annex VII</w:t>
    </w:r>
  </w:p>
  <w:p w14:paraId="27D03361" w14:textId="77777777" w:rsidR="006C7AE9" w:rsidRPr="0033525D" w:rsidRDefault="006C7AE9" w:rsidP="00E92C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FBD8" w14:textId="77777777" w:rsidR="006C7AE9" w:rsidRDefault="006C7AE9">
    <w:pPr>
      <w:jc w:val="right"/>
    </w:pPr>
    <w:fldSimple w:instr=" DOCPROPERTY &quot;Document number&quot;  \* MERGEFORMAT ">
      <w:r>
        <w:t>UNEP/OzL.Pro/ExCom/87/9</w:t>
      </w:r>
    </w:fldSimple>
  </w:p>
  <w:p w14:paraId="23792E37" w14:textId="77777777" w:rsidR="006C7AE9" w:rsidRPr="0033525D" w:rsidRDefault="006C7AE9">
    <w:pPr>
      <w:jc w:val="right"/>
    </w:pPr>
  </w:p>
  <w:p w14:paraId="7AEEB5EA" w14:textId="77777777" w:rsidR="006C7AE9" w:rsidRDefault="006C7AE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658F" w14:textId="77777777" w:rsidR="006C7AE9" w:rsidRPr="003F73BA" w:rsidRDefault="006C7AE9" w:rsidP="005E2E94">
    <w:pPr>
      <w:jc w:val="left"/>
    </w:pPr>
    <w:fldSimple w:instr=" DOCPROPERTY &quot;Document number&quot;  \* MERGEFORMAT ">
      <w:r>
        <w:t>UNEP/OzL.Pro/ExCom/87/9</w:t>
      </w:r>
    </w:fldSimple>
  </w:p>
  <w:p w14:paraId="0807E8AF" w14:textId="77777777" w:rsidR="006C7AE9" w:rsidRDefault="006C7AE9" w:rsidP="005E2E94">
    <w:pPr>
      <w:pStyle w:val="Header"/>
      <w:jc w:val="left"/>
    </w:pPr>
    <w:r>
      <w:t>Annex I</w:t>
    </w:r>
  </w:p>
  <w:p w14:paraId="32762ADC" w14:textId="77777777" w:rsidR="006C7AE9" w:rsidRPr="00C627AC" w:rsidRDefault="006C7AE9" w:rsidP="005E2E9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8BF3" w14:textId="77777777" w:rsidR="006C7AE9" w:rsidRPr="003F73BA" w:rsidRDefault="006C7AE9" w:rsidP="005E2E94">
    <w:pPr>
      <w:jc w:val="right"/>
    </w:pPr>
    <w:fldSimple w:instr=" DOCPROPERTY &quot;Document number&quot;  \* MERGEFORMAT ">
      <w:r>
        <w:t>UNEP/OzL.Pro/ExCom/85/9</w:t>
      </w:r>
    </w:fldSimple>
  </w:p>
  <w:p w14:paraId="411AD15A" w14:textId="77777777" w:rsidR="006C7AE9" w:rsidRDefault="006C7AE9" w:rsidP="005E2E94">
    <w:pPr>
      <w:pStyle w:val="Header"/>
      <w:jc w:val="right"/>
    </w:pPr>
    <w:r>
      <w:t>Annex II</w:t>
    </w:r>
  </w:p>
  <w:p w14:paraId="3CDE4F13" w14:textId="77777777" w:rsidR="006C7AE9" w:rsidRPr="0033525D" w:rsidRDefault="006C7AE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86A" w14:textId="77777777" w:rsidR="006C7AE9" w:rsidRPr="003F73BA" w:rsidRDefault="006C7AE9" w:rsidP="005E2E94">
    <w:pPr>
      <w:jc w:val="right"/>
    </w:pPr>
    <w:fldSimple w:instr=" DOCPROPERTY &quot;Document number&quot;  \* MERGEFORMAT ">
      <w:r>
        <w:t>UNEP/OzL.Pro/ExCom/87/9</w:t>
      </w:r>
    </w:fldSimple>
  </w:p>
  <w:p w14:paraId="4BF104CD" w14:textId="77777777" w:rsidR="006C7AE9" w:rsidRDefault="006C7AE9" w:rsidP="005E2E94">
    <w:pPr>
      <w:pStyle w:val="Header"/>
      <w:jc w:val="right"/>
    </w:pPr>
    <w:r>
      <w:t>Annex I</w:t>
    </w:r>
  </w:p>
  <w:p w14:paraId="78521273" w14:textId="77777777" w:rsidR="006C7AE9" w:rsidRDefault="006C7AE9" w:rsidP="005E2E94">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3555" w14:textId="77777777" w:rsidR="006C7AE9" w:rsidRPr="003F73BA" w:rsidRDefault="006C7AE9" w:rsidP="005E2E94">
    <w:pPr>
      <w:jc w:val="left"/>
    </w:pPr>
    <w:fldSimple w:instr=" DOCPROPERTY &quot;Document number&quot;  \* MERGEFORMAT ">
      <w:r>
        <w:t>UNEP/OzL.Pro/ExCom/85/9</w:t>
      </w:r>
    </w:fldSimple>
  </w:p>
  <w:p w14:paraId="38F9CD3B" w14:textId="77777777" w:rsidR="006C7AE9" w:rsidRDefault="006C7AE9" w:rsidP="005E2E94">
    <w:pPr>
      <w:pStyle w:val="Header"/>
      <w:jc w:val="left"/>
    </w:pPr>
    <w:r>
      <w:t>Annex II</w:t>
    </w:r>
  </w:p>
  <w:p w14:paraId="6243119F" w14:textId="77777777" w:rsidR="006C7AE9" w:rsidRPr="00C627AC" w:rsidRDefault="006C7AE9" w:rsidP="005E2E9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55CF" w14:textId="77777777" w:rsidR="006C7AE9" w:rsidRDefault="006C7AE9" w:rsidP="00E92CFE">
    <w:pPr>
      <w:jc w:val="right"/>
    </w:pPr>
    <w:fldSimple w:instr=" DOCPROPERTY &quot;Document number&quot;  \* MERGEFORMAT ">
      <w:r>
        <w:t>UNEP/OzL.Pro/ExCom/87/9</w:t>
      </w:r>
    </w:fldSimple>
  </w:p>
  <w:p w14:paraId="1D22AC42" w14:textId="77777777" w:rsidR="006C7AE9" w:rsidRPr="0033525D" w:rsidRDefault="006C7AE9" w:rsidP="00E92CFE">
    <w:pPr>
      <w:jc w:val="right"/>
    </w:pPr>
    <w:r>
      <w:t>Annex II</w:t>
    </w:r>
  </w:p>
  <w:p w14:paraId="56373372" w14:textId="77777777" w:rsidR="006C7AE9" w:rsidRDefault="006C7AE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C073" w14:textId="77777777" w:rsidR="006C7AE9" w:rsidRPr="003F73BA" w:rsidRDefault="006C7AE9" w:rsidP="005E2E94">
    <w:pPr>
      <w:jc w:val="left"/>
    </w:pPr>
    <w:fldSimple w:instr=" DOCPROPERTY &quot;Document number&quot;  \* MERGEFORMAT ">
      <w:r>
        <w:t>UNEP/OzL.Pro/ExCom/87/9</w:t>
      </w:r>
    </w:fldSimple>
  </w:p>
  <w:p w14:paraId="2DE2B087" w14:textId="77777777" w:rsidR="006C7AE9" w:rsidRDefault="006C7AE9" w:rsidP="005E2E94">
    <w:pPr>
      <w:pStyle w:val="Header"/>
      <w:jc w:val="left"/>
    </w:pPr>
    <w:r>
      <w:t>Annex III</w:t>
    </w:r>
  </w:p>
  <w:p w14:paraId="6C9B0016" w14:textId="77777777" w:rsidR="006C7AE9" w:rsidRPr="00C627AC" w:rsidRDefault="006C7AE9" w:rsidP="005E2E9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C378" w14:textId="77777777" w:rsidR="006C7AE9" w:rsidRDefault="006C7AE9" w:rsidP="00E92CFE">
    <w:pPr>
      <w:jc w:val="right"/>
    </w:pPr>
    <w:fldSimple w:instr=" DOCPROPERTY &quot;Document number&quot;  \* MERGEFORMAT ">
      <w:r>
        <w:t>UNEP/OzL.Pro/ExCom/87/9</w:t>
      </w:r>
    </w:fldSimple>
  </w:p>
  <w:p w14:paraId="5C3C96C7" w14:textId="77777777" w:rsidR="006C7AE9" w:rsidRPr="0033525D" w:rsidRDefault="006C7AE9" w:rsidP="00E92CFE">
    <w:pPr>
      <w:jc w:val="right"/>
    </w:pPr>
    <w:r>
      <w:t>Annex III</w:t>
    </w:r>
  </w:p>
  <w:p w14:paraId="1B713560" w14:textId="77777777" w:rsidR="006C7AE9" w:rsidRDefault="006C7A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654E8F0"/>
    <w:lvl w:ilvl="0">
      <w:start w:val="1"/>
      <w:numFmt w:val="decimal"/>
      <w:pStyle w:val="Heading1"/>
      <w:lvlText w:val="%1."/>
      <w:lvlJc w:val="left"/>
      <w:pPr>
        <w:tabs>
          <w:tab w:val="num" w:pos="0"/>
        </w:tabs>
        <w:ind w:left="0" w:firstLine="0"/>
      </w:pPr>
      <w:rPr>
        <w:b w:val="0"/>
        <w:i w:val="0"/>
        <w:strike w:val="0"/>
        <w:color w:val="auto"/>
      </w:rPr>
    </w:lvl>
    <w:lvl w:ilvl="1">
      <w:start w:val="1"/>
      <w:numFmt w:val="lowerLetter"/>
      <w:pStyle w:val="Heading2"/>
      <w:lvlText w:val="(%2)"/>
      <w:lvlJc w:val="left"/>
      <w:pPr>
        <w:tabs>
          <w:tab w:val="num" w:pos="0"/>
        </w:tabs>
        <w:ind w:left="1440" w:hanging="720"/>
      </w:pPr>
      <w:rPr>
        <w:b w:val="0"/>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ABE5327"/>
    <w:multiLevelType w:val="hybridMultilevel"/>
    <w:tmpl w:val="E9A03E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C973FE6"/>
    <w:multiLevelType w:val="hybridMultilevel"/>
    <w:tmpl w:val="16262B7A"/>
    <w:lvl w:ilvl="0" w:tplc="FFFFFFFF">
      <w:start w:val="1"/>
      <w:numFmt w:val="decimal"/>
      <w:lvlText w:val="%1."/>
      <w:lvlJc w:val="left"/>
      <w:pPr>
        <w:ind w:left="1175" w:hanging="360"/>
      </w:pPr>
    </w:lvl>
    <w:lvl w:ilvl="1" w:tplc="10090019" w:tentative="1">
      <w:start w:val="1"/>
      <w:numFmt w:val="lowerLetter"/>
      <w:lvlText w:val="%2."/>
      <w:lvlJc w:val="left"/>
      <w:pPr>
        <w:ind w:left="1895" w:hanging="360"/>
      </w:pPr>
    </w:lvl>
    <w:lvl w:ilvl="2" w:tplc="1009001B" w:tentative="1">
      <w:start w:val="1"/>
      <w:numFmt w:val="lowerRoman"/>
      <w:lvlText w:val="%3."/>
      <w:lvlJc w:val="right"/>
      <w:pPr>
        <w:ind w:left="2615" w:hanging="180"/>
      </w:pPr>
    </w:lvl>
    <w:lvl w:ilvl="3" w:tplc="1009000F" w:tentative="1">
      <w:start w:val="1"/>
      <w:numFmt w:val="decimal"/>
      <w:lvlText w:val="%4."/>
      <w:lvlJc w:val="left"/>
      <w:pPr>
        <w:ind w:left="3335" w:hanging="360"/>
      </w:pPr>
    </w:lvl>
    <w:lvl w:ilvl="4" w:tplc="10090019" w:tentative="1">
      <w:start w:val="1"/>
      <w:numFmt w:val="lowerLetter"/>
      <w:lvlText w:val="%5."/>
      <w:lvlJc w:val="left"/>
      <w:pPr>
        <w:ind w:left="4055" w:hanging="360"/>
      </w:pPr>
    </w:lvl>
    <w:lvl w:ilvl="5" w:tplc="1009001B" w:tentative="1">
      <w:start w:val="1"/>
      <w:numFmt w:val="lowerRoman"/>
      <w:lvlText w:val="%6."/>
      <w:lvlJc w:val="right"/>
      <w:pPr>
        <w:ind w:left="4775" w:hanging="180"/>
      </w:pPr>
    </w:lvl>
    <w:lvl w:ilvl="6" w:tplc="1009000F" w:tentative="1">
      <w:start w:val="1"/>
      <w:numFmt w:val="decimal"/>
      <w:lvlText w:val="%7."/>
      <w:lvlJc w:val="left"/>
      <w:pPr>
        <w:ind w:left="5495" w:hanging="360"/>
      </w:pPr>
    </w:lvl>
    <w:lvl w:ilvl="7" w:tplc="10090019" w:tentative="1">
      <w:start w:val="1"/>
      <w:numFmt w:val="lowerLetter"/>
      <w:lvlText w:val="%8."/>
      <w:lvlJc w:val="left"/>
      <w:pPr>
        <w:ind w:left="6215" w:hanging="360"/>
      </w:pPr>
    </w:lvl>
    <w:lvl w:ilvl="8" w:tplc="1009001B" w:tentative="1">
      <w:start w:val="1"/>
      <w:numFmt w:val="lowerRoman"/>
      <w:lvlText w:val="%9."/>
      <w:lvlJc w:val="right"/>
      <w:pPr>
        <w:ind w:left="6935" w:hanging="180"/>
      </w:pPr>
    </w:lvl>
  </w:abstractNum>
  <w:abstractNum w:abstractNumId="13" w15:restartNumberingAfterBreak="0">
    <w:nsid w:val="2B3951E8"/>
    <w:multiLevelType w:val="hybridMultilevel"/>
    <w:tmpl w:val="E01C2C6A"/>
    <w:lvl w:ilvl="0" w:tplc="1009000F">
      <w:start w:val="1"/>
      <w:numFmt w:val="decimal"/>
      <w:lvlText w:val="%1."/>
      <w:lvlJc w:val="left"/>
      <w:pPr>
        <w:ind w:left="1175" w:hanging="360"/>
      </w:pPr>
    </w:lvl>
    <w:lvl w:ilvl="1" w:tplc="10090019" w:tentative="1">
      <w:start w:val="1"/>
      <w:numFmt w:val="lowerLetter"/>
      <w:lvlText w:val="%2."/>
      <w:lvlJc w:val="left"/>
      <w:pPr>
        <w:ind w:left="1895" w:hanging="360"/>
      </w:pPr>
    </w:lvl>
    <w:lvl w:ilvl="2" w:tplc="1009001B" w:tentative="1">
      <w:start w:val="1"/>
      <w:numFmt w:val="lowerRoman"/>
      <w:lvlText w:val="%3."/>
      <w:lvlJc w:val="right"/>
      <w:pPr>
        <w:ind w:left="2615" w:hanging="180"/>
      </w:pPr>
    </w:lvl>
    <w:lvl w:ilvl="3" w:tplc="1009000F" w:tentative="1">
      <w:start w:val="1"/>
      <w:numFmt w:val="decimal"/>
      <w:lvlText w:val="%4."/>
      <w:lvlJc w:val="left"/>
      <w:pPr>
        <w:ind w:left="3335" w:hanging="360"/>
      </w:pPr>
    </w:lvl>
    <w:lvl w:ilvl="4" w:tplc="10090019" w:tentative="1">
      <w:start w:val="1"/>
      <w:numFmt w:val="lowerLetter"/>
      <w:lvlText w:val="%5."/>
      <w:lvlJc w:val="left"/>
      <w:pPr>
        <w:ind w:left="4055" w:hanging="360"/>
      </w:pPr>
    </w:lvl>
    <w:lvl w:ilvl="5" w:tplc="1009001B" w:tentative="1">
      <w:start w:val="1"/>
      <w:numFmt w:val="lowerRoman"/>
      <w:lvlText w:val="%6."/>
      <w:lvlJc w:val="right"/>
      <w:pPr>
        <w:ind w:left="4775" w:hanging="180"/>
      </w:pPr>
    </w:lvl>
    <w:lvl w:ilvl="6" w:tplc="1009000F" w:tentative="1">
      <w:start w:val="1"/>
      <w:numFmt w:val="decimal"/>
      <w:lvlText w:val="%7."/>
      <w:lvlJc w:val="left"/>
      <w:pPr>
        <w:ind w:left="5495" w:hanging="360"/>
      </w:pPr>
    </w:lvl>
    <w:lvl w:ilvl="7" w:tplc="10090019" w:tentative="1">
      <w:start w:val="1"/>
      <w:numFmt w:val="lowerLetter"/>
      <w:lvlText w:val="%8."/>
      <w:lvlJc w:val="left"/>
      <w:pPr>
        <w:ind w:left="6215" w:hanging="360"/>
      </w:pPr>
    </w:lvl>
    <w:lvl w:ilvl="8" w:tplc="1009001B" w:tentative="1">
      <w:start w:val="1"/>
      <w:numFmt w:val="lowerRoman"/>
      <w:lvlText w:val="%9."/>
      <w:lvlJc w:val="right"/>
      <w:pPr>
        <w:ind w:left="6935"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4A3030C"/>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463F2963"/>
    <w:multiLevelType w:val="hybridMultilevel"/>
    <w:tmpl w:val="DE26065E"/>
    <w:lvl w:ilvl="0" w:tplc="1A6AB15C">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1E14FC"/>
    <w:multiLevelType w:val="hybridMultilevel"/>
    <w:tmpl w:val="881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603BF"/>
    <w:multiLevelType w:val="hybridMultilevel"/>
    <w:tmpl w:val="65222B18"/>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A2183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529459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4" w15:restartNumberingAfterBreak="0">
    <w:nsid w:val="55C0764A"/>
    <w:multiLevelType w:val="hybridMultilevel"/>
    <w:tmpl w:val="82CC708C"/>
    <w:lvl w:ilvl="0" w:tplc="1009000F">
      <w:start w:val="1"/>
      <w:numFmt w:val="decimal"/>
      <w:lvlText w:val="%1."/>
      <w:lvlJc w:val="left"/>
      <w:pPr>
        <w:ind w:left="3960" w:hanging="360"/>
      </w:p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5" w15:restartNumberingAfterBreak="0">
    <w:nsid w:val="57883FB0"/>
    <w:multiLevelType w:val="hybridMultilevel"/>
    <w:tmpl w:val="0E6ED9E0"/>
    <w:lvl w:ilvl="0" w:tplc="1009000F">
      <w:start w:val="1"/>
      <w:numFmt w:val="decimal"/>
      <w:lvlText w:val="%1."/>
      <w:lvlJc w:val="left"/>
      <w:pPr>
        <w:ind w:left="1175" w:hanging="360"/>
      </w:pPr>
    </w:lvl>
    <w:lvl w:ilvl="1" w:tplc="10090019" w:tentative="1">
      <w:start w:val="1"/>
      <w:numFmt w:val="lowerLetter"/>
      <w:lvlText w:val="%2."/>
      <w:lvlJc w:val="left"/>
      <w:pPr>
        <w:ind w:left="1895" w:hanging="360"/>
      </w:pPr>
    </w:lvl>
    <w:lvl w:ilvl="2" w:tplc="1009001B" w:tentative="1">
      <w:start w:val="1"/>
      <w:numFmt w:val="lowerRoman"/>
      <w:lvlText w:val="%3."/>
      <w:lvlJc w:val="right"/>
      <w:pPr>
        <w:ind w:left="2615" w:hanging="180"/>
      </w:pPr>
    </w:lvl>
    <w:lvl w:ilvl="3" w:tplc="1009000F" w:tentative="1">
      <w:start w:val="1"/>
      <w:numFmt w:val="decimal"/>
      <w:lvlText w:val="%4."/>
      <w:lvlJc w:val="left"/>
      <w:pPr>
        <w:ind w:left="3335" w:hanging="360"/>
      </w:pPr>
    </w:lvl>
    <w:lvl w:ilvl="4" w:tplc="10090019" w:tentative="1">
      <w:start w:val="1"/>
      <w:numFmt w:val="lowerLetter"/>
      <w:lvlText w:val="%5."/>
      <w:lvlJc w:val="left"/>
      <w:pPr>
        <w:ind w:left="4055" w:hanging="360"/>
      </w:pPr>
    </w:lvl>
    <w:lvl w:ilvl="5" w:tplc="1009001B" w:tentative="1">
      <w:start w:val="1"/>
      <w:numFmt w:val="lowerRoman"/>
      <w:lvlText w:val="%6."/>
      <w:lvlJc w:val="right"/>
      <w:pPr>
        <w:ind w:left="4775" w:hanging="180"/>
      </w:pPr>
    </w:lvl>
    <w:lvl w:ilvl="6" w:tplc="1009000F" w:tentative="1">
      <w:start w:val="1"/>
      <w:numFmt w:val="decimal"/>
      <w:lvlText w:val="%7."/>
      <w:lvlJc w:val="left"/>
      <w:pPr>
        <w:ind w:left="5495" w:hanging="360"/>
      </w:pPr>
    </w:lvl>
    <w:lvl w:ilvl="7" w:tplc="10090019" w:tentative="1">
      <w:start w:val="1"/>
      <w:numFmt w:val="lowerLetter"/>
      <w:lvlText w:val="%8."/>
      <w:lvlJc w:val="left"/>
      <w:pPr>
        <w:ind w:left="6215" w:hanging="360"/>
      </w:pPr>
    </w:lvl>
    <w:lvl w:ilvl="8" w:tplc="1009001B" w:tentative="1">
      <w:start w:val="1"/>
      <w:numFmt w:val="lowerRoman"/>
      <w:lvlText w:val="%9."/>
      <w:lvlJc w:val="right"/>
      <w:pPr>
        <w:ind w:left="6935" w:hanging="180"/>
      </w:pPr>
    </w:lvl>
  </w:abstractNum>
  <w:abstractNum w:abstractNumId="26" w15:restartNumberingAfterBreak="0">
    <w:nsid w:val="5C311695"/>
    <w:multiLevelType w:val="hybridMultilevel"/>
    <w:tmpl w:val="2B08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2A3A47"/>
    <w:multiLevelType w:val="hybridMultilevel"/>
    <w:tmpl w:val="02363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22"/>
  </w:num>
  <w:num w:numId="19">
    <w:abstractNumId w:val="28"/>
  </w:num>
  <w:num w:numId="20">
    <w:abstractNumId w:val="15"/>
  </w:num>
  <w:num w:numId="21">
    <w:abstractNumId w:val="10"/>
  </w:num>
  <w:num w:numId="22">
    <w:abstractNumId w:val="10"/>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num>
  <w:num w:numId="28">
    <w:abstractNumId w:val="25"/>
  </w:num>
  <w:num w:numId="29">
    <w:abstractNumId w:val="13"/>
  </w:num>
  <w:num w:numId="30">
    <w:abstractNumId w:val="12"/>
  </w:num>
  <w:num w:numId="31">
    <w:abstractNumId w:val="24"/>
  </w:num>
  <w:num w:numId="32">
    <w:abstractNumId w:val="17"/>
  </w:num>
  <w:num w:numId="33">
    <w:abstractNumId w:val="27"/>
  </w:num>
  <w:num w:numId="34">
    <w:abstractNumId w:val="1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 w:numId="42">
    <w:abstractNumId w:val="21"/>
  </w:num>
  <w:num w:numId="43">
    <w:abstractNumId w:val="19"/>
  </w:num>
  <w:num w:numId="44">
    <w:abstractNumId w:val="10"/>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fr-BE" w:vendorID="64" w:dllVersion="6" w:nlCheck="1" w:checkStyle="0"/>
  <w:activeWritingStyle w:appName="MSWord" w:lang="es-419" w:vendorID="64" w:dllVersion="6" w:nlCheck="1" w:checkStyle="0"/>
  <w:activeWritingStyle w:appName="MSWord" w:lang="fr-FR" w:vendorID="64" w:dllVersion="6" w:nlCheck="1" w:checkStyle="0"/>
  <w:activeWritingStyle w:appName="MSWord" w:lang="es-MX" w:vendorID="64" w:dllVersion="6" w:nlCheck="1" w:checkStyle="0"/>
  <w:activeWritingStyle w:appName="MSWord" w:lang="fr-CA" w:vendorID="64" w:dllVersion="6" w:nlCheck="1" w:checkStyle="0"/>
  <w:activeWritingStyle w:appName="MSWord" w:lang="en-PH" w:vendorID="64" w:dllVersion="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PH"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806B5"/>
    <w:rsid w:val="00000B35"/>
    <w:rsid w:val="00000FED"/>
    <w:rsid w:val="00003420"/>
    <w:rsid w:val="0000434E"/>
    <w:rsid w:val="00010175"/>
    <w:rsid w:val="00011B71"/>
    <w:rsid w:val="00014D57"/>
    <w:rsid w:val="000158E9"/>
    <w:rsid w:val="00020CA8"/>
    <w:rsid w:val="000211A9"/>
    <w:rsid w:val="000222D8"/>
    <w:rsid w:val="00024F17"/>
    <w:rsid w:val="00025897"/>
    <w:rsid w:val="00031260"/>
    <w:rsid w:val="00034B9F"/>
    <w:rsid w:val="0003681A"/>
    <w:rsid w:val="000372B7"/>
    <w:rsid w:val="00037C8E"/>
    <w:rsid w:val="000424E2"/>
    <w:rsid w:val="0004568D"/>
    <w:rsid w:val="00045E25"/>
    <w:rsid w:val="00050966"/>
    <w:rsid w:val="00050F6E"/>
    <w:rsid w:val="00050FE4"/>
    <w:rsid w:val="00057085"/>
    <w:rsid w:val="00057D57"/>
    <w:rsid w:val="00061EC2"/>
    <w:rsid w:val="0007637F"/>
    <w:rsid w:val="00077A2D"/>
    <w:rsid w:val="00080ED0"/>
    <w:rsid w:val="000827D5"/>
    <w:rsid w:val="00085B8F"/>
    <w:rsid w:val="0008612C"/>
    <w:rsid w:val="00090481"/>
    <w:rsid w:val="000A23A6"/>
    <w:rsid w:val="000A3826"/>
    <w:rsid w:val="000A6C26"/>
    <w:rsid w:val="000A7674"/>
    <w:rsid w:val="000B2C63"/>
    <w:rsid w:val="000C437B"/>
    <w:rsid w:val="000D376B"/>
    <w:rsid w:val="000D52A4"/>
    <w:rsid w:val="000D7C20"/>
    <w:rsid w:val="000E07BC"/>
    <w:rsid w:val="000E2C9D"/>
    <w:rsid w:val="000E3838"/>
    <w:rsid w:val="000E673A"/>
    <w:rsid w:val="000F1CD4"/>
    <w:rsid w:val="000F1D32"/>
    <w:rsid w:val="000F4103"/>
    <w:rsid w:val="000F6195"/>
    <w:rsid w:val="000F70A7"/>
    <w:rsid w:val="001056DB"/>
    <w:rsid w:val="00113CCA"/>
    <w:rsid w:val="00114C47"/>
    <w:rsid w:val="00114EAD"/>
    <w:rsid w:val="001175A4"/>
    <w:rsid w:val="00117E48"/>
    <w:rsid w:val="00122F25"/>
    <w:rsid w:val="0012390F"/>
    <w:rsid w:val="00130A33"/>
    <w:rsid w:val="00132A0D"/>
    <w:rsid w:val="00132E9E"/>
    <w:rsid w:val="0013596C"/>
    <w:rsid w:val="00135980"/>
    <w:rsid w:val="001369F0"/>
    <w:rsid w:val="0013743F"/>
    <w:rsid w:val="00146970"/>
    <w:rsid w:val="00157C27"/>
    <w:rsid w:val="00162D87"/>
    <w:rsid w:val="00164059"/>
    <w:rsid w:val="00164719"/>
    <w:rsid w:val="0016626C"/>
    <w:rsid w:val="00166FC4"/>
    <w:rsid w:val="001677AC"/>
    <w:rsid w:val="00170123"/>
    <w:rsid w:val="00175E0F"/>
    <w:rsid w:val="00176809"/>
    <w:rsid w:val="001804EA"/>
    <w:rsid w:val="00186BEA"/>
    <w:rsid w:val="00190A61"/>
    <w:rsid w:val="00191DEE"/>
    <w:rsid w:val="001944B2"/>
    <w:rsid w:val="00196D38"/>
    <w:rsid w:val="001A3342"/>
    <w:rsid w:val="001A3E3D"/>
    <w:rsid w:val="001A5BE6"/>
    <w:rsid w:val="001A7049"/>
    <w:rsid w:val="001A7AC1"/>
    <w:rsid w:val="001B1E40"/>
    <w:rsid w:val="001B5399"/>
    <w:rsid w:val="001C764E"/>
    <w:rsid w:val="001D2B1A"/>
    <w:rsid w:val="001E1052"/>
    <w:rsid w:val="001E21B1"/>
    <w:rsid w:val="001E2F93"/>
    <w:rsid w:val="001E4554"/>
    <w:rsid w:val="001E61E5"/>
    <w:rsid w:val="001F2159"/>
    <w:rsid w:val="001F48FA"/>
    <w:rsid w:val="00200E65"/>
    <w:rsid w:val="00210169"/>
    <w:rsid w:val="00210B8B"/>
    <w:rsid w:val="0021169A"/>
    <w:rsid w:val="00212344"/>
    <w:rsid w:val="00212677"/>
    <w:rsid w:val="00214863"/>
    <w:rsid w:val="002156B4"/>
    <w:rsid w:val="00226D17"/>
    <w:rsid w:val="00233941"/>
    <w:rsid w:val="00240448"/>
    <w:rsid w:val="00253222"/>
    <w:rsid w:val="00262847"/>
    <w:rsid w:val="00267A59"/>
    <w:rsid w:val="00277AD1"/>
    <w:rsid w:val="00280ED1"/>
    <w:rsid w:val="00281BB2"/>
    <w:rsid w:val="00290CD6"/>
    <w:rsid w:val="0029290F"/>
    <w:rsid w:val="002933A2"/>
    <w:rsid w:val="00297FB1"/>
    <w:rsid w:val="002A528D"/>
    <w:rsid w:val="002B254E"/>
    <w:rsid w:val="002B70FD"/>
    <w:rsid w:val="002B72E9"/>
    <w:rsid w:val="002C1828"/>
    <w:rsid w:val="002C6C00"/>
    <w:rsid w:val="002C7546"/>
    <w:rsid w:val="002C7996"/>
    <w:rsid w:val="002C7998"/>
    <w:rsid w:val="002E312E"/>
    <w:rsid w:val="002E65B6"/>
    <w:rsid w:val="002E7086"/>
    <w:rsid w:val="002F02D2"/>
    <w:rsid w:val="002F1732"/>
    <w:rsid w:val="002F1DC4"/>
    <w:rsid w:val="002F1E53"/>
    <w:rsid w:val="002F2CAA"/>
    <w:rsid w:val="0030052C"/>
    <w:rsid w:val="00300A91"/>
    <w:rsid w:val="00310D83"/>
    <w:rsid w:val="00310DCC"/>
    <w:rsid w:val="00316A32"/>
    <w:rsid w:val="00316E45"/>
    <w:rsid w:val="003208C3"/>
    <w:rsid w:val="003306E1"/>
    <w:rsid w:val="00330A09"/>
    <w:rsid w:val="003320E4"/>
    <w:rsid w:val="0033525D"/>
    <w:rsid w:val="00336980"/>
    <w:rsid w:val="003414F3"/>
    <w:rsid w:val="00342508"/>
    <w:rsid w:val="00343C1E"/>
    <w:rsid w:val="00351E2F"/>
    <w:rsid w:val="0035613E"/>
    <w:rsid w:val="00363EE9"/>
    <w:rsid w:val="00371AC5"/>
    <w:rsid w:val="00371B16"/>
    <w:rsid w:val="00373D29"/>
    <w:rsid w:val="00376128"/>
    <w:rsid w:val="00377351"/>
    <w:rsid w:val="0037742E"/>
    <w:rsid w:val="00377750"/>
    <w:rsid w:val="00377D56"/>
    <w:rsid w:val="00381A5F"/>
    <w:rsid w:val="00381F1D"/>
    <w:rsid w:val="00381FAF"/>
    <w:rsid w:val="0038245A"/>
    <w:rsid w:val="003840E6"/>
    <w:rsid w:val="00385CFC"/>
    <w:rsid w:val="003925EE"/>
    <w:rsid w:val="0039337A"/>
    <w:rsid w:val="00395C64"/>
    <w:rsid w:val="003A3189"/>
    <w:rsid w:val="003A3CA7"/>
    <w:rsid w:val="003B32B1"/>
    <w:rsid w:val="003B33BD"/>
    <w:rsid w:val="003B569D"/>
    <w:rsid w:val="003B5FC0"/>
    <w:rsid w:val="003B7A95"/>
    <w:rsid w:val="003C3C0E"/>
    <w:rsid w:val="003C50DF"/>
    <w:rsid w:val="003D135A"/>
    <w:rsid w:val="003D42A6"/>
    <w:rsid w:val="003D4FAC"/>
    <w:rsid w:val="003E7906"/>
    <w:rsid w:val="003F3C50"/>
    <w:rsid w:val="003F4E8A"/>
    <w:rsid w:val="003F7FD8"/>
    <w:rsid w:val="00403AD6"/>
    <w:rsid w:val="00404C48"/>
    <w:rsid w:val="00406A6A"/>
    <w:rsid w:val="00406B22"/>
    <w:rsid w:val="004150BF"/>
    <w:rsid w:val="00417A69"/>
    <w:rsid w:val="00421A28"/>
    <w:rsid w:val="004328A7"/>
    <w:rsid w:val="00434C74"/>
    <w:rsid w:val="00447402"/>
    <w:rsid w:val="00447466"/>
    <w:rsid w:val="00450482"/>
    <w:rsid w:val="00456EB4"/>
    <w:rsid w:val="00463800"/>
    <w:rsid w:val="004718F3"/>
    <w:rsid w:val="00473B0E"/>
    <w:rsid w:val="00475040"/>
    <w:rsid w:val="00487B0A"/>
    <w:rsid w:val="00490D44"/>
    <w:rsid w:val="00493D40"/>
    <w:rsid w:val="004967B6"/>
    <w:rsid w:val="004A2B8B"/>
    <w:rsid w:val="004A504B"/>
    <w:rsid w:val="004A6911"/>
    <w:rsid w:val="004B54E0"/>
    <w:rsid w:val="004B7384"/>
    <w:rsid w:val="004C4007"/>
    <w:rsid w:val="004C4269"/>
    <w:rsid w:val="004C62BE"/>
    <w:rsid w:val="004D1BA6"/>
    <w:rsid w:val="004D2008"/>
    <w:rsid w:val="004D6236"/>
    <w:rsid w:val="004D7F90"/>
    <w:rsid w:val="004E4DBB"/>
    <w:rsid w:val="004E4E41"/>
    <w:rsid w:val="004E765B"/>
    <w:rsid w:val="004E777D"/>
    <w:rsid w:val="004E7F9C"/>
    <w:rsid w:val="004F1A57"/>
    <w:rsid w:val="004F2CCD"/>
    <w:rsid w:val="004F3493"/>
    <w:rsid w:val="004F5143"/>
    <w:rsid w:val="004F596E"/>
    <w:rsid w:val="0050089D"/>
    <w:rsid w:val="00504ADB"/>
    <w:rsid w:val="0051060F"/>
    <w:rsid w:val="00512B09"/>
    <w:rsid w:val="00524F5B"/>
    <w:rsid w:val="005262B5"/>
    <w:rsid w:val="00533796"/>
    <w:rsid w:val="00537343"/>
    <w:rsid w:val="00540E46"/>
    <w:rsid w:val="00550451"/>
    <w:rsid w:val="00555D75"/>
    <w:rsid w:val="00560DF0"/>
    <w:rsid w:val="00561E8F"/>
    <w:rsid w:val="0056759C"/>
    <w:rsid w:val="005740D1"/>
    <w:rsid w:val="00580201"/>
    <w:rsid w:val="00580FF3"/>
    <w:rsid w:val="0059513E"/>
    <w:rsid w:val="005974A6"/>
    <w:rsid w:val="0059763D"/>
    <w:rsid w:val="005A0741"/>
    <w:rsid w:val="005A728E"/>
    <w:rsid w:val="005B23EB"/>
    <w:rsid w:val="005B2C3E"/>
    <w:rsid w:val="005B48FF"/>
    <w:rsid w:val="005C06CA"/>
    <w:rsid w:val="005C0863"/>
    <w:rsid w:val="005C37CE"/>
    <w:rsid w:val="005C6FE8"/>
    <w:rsid w:val="005D0062"/>
    <w:rsid w:val="005D363F"/>
    <w:rsid w:val="005D3C0B"/>
    <w:rsid w:val="005E2E94"/>
    <w:rsid w:val="005E4114"/>
    <w:rsid w:val="005E54FF"/>
    <w:rsid w:val="005F0F31"/>
    <w:rsid w:val="005F26FD"/>
    <w:rsid w:val="005F7555"/>
    <w:rsid w:val="006017DC"/>
    <w:rsid w:val="00604C15"/>
    <w:rsid w:val="00606A1E"/>
    <w:rsid w:val="00611A58"/>
    <w:rsid w:val="00611EF2"/>
    <w:rsid w:val="00612A45"/>
    <w:rsid w:val="006158D5"/>
    <w:rsid w:val="00621D13"/>
    <w:rsid w:val="00622416"/>
    <w:rsid w:val="0062380F"/>
    <w:rsid w:val="00625D83"/>
    <w:rsid w:val="00637D2D"/>
    <w:rsid w:val="006538A6"/>
    <w:rsid w:val="00657818"/>
    <w:rsid w:val="00661245"/>
    <w:rsid w:val="006623E7"/>
    <w:rsid w:val="00662B80"/>
    <w:rsid w:val="00667E1B"/>
    <w:rsid w:val="00670F6C"/>
    <w:rsid w:val="00671653"/>
    <w:rsid w:val="006852C7"/>
    <w:rsid w:val="006852CE"/>
    <w:rsid w:val="006875AD"/>
    <w:rsid w:val="006B6424"/>
    <w:rsid w:val="006C1727"/>
    <w:rsid w:val="006C32FD"/>
    <w:rsid w:val="006C39CE"/>
    <w:rsid w:val="006C5006"/>
    <w:rsid w:val="006C7AE9"/>
    <w:rsid w:val="006D0FCC"/>
    <w:rsid w:val="006D130D"/>
    <w:rsid w:val="006D21F5"/>
    <w:rsid w:val="006D5A7C"/>
    <w:rsid w:val="006D6C13"/>
    <w:rsid w:val="006E1E6E"/>
    <w:rsid w:val="006E1FC3"/>
    <w:rsid w:val="006E3691"/>
    <w:rsid w:val="00701D65"/>
    <w:rsid w:val="0070616B"/>
    <w:rsid w:val="00706295"/>
    <w:rsid w:val="0070646B"/>
    <w:rsid w:val="00706ED8"/>
    <w:rsid w:val="00706F23"/>
    <w:rsid w:val="00706FDA"/>
    <w:rsid w:val="00711F9A"/>
    <w:rsid w:val="00713810"/>
    <w:rsid w:val="00717FCD"/>
    <w:rsid w:val="00725768"/>
    <w:rsid w:val="00726B55"/>
    <w:rsid w:val="007276A4"/>
    <w:rsid w:val="007303A5"/>
    <w:rsid w:val="00730B3E"/>
    <w:rsid w:val="00732DE5"/>
    <w:rsid w:val="0073420B"/>
    <w:rsid w:val="0074019C"/>
    <w:rsid w:val="00745244"/>
    <w:rsid w:val="0074676A"/>
    <w:rsid w:val="00746E59"/>
    <w:rsid w:val="0074752C"/>
    <w:rsid w:val="0074760E"/>
    <w:rsid w:val="007537AB"/>
    <w:rsid w:val="00754ABA"/>
    <w:rsid w:val="00756D59"/>
    <w:rsid w:val="007602E0"/>
    <w:rsid w:val="00761B65"/>
    <w:rsid w:val="0076567B"/>
    <w:rsid w:val="00766763"/>
    <w:rsid w:val="00772765"/>
    <w:rsid w:val="00773F89"/>
    <w:rsid w:val="007744BF"/>
    <w:rsid w:val="00774B89"/>
    <w:rsid w:val="007806B5"/>
    <w:rsid w:val="007A0116"/>
    <w:rsid w:val="007A0D52"/>
    <w:rsid w:val="007A1546"/>
    <w:rsid w:val="007A198E"/>
    <w:rsid w:val="007A228C"/>
    <w:rsid w:val="007A2640"/>
    <w:rsid w:val="007A368E"/>
    <w:rsid w:val="007A5868"/>
    <w:rsid w:val="007B04CE"/>
    <w:rsid w:val="007B07B6"/>
    <w:rsid w:val="007B1777"/>
    <w:rsid w:val="007B6871"/>
    <w:rsid w:val="007B7A2F"/>
    <w:rsid w:val="007C20AE"/>
    <w:rsid w:val="007C3D33"/>
    <w:rsid w:val="007C4B7A"/>
    <w:rsid w:val="007C71A9"/>
    <w:rsid w:val="007D294A"/>
    <w:rsid w:val="007D3501"/>
    <w:rsid w:val="007D47D2"/>
    <w:rsid w:val="007D6EC0"/>
    <w:rsid w:val="007D72B5"/>
    <w:rsid w:val="007D7E1D"/>
    <w:rsid w:val="007E23A8"/>
    <w:rsid w:val="007F4E69"/>
    <w:rsid w:val="00801504"/>
    <w:rsid w:val="00801E69"/>
    <w:rsid w:val="00802C1D"/>
    <w:rsid w:val="00803110"/>
    <w:rsid w:val="00804D73"/>
    <w:rsid w:val="00805B80"/>
    <w:rsid w:val="00817C95"/>
    <w:rsid w:val="00831979"/>
    <w:rsid w:val="00832A68"/>
    <w:rsid w:val="00833636"/>
    <w:rsid w:val="00836F8E"/>
    <w:rsid w:val="00845D1D"/>
    <w:rsid w:val="00851352"/>
    <w:rsid w:val="00857077"/>
    <w:rsid w:val="008612C6"/>
    <w:rsid w:val="00863230"/>
    <w:rsid w:val="008717D8"/>
    <w:rsid w:val="0087215C"/>
    <w:rsid w:val="0087278E"/>
    <w:rsid w:val="00875D25"/>
    <w:rsid w:val="0087613F"/>
    <w:rsid w:val="008769EC"/>
    <w:rsid w:val="00877781"/>
    <w:rsid w:val="00880E35"/>
    <w:rsid w:val="00882233"/>
    <w:rsid w:val="008875FE"/>
    <w:rsid w:val="00887F8E"/>
    <w:rsid w:val="00891AF0"/>
    <w:rsid w:val="008945DF"/>
    <w:rsid w:val="00896234"/>
    <w:rsid w:val="00897E43"/>
    <w:rsid w:val="008A0221"/>
    <w:rsid w:val="008B4F68"/>
    <w:rsid w:val="008B72B5"/>
    <w:rsid w:val="008C0142"/>
    <w:rsid w:val="008C5479"/>
    <w:rsid w:val="008C5738"/>
    <w:rsid w:val="008C6183"/>
    <w:rsid w:val="008C7EAD"/>
    <w:rsid w:val="008D0CFE"/>
    <w:rsid w:val="008D1462"/>
    <w:rsid w:val="008D6152"/>
    <w:rsid w:val="008D6EBE"/>
    <w:rsid w:val="008E1A59"/>
    <w:rsid w:val="008F0F81"/>
    <w:rsid w:val="008F27BF"/>
    <w:rsid w:val="008F5CFA"/>
    <w:rsid w:val="009142EC"/>
    <w:rsid w:val="009154C3"/>
    <w:rsid w:val="00922891"/>
    <w:rsid w:val="00923540"/>
    <w:rsid w:val="00925C00"/>
    <w:rsid w:val="00926767"/>
    <w:rsid w:val="00926A21"/>
    <w:rsid w:val="009361D5"/>
    <w:rsid w:val="009400C7"/>
    <w:rsid w:val="009428A4"/>
    <w:rsid w:val="009502B3"/>
    <w:rsid w:val="00954FFE"/>
    <w:rsid w:val="0096477F"/>
    <w:rsid w:val="009659F4"/>
    <w:rsid w:val="00970D60"/>
    <w:rsid w:val="009710C1"/>
    <w:rsid w:val="00972CF2"/>
    <w:rsid w:val="00977F69"/>
    <w:rsid w:val="00980087"/>
    <w:rsid w:val="009826EC"/>
    <w:rsid w:val="0098585E"/>
    <w:rsid w:val="00986594"/>
    <w:rsid w:val="00987EBD"/>
    <w:rsid w:val="0099390E"/>
    <w:rsid w:val="00995375"/>
    <w:rsid w:val="009960E5"/>
    <w:rsid w:val="009A5088"/>
    <w:rsid w:val="009A52B7"/>
    <w:rsid w:val="009A6BA6"/>
    <w:rsid w:val="009A7ADC"/>
    <w:rsid w:val="009B04F1"/>
    <w:rsid w:val="009C19B7"/>
    <w:rsid w:val="009C1F22"/>
    <w:rsid w:val="009C5ABB"/>
    <w:rsid w:val="009C7B62"/>
    <w:rsid w:val="009D7C51"/>
    <w:rsid w:val="009E196C"/>
    <w:rsid w:val="009E34E8"/>
    <w:rsid w:val="009E4A04"/>
    <w:rsid w:val="009F36BF"/>
    <w:rsid w:val="009F6083"/>
    <w:rsid w:val="00A0520B"/>
    <w:rsid w:val="00A111B6"/>
    <w:rsid w:val="00A17F1D"/>
    <w:rsid w:val="00A2334C"/>
    <w:rsid w:val="00A24506"/>
    <w:rsid w:val="00A26D27"/>
    <w:rsid w:val="00A376EE"/>
    <w:rsid w:val="00A411F2"/>
    <w:rsid w:val="00A4207A"/>
    <w:rsid w:val="00A42A99"/>
    <w:rsid w:val="00A43059"/>
    <w:rsid w:val="00A50E5D"/>
    <w:rsid w:val="00A5151A"/>
    <w:rsid w:val="00A52F5A"/>
    <w:rsid w:val="00A57E0A"/>
    <w:rsid w:val="00A64971"/>
    <w:rsid w:val="00A72104"/>
    <w:rsid w:val="00A823F6"/>
    <w:rsid w:val="00A832BA"/>
    <w:rsid w:val="00A85BCA"/>
    <w:rsid w:val="00A8719E"/>
    <w:rsid w:val="00A875B6"/>
    <w:rsid w:val="00A93AD9"/>
    <w:rsid w:val="00A971B6"/>
    <w:rsid w:val="00A97D70"/>
    <w:rsid w:val="00AA0A89"/>
    <w:rsid w:val="00AA40E0"/>
    <w:rsid w:val="00AA6429"/>
    <w:rsid w:val="00AB15F7"/>
    <w:rsid w:val="00AB2EC7"/>
    <w:rsid w:val="00AC01AA"/>
    <w:rsid w:val="00AC4F72"/>
    <w:rsid w:val="00AD04A4"/>
    <w:rsid w:val="00AD1734"/>
    <w:rsid w:val="00AD2279"/>
    <w:rsid w:val="00AD2D14"/>
    <w:rsid w:val="00AD4C1C"/>
    <w:rsid w:val="00AD7294"/>
    <w:rsid w:val="00AE1B44"/>
    <w:rsid w:val="00AF3DB2"/>
    <w:rsid w:val="00AF5A76"/>
    <w:rsid w:val="00AF741A"/>
    <w:rsid w:val="00B01ADB"/>
    <w:rsid w:val="00B04161"/>
    <w:rsid w:val="00B056F9"/>
    <w:rsid w:val="00B06ADA"/>
    <w:rsid w:val="00B11E3D"/>
    <w:rsid w:val="00B17E82"/>
    <w:rsid w:val="00B17F04"/>
    <w:rsid w:val="00B3071E"/>
    <w:rsid w:val="00B415BF"/>
    <w:rsid w:val="00B42900"/>
    <w:rsid w:val="00B4575A"/>
    <w:rsid w:val="00B53651"/>
    <w:rsid w:val="00B575BA"/>
    <w:rsid w:val="00B62374"/>
    <w:rsid w:val="00B7094D"/>
    <w:rsid w:val="00B71608"/>
    <w:rsid w:val="00B7184A"/>
    <w:rsid w:val="00B71869"/>
    <w:rsid w:val="00B72113"/>
    <w:rsid w:val="00B747D4"/>
    <w:rsid w:val="00B76429"/>
    <w:rsid w:val="00B77664"/>
    <w:rsid w:val="00B80A17"/>
    <w:rsid w:val="00B956D4"/>
    <w:rsid w:val="00B96500"/>
    <w:rsid w:val="00B97446"/>
    <w:rsid w:val="00BA6E81"/>
    <w:rsid w:val="00BA7432"/>
    <w:rsid w:val="00BB0C8D"/>
    <w:rsid w:val="00BB35A5"/>
    <w:rsid w:val="00BB535F"/>
    <w:rsid w:val="00BC1AA0"/>
    <w:rsid w:val="00BC2495"/>
    <w:rsid w:val="00BC3E53"/>
    <w:rsid w:val="00BC7EB9"/>
    <w:rsid w:val="00BD1547"/>
    <w:rsid w:val="00BD25A0"/>
    <w:rsid w:val="00BD2643"/>
    <w:rsid w:val="00BD49DE"/>
    <w:rsid w:val="00BD56B1"/>
    <w:rsid w:val="00BD6558"/>
    <w:rsid w:val="00BE7436"/>
    <w:rsid w:val="00BF26DF"/>
    <w:rsid w:val="00BF2F76"/>
    <w:rsid w:val="00BF3022"/>
    <w:rsid w:val="00BF3214"/>
    <w:rsid w:val="00BF5573"/>
    <w:rsid w:val="00C15867"/>
    <w:rsid w:val="00C17492"/>
    <w:rsid w:val="00C20D05"/>
    <w:rsid w:val="00C2296D"/>
    <w:rsid w:val="00C23155"/>
    <w:rsid w:val="00C26F0A"/>
    <w:rsid w:val="00C32DB3"/>
    <w:rsid w:val="00C40C41"/>
    <w:rsid w:val="00C418EB"/>
    <w:rsid w:val="00C419BB"/>
    <w:rsid w:val="00C41A5E"/>
    <w:rsid w:val="00C45885"/>
    <w:rsid w:val="00C46C63"/>
    <w:rsid w:val="00C46CC5"/>
    <w:rsid w:val="00C50F22"/>
    <w:rsid w:val="00C55B20"/>
    <w:rsid w:val="00C57971"/>
    <w:rsid w:val="00C610A8"/>
    <w:rsid w:val="00C61349"/>
    <w:rsid w:val="00C62BC2"/>
    <w:rsid w:val="00C65BD7"/>
    <w:rsid w:val="00C7520F"/>
    <w:rsid w:val="00C76BA4"/>
    <w:rsid w:val="00C8056B"/>
    <w:rsid w:val="00C83A48"/>
    <w:rsid w:val="00C83D9C"/>
    <w:rsid w:val="00C85865"/>
    <w:rsid w:val="00C85E85"/>
    <w:rsid w:val="00CA2EAE"/>
    <w:rsid w:val="00CA4AC1"/>
    <w:rsid w:val="00CA4E20"/>
    <w:rsid w:val="00CA6C69"/>
    <w:rsid w:val="00CB0316"/>
    <w:rsid w:val="00CB0ABC"/>
    <w:rsid w:val="00CB0B11"/>
    <w:rsid w:val="00CB1E45"/>
    <w:rsid w:val="00CB28A1"/>
    <w:rsid w:val="00CB426A"/>
    <w:rsid w:val="00CB5354"/>
    <w:rsid w:val="00CC2205"/>
    <w:rsid w:val="00CC3C9E"/>
    <w:rsid w:val="00CC6A14"/>
    <w:rsid w:val="00CC70A3"/>
    <w:rsid w:val="00CD21DB"/>
    <w:rsid w:val="00CD305F"/>
    <w:rsid w:val="00CD4442"/>
    <w:rsid w:val="00CD53C3"/>
    <w:rsid w:val="00CD574E"/>
    <w:rsid w:val="00CD5EC9"/>
    <w:rsid w:val="00CD6A87"/>
    <w:rsid w:val="00CE0C77"/>
    <w:rsid w:val="00CE3AD4"/>
    <w:rsid w:val="00CE4C22"/>
    <w:rsid w:val="00CE74DC"/>
    <w:rsid w:val="00CF2D3B"/>
    <w:rsid w:val="00CF3E0B"/>
    <w:rsid w:val="00CF41EC"/>
    <w:rsid w:val="00CF4CC9"/>
    <w:rsid w:val="00CF550D"/>
    <w:rsid w:val="00CF56C8"/>
    <w:rsid w:val="00CF5D04"/>
    <w:rsid w:val="00D04DE4"/>
    <w:rsid w:val="00D06120"/>
    <w:rsid w:val="00D063F1"/>
    <w:rsid w:val="00D14925"/>
    <w:rsid w:val="00D14F22"/>
    <w:rsid w:val="00D22A18"/>
    <w:rsid w:val="00D308D3"/>
    <w:rsid w:val="00D30FE1"/>
    <w:rsid w:val="00D320CC"/>
    <w:rsid w:val="00D3288D"/>
    <w:rsid w:val="00D36611"/>
    <w:rsid w:val="00D4107A"/>
    <w:rsid w:val="00D4741C"/>
    <w:rsid w:val="00D57918"/>
    <w:rsid w:val="00D657D1"/>
    <w:rsid w:val="00D73DC6"/>
    <w:rsid w:val="00D74C1A"/>
    <w:rsid w:val="00D754C1"/>
    <w:rsid w:val="00D77393"/>
    <w:rsid w:val="00D77A35"/>
    <w:rsid w:val="00D81B3E"/>
    <w:rsid w:val="00D845EE"/>
    <w:rsid w:val="00D90C70"/>
    <w:rsid w:val="00D90E49"/>
    <w:rsid w:val="00D914B3"/>
    <w:rsid w:val="00D93748"/>
    <w:rsid w:val="00D96ADE"/>
    <w:rsid w:val="00D96ED6"/>
    <w:rsid w:val="00DA05FF"/>
    <w:rsid w:val="00DA0CE2"/>
    <w:rsid w:val="00DA63ED"/>
    <w:rsid w:val="00DC2D4E"/>
    <w:rsid w:val="00DC3A17"/>
    <w:rsid w:val="00DC64C2"/>
    <w:rsid w:val="00DC6A10"/>
    <w:rsid w:val="00DC6D11"/>
    <w:rsid w:val="00DE070E"/>
    <w:rsid w:val="00DE657E"/>
    <w:rsid w:val="00DF4704"/>
    <w:rsid w:val="00E0025F"/>
    <w:rsid w:val="00E024AA"/>
    <w:rsid w:val="00E17B7C"/>
    <w:rsid w:val="00E2299C"/>
    <w:rsid w:val="00E250F1"/>
    <w:rsid w:val="00E3345B"/>
    <w:rsid w:val="00E3550D"/>
    <w:rsid w:val="00E50F23"/>
    <w:rsid w:val="00E52838"/>
    <w:rsid w:val="00E53271"/>
    <w:rsid w:val="00E55458"/>
    <w:rsid w:val="00E613A8"/>
    <w:rsid w:val="00E614E0"/>
    <w:rsid w:val="00E713C5"/>
    <w:rsid w:val="00E73F7F"/>
    <w:rsid w:val="00E77645"/>
    <w:rsid w:val="00E81A30"/>
    <w:rsid w:val="00E85409"/>
    <w:rsid w:val="00E86BE3"/>
    <w:rsid w:val="00E908BB"/>
    <w:rsid w:val="00E92CFE"/>
    <w:rsid w:val="00E92DB4"/>
    <w:rsid w:val="00E9378A"/>
    <w:rsid w:val="00E956FC"/>
    <w:rsid w:val="00EA429F"/>
    <w:rsid w:val="00EA4F9E"/>
    <w:rsid w:val="00EA5FC9"/>
    <w:rsid w:val="00EA63CA"/>
    <w:rsid w:val="00EA69A6"/>
    <w:rsid w:val="00EA6D3B"/>
    <w:rsid w:val="00EB00AD"/>
    <w:rsid w:val="00EB136C"/>
    <w:rsid w:val="00EB163C"/>
    <w:rsid w:val="00EB480E"/>
    <w:rsid w:val="00EB5EC6"/>
    <w:rsid w:val="00EB7FC9"/>
    <w:rsid w:val="00EC1CB1"/>
    <w:rsid w:val="00ED126B"/>
    <w:rsid w:val="00ED27E8"/>
    <w:rsid w:val="00ED5999"/>
    <w:rsid w:val="00ED5C34"/>
    <w:rsid w:val="00ED7137"/>
    <w:rsid w:val="00EE12EA"/>
    <w:rsid w:val="00EE4877"/>
    <w:rsid w:val="00EF06EA"/>
    <w:rsid w:val="00EF6569"/>
    <w:rsid w:val="00EF7561"/>
    <w:rsid w:val="00EF7609"/>
    <w:rsid w:val="00F01C7C"/>
    <w:rsid w:val="00F020D7"/>
    <w:rsid w:val="00F06540"/>
    <w:rsid w:val="00F11B2B"/>
    <w:rsid w:val="00F126AB"/>
    <w:rsid w:val="00F1298E"/>
    <w:rsid w:val="00F16F20"/>
    <w:rsid w:val="00F17895"/>
    <w:rsid w:val="00F17DAA"/>
    <w:rsid w:val="00F17DFA"/>
    <w:rsid w:val="00F21088"/>
    <w:rsid w:val="00F327E7"/>
    <w:rsid w:val="00F35746"/>
    <w:rsid w:val="00F3758F"/>
    <w:rsid w:val="00F42532"/>
    <w:rsid w:val="00F447C7"/>
    <w:rsid w:val="00F51F14"/>
    <w:rsid w:val="00F5211B"/>
    <w:rsid w:val="00F54D1F"/>
    <w:rsid w:val="00F55174"/>
    <w:rsid w:val="00F554A9"/>
    <w:rsid w:val="00F63AF8"/>
    <w:rsid w:val="00F656FE"/>
    <w:rsid w:val="00F66EEB"/>
    <w:rsid w:val="00F674C3"/>
    <w:rsid w:val="00F7061C"/>
    <w:rsid w:val="00F716FD"/>
    <w:rsid w:val="00F71FF8"/>
    <w:rsid w:val="00F7433C"/>
    <w:rsid w:val="00F7559B"/>
    <w:rsid w:val="00F76131"/>
    <w:rsid w:val="00F80355"/>
    <w:rsid w:val="00F87C43"/>
    <w:rsid w:val="00F87DE5"/>
    <w:rsid w:val="00F902F9"/>
    <w:rsid w:val="00F9032E"/>
    <w:rsid w:val="00F91B72"/>
    <w:rsid w:val="00F92AC5"/>
    <w:rsid w:val="00F957D5"/>
    <w:rsid w:val="00F95B0C"/>
    <w:rsid w:val="00F964C1"/>
    <w:rsid w:val="00FA7927"/>
    <w:rsid w:val="00FB0484"/>
    <w:rsid w:val="00FB0C81"/>
    <w:rsid w:val="00FB1BB6"/>
    <w:rsid w:val="00FC2200"/>
    <w:rsid w:val="00FC2540"/>
    <w:rsid w:val="00FC28A1"/>
    <w:rsid w:val="00FD216C"/>
    <w:rsid w:val="00FD48F3"/>
    <w:rsid w:val="00FE0359"/>
    <w:rsid w:val="00FF0204"/>
    <w:rsid w:val="00FF033E"/>
    <w:rsid w:val="00FF2370"/>
    <w:rsid w:val="00FF3AED"/>
    <w:rsid w:val="00FF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DED9D"/>
  <w15:docId w15:val="{7526CD22-C8B6-4192-BC24-2A0E14BA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F8"/>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locked/>
    <w:rsid w:val="009A6BA6"/>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C32DB3"/>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C32DB3"/>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C32DB3"/>
    <w:rPr>
      <w:vertAlign w:val="superscript"/>
    </w:rPr>
  </w:style>
  <w:style w:type="paragraph" w:customStyle="1" w:styleId="a--">
    <w:name w:val="a-(-)"/>
    <w:basedOn w:val="Normal"/>
    <w:rsid w:val="008C0142"/>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locked/>
    <w:rsid w:val="00F964C1"/>
    <w:rPr>
      <w:sz w:val="22"/>
      <w:szCs w:val="22"/>
      <w:lang w:val="en-GB"/>
    </w:rPr>
  </w:style>
  <w:style w:type="table" w:customStyle="1" w:styleId="TableGrid10">
    <w:name w:val="Table Grid1"/>
    <w:basedOn w:val="TableNormal"/>
    <w:next w:val="TableGrid"/>
    <w:rsid w:val="00371AC5"/>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2CFE"/>
    <w:rPr>
      <w:sz w:val="22"/>
      <w:szCs w:val="22"/>
      <w:lang w:val="en-GB"/>
    </w:rPr>
  </w:style>
  <w:style w:type="character" w:customStyle="1" w:styleId="HeaderChar">
    <w:name w:val="Header Char"/>
    <w:link w:val="Header"/>
    <w:rsid w:val="00606A1E"/>
    <w:rPr>
      <w:sz w:val="22"/>
      <w:szCs w:val="22"/>
      <w:lang w:val="en-GB"/>
    </w:rPr>
  </w:style>
  <w:style w:type="numbering" w:customStyle="1" w:styleId="NoList1">
    <w:name w:val="No List1"/>
    <w:next w:val="NoList"/>
    <w:uiPriority w:val="99"/>
    <w:semiHidden/>
    <w:unhideWhenUsed/>
    <w:rsid w:val="005E2E94"/>
  </w:style>
  <w:style w:type="character" w:styleId="Hyperlink">
    <w:name w:val="Hyperlink"/>
    <w:basedOn w:val="DefaultParagraphFont"/>
    <w:uiPriority w:val="99"/>
    <w:semiHidden/>
    <w:unhideWhenUsed/>
    <w:rsid w:val="005E2E94"/>
    <w:rPr>
      <w:color w:val="0563C1"/>
      <w:u w:val="single"/>
    </w:rPr>
  </w:style>
  <w:style w:type="character" w:styleId="FollowedHyperlink">
    <w:name w:val="FollowedHyperlink"/>
    <w:basedOn w:val="DefaultParagraphFont"/>
    <w:uiPriority w:val="99"/>
    <w:semiHidden/>
    <w:unhideWhenUsed/>
    <w:rsid w:val="005E2E94"/>
    <w:rPr>
      <w:color w:val="954F72"/>
      <w:u w:val="single"/>
    </w:rPr>
  </w:style>
  <w:style w:type="paragraph" w:customStyle="1" w:styleId="msonormal0">
    <w:name w:val="msonormal"/>
    <w:basedOn w:val="Normal"/>
    <w:rsid w:val="005E2E94"/>
    <w:pPr>
      <w:spacing w:before="100" w:beforeAutospacing="1" w:after="100" w:afterAutospacing="1"/>
      <w:jc w:val="left"/>
    </w:pPr>
    <w:rPr>
      <w:sz w:val="24"/>
      <w:szCs w:val="24"/>
      <w:lang w:val="en-CA" w:eastAsia="en-CA"/>
    </w:rPr>
  </w:style>
  <w:style w:type="paragraph" w:customStyle="1" w:styleId="xl63">
    <w:name w:val="xl63"/>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4">
    <w:name w:val="xl64"/>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65">
    <w:name w:val="xl65"/>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6">
    <w:name w:val="xl66"/>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7">
    <w:name w:val="xl67"/>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CA" w:eastAsia="en-CA"/>
    </w:rPr>
  </w:style>
  <w:style w:type="paragraph" w:customStyle="1" w:styleId="xl68">
    <w:name w:val="xl68"/>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lang w:val="en-CA" w:eastAsia="en-CA"/>
    </w:rPr>
  </w:style>
  <w:style w:type="paragraph" w:customStyle="1" w:styleId="xl69">
    <w:name w:val="xl69"/>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CA" w:eastAsia="en-CA"/>
    </w:rPr>
  </w:style>
  <w:style w:type="paragraph" w:customStyle="1" w:styleId="xl70">
    <w:name w:val="xl70"/>
    <w:basedOn w:val="Normal"/>
    <w:rsid w:val="005E2E94"/>
    <w:pPr>
      <w:spacing w:before="100" w:beforeAutospacing="1" w:after="100" w:afterAutospacing="1"/>
      <w:jc w:val="left"/>
    </w:pPr>
    <w:rPr>
      <w:b/>
      <w:bCs/>
      <w:sz w:val="18"/>
      <w:szCs w:val="18"/>
      <w:lang w:val="en-CA" w:eastAsia="en-CA"/>
    </w:rPr>
  </w:style>
  <w:style w:type="paragraph" w:customStyle="1" w:styleId="xl71">
    <w:name w:val="xl71"/>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lang w:val="en-CA" w:eastAsia="en-CA"/>
    </w:rPr>
  </w:style>
  <w:style w:type="paragraph" w:customStyle="1" w:styleId="xl72">
    <w:name w:val="xl72"/>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val="en-CA" w:eastAsia="en-CA"/>
    </w:rPr>
  </w:style>
  <w:style w:type="paragraph" w:customStyle="1" w:styleId="xl73">
    <w:name w:val="xl73"/>
    <w:basedOn w:val="Normal"/>
    <w:rsid w:val="005E2E94"/>
    <w:pPr>
      <w:spacing w:before="100" w:beforeAutospacing="1" w:after="100" w:afterAutospacing="1"/>
      <w:jc w:val="left"/>
    </w:pPr>
    <w:rPr>
      <w:b/>
      <w:bCs/>
      <w:sz w:val="18"/>
      <w:szCs w:val="18"/>
      <w:lang w:val="en-CA" w:eastAsia="en-CA"/>
    </w:rPr>
  </w:style>
  <w:style w:type="paragraph" w:customStyle="1" w:styleId="xl74">
    <w:name w:val="xl74"/>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5">
    <w:name w:val="xl75"/>
    <w:basedOn w:val="Normal"/>
    <w:rsid w:val="005E2E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FF0000"/>
      <w:sz w:val="18"/>
      <w:szCs w:val="18"/>
      <w:lang w:val="en-CA" w:eastAsia="en-CA"/>
    </w:rPr>
  </w:style>
  <w:style w:type="paragraph" w:customStyle="1" w:styleId="xl76">
    <w:name w:val="xl76"/>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7">
    <w:name w:val="xl77"/>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8">
    <w:name w:val="xl78"/>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9">
    <w:name w:val="xl79"/>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18"/>
      <w:szCs w:val="18"/>
      <w:lang w:val="en-CA" w:eastAsia="en-CA"/>
    </w:rPr>
  </w:style>
  <w:style w:type="paragraph" w:styleId="Revision">
    <w:name w:val="Revision"/>
    <w:hidden/>
    <w:uiPriority w:val="99"/>
    <w:semiHidden/>
    <w:rsid w:val="005E2E94"/>
    <w:rPr>
      <w:sz w:val="22"/>
      <w:szCs w:val="22"/>
      <w:lang w:val="en-GB"/>
    </w:rPr>
  </w:style>
  <w:style w:type="paragraph" w:styleId="ListParagraph">
    <w:name w:val="List Paragraph"/>
    <w:basedOn w:val="Normal"/>
    <w:uiPriority w:val="34"/>
    <w:qFormat/>
    <w:rsid w:val="00B415BF"/>
    <w:pPr>
      <w:ind w:left="720"/>
      <w:contextualSpacing/>
    </w:pPr>
  </w:style>
  <w:style w:type="character" w:customStyle="1" w:styleId="fontstyle01">
    <w:name w:val="fontstyle01"/>
    <w:basedOn w:val="DefaultParagraphFont"/>
    <w:rsid w:val="00B415BF"/>
    <w:rPr>
      <w:rFonts w:ascii="MetaPlusBook-Roman-Identity-H" w:hAnsi="MetaPlusBook-Roman-Identity-H" w:hint="default"/>
      <w:b w:val="0"/>
      <w:bCs w:val="0"/>
      <w:i w:val="0"/>
      <w:iCs w:val="0"/>
      <w:color w:val="231F20"/>
      <w:sz w:val="20"/>
      <w:szCs w:val="20"/>
    </w:rPr>
  </w:style>
  <w:style w:type="table" w:customStyle="1" w:styleId="TableGrid20">
    <w:name w:val="Table Grid2"/>
    <w:basedOn w:val="TableNormal"/>
    <w:next w:val="TableGrid"/>
    <w:rsid w:val="00980087"/>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7DAA"/>
    <w:rPr>
      <w:i/>
      <w:iCs/>
    </w:rPr>
  </w:style>
  <w:style w:type="character" w:customStyle="1" w:styleId="Heading4Char">
    <w:name w:val="Heading 4 Char"/>
    <w:aliases w:val="Heading 11 Char,para 4 Char,Título 41 Char,Heading 41 Char,heading 4 Char,标题 41 Char"/>
    <w:basedOn w:val="DefaultParagraphFont"/>
    <w:link w:val="Heading4"/>
    <w:rsid w:val="000E2C9D"/>
    <w:rPr>
      <w:sz w:val="22"/>
      <w:szCs w:val="22"/>
      <w:lang w:val="en-GB"/>
    </w:rPr>
  </w:style>
  <w:style w:type="character" w:customStyle="1" w:styleId="Heading5Char">
    <w:name w:val="Heading 5 Char"/>
    <w:basedOn w:val="DefaultParagraphFont"/>
    <w:link w:val="Heading5"/>
    <w:rsid w:val="000E2C9D"/>
    <w:rPr>
      <w:sz w:val="22"/>
      <w:szCs w:val="22"/>
      <w:lang w:val="en-GB"/>
    </w:rPr>
  </w:style>
  <w:style w:type="character" w:customStyle="1" w:styleId="Heading6Char">
    <w:name w:val="Heading 6 Char"/>
    <w:basedOn w:val="DefaultParagraphFont"/>
    <w:link w:val="Heading6"/>
    <w:rsid w:val="000E2C9D"/>
    <w:rPr>
      <w:rFonts w:ascii="Arial" w:hAnsi="Arial"/>
      <w:i/>
      <w:sz w:val="22"/>
      <w:szCs w:val="22"/>
      <w:lang w:val="en-GB"/>
    </w:rPr>
  </w:style>
  <w:style w:type="character" w:customStyle="1" w:styleId="Heading7Char">
    <w:name w:val="Heading 7 Char"/>
    <w:basedOn w:val="DefaultParagraphFont"/>
    <w:link w:val="Heading7"/>
    <w:rsid w:val="000E2C9D"/>
    <w:rPr>
      <w:rFonts w:ascii="Arial" w:hAnsi="Arial"/>
      <w:sz w:val="22"/>
      <w:szCs w:val="22"/>
      <w:lang w:val="en-GB"/>
    </w:rPr>
  </w:style>
  <w:style w:type="character" w:customStyle="1" w:styleId="Heading8Char">
    <w:name w:val="Heading 8 Char"/>
    <w:basedOn w:val="DefaultParagraphFont"/>
    <w:link w:val="Heading8"/>
    <w:rsid w:val="000E2C9D"/>
    <w:rPr>
      <w:b/>
      <w:sz w:val="22"/>
      <w:szCs w:val="22"/>
      <w:lang w:val="en-GB"/>
    </w:rPr>
  </w:style>
  <w:style w:type="character" w:customStyle="1" w:styleId="Heading9Char">
    <w:name w:val="Heading 9 Char"/>
    <w:basedOn w:val="DefaultParagraphFont"/>
    <w:link w:val="Heading9"/>
    <w:rsid w:val="000E2C9D"/>
    <w:rPr>
      <w:rFonts w:ascii="Arial" w:hAnsi="Arial"/>
      <w:i/>
      <w:sz w:val="18"/>
      <w:szCs w:val="22"/>
      <w:lang w:val="en-GB"/>
    </w:rPr>
  </w:style>
  <w:style w:type="character" w:customStyle="1" w:styleId="BodyText3Char">
    <w:name w:val="Body Text 3 Char"/>
    <w:basedOn w:val="DefaultParagraphFont"/>
    <w:link w:val="BodyText3"/>
    <w:semiHidden/>
    <w:rsid w:val="000E2C9D"/>
    <w:rPr>
      <w:sz w:val="16"/>
      <w:szCs w:val="16"/>
      <w:lang w:val="en-GB"/>
    </w:rPr>
  </w:style>
  <w:style w:type="character" w:customStyle="1" w:styleId="BodyTextIndent3Char">
    <w:name w:val="Body Text Indent 3 Char"/>
    <w:basedOn w:val="DefaultParagraphFont"/>
    <w:link w:val="BodyTextIndent3"/>
    <w:semiHidden/>
    <w:rsid w:val="000E2C9D"/>
    <w:rPr>
      <w:sz w:val="16"/>
      <w:szCs w:val="16"/>
      <w:lang w:val="en-GB"/>
    </w:rPr>
  </w:style>
  <w:style w:type="character" w:customStyle="1" w:styleId="PlainTextChar">
    <w:name w:val="Plain Text Char"/>
    <w:basedOn w:val="DefaultParagraphFont"/>
    <w:link w:val="PlainText"/>
    <w:semiHidden/>
    <w:rsid w:val="000E2C9D"/>
    <w:rPr>
      <w:rFonts w:ascii="Courier New" w:hAnsi="Courier New" w:cs="Courier New"/>
      <w:szCs w:val="22"/>
      <w:lang w:val="en-GB"/>
    </w:rPr>
  </w:style>
  <w:style w:type="character" w:customStyle="1" w:styleId="SubtitleChar">
    <w:name w:val="Subtitle Char"/>
    <w:basedOn w:val="DefaultParagraphFont"/>
    <w:link w:val="Subtitle"/>
    <w:rsid w:val="000E2C9D"/>
    <w:rPr>
      <w:rFonts w:ascii="Arial" w:hAnsi="Arial" w:cs="Arial"/>
      <w:sz w:val="22"/>
      <w:szCs w:val="22"/>
      <w:lang w:val="en-GB"/>
    </w:rPr>
  </w:style>
  <w:style w:type="character" w:customStyle="1" w:styleId="TitleChar">
    <w:name w:val="Title Char"/>
    <w:basedOn w:val="DefaultParagraphFont"/>
    <w:link w:val="Title"/>
    <w:rsid w:val="000E2C9D"/>
    <w:rPr>
      <w:rFonts w:ascii="Arial" w:hAnsi="Arial" w:cs="Arial"/>
      <w:b/>
      <w:bCs/>
      <w:kern w:val="28"/>
      <w:sz w:val="22"/>
      <w:szCs w:val="22"/>
      <w:lang w:val="en-GB"/>
    </w:rPr>
  </w:style>
  <w:style w:type="character" w:customStyle="1" w:styleId="DateChar">
    <w:name w:val="Date Char"/>
    <w:basedOn w:val="DefaultParagraphFont"/>
    <w:link w:val="Date"/>
    <w:rsid w:val="000E2C9D"/>
    <w:rPr>
      <w:sz w:val="22"/>
      <w:szCs w:val="22"/>
      <w:lang w:val="en-GB"/>
    </w:rPr>
  </w:style>
  <w:style w:type="paragraph" w:customStyle="1" w:styleId="xl80">
    <w:name w:val="xl80"/>
    <w:basedOn w:val="Normal"/>
    <w:rsid w:val="000E2C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color w:val="000000"/>
      <w:sz w:val="24"/>
      <w:szCs w:val="24"/>
      <w:lang w:val="en-CA" w:eastAsia="en-CA"/>
    </w:rPr>
  </w:style>
  <w:style w:type="paragraph" w:customStyle="1" w:styleId="xl81">
    <w:name w:val="xl81"/>
    <w:basedOn w:val="Normal"/>
    <w:rsid w:val="000E2C9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lang w:val="en-CA" w:eastAsia="en-CA"/>
    </w:rPr>
  </w:style>
  <w:style w:type="paragraph" w:customStyle="1" w:styleId="xl82">
    <w:name w:val="xl82"/>
    <w:basedOn w:val="Normal"/>
    <w:rsid w:val="000E2C9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color w:val="203764"/>
      <w:lang w:val="en-CA" w:eastAsia="en-CA"/>
    </w:rPr>
  </w:style>
  <w:style w:type="paragraph" w:customStyle="1" w:styleId="xl83">
    <w:name w:val="xl83"/>
    <w:basedOn w:val="Normal"/>
    <w:rsid w:val="000E2C9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lang w:val="en-CA" w:eastAsia="en-CA"/>
    </w:rPr>
  </w:style>
  <w:style w:type="paragraph" w:customStyle="1" w:styleId="xl84">
    <w:name w:val="xl84"/>
    <w:basedOn w:val="Normal"/>
    <w:rsid w:val="000E2C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203764"/>
      <w:sz w:val="24"/>
      <w:szCs w:val="24"/>
      <w:lang w:val="en-CA" w:eastAsia="en-CA"/>
    </w:rPr>
  </w:style>
  <w:style w:type="paragraph" w:customStyle="1" w:styleId="xl85">
    <w:name w:val="xl85"/>
    <w:basedOn w:val="Normal"/>
    <w:rsid w:val="000E2C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sz w:val="24"/>
      <w:szCs w:val="24"/>
      <w:lang w:val="en-CA" w:eastAsia="en-CA"/>
    </w:rPr>
  </w:style>
  <w:style w:type="paragraph" w:customStyle="1" w:styleId="xl86">
    <w:name w:val="xl86"/>
    <w:basedOn w:val="Normal"/>
    <w:rsid w:val="000E2C9D"/>
    <w:pPr>
      <w:spacing w:before="100" w:beforeAutospacing="1" w:after="100" w:afterAutospacing="1"/>
      <w:jc w:val="center"/>
      <w:textAlignment w:val="center"/>
    </w:pPr>
    <w:rPr>
      <w:sz w:val="24"/>
      <w:szCs w:val="24"/>
      <w:lang w:val="en-CA" w:eastAsia="en-CA"/>
    </w:rPr>
  </w:style>
  <w:style w:type="paragraph" w:customStyle="1" w:styleId="xl87">
    <w:name w:val="xl87"/>
    <w:basedOn w:val="Normal"/>
    <w:rsid w:val="000E2C9D"/>
    <w:pPr>
      <w:spacing w:before="100" w:beforeAutospacing="1" w:after="100" w:afterAutospacing="1"/>
      <w:jc w:val="left"/>
      <w:textAlignment w:val="center"/>
    </w:pPr>
    <w:rPr>
      <w:sz w:val="24"/>
      <w:szCs w:val="24"/>
      <w:lang w:val="en-CA" w:eastAsia="en-CA"/>
    </w:rPr>
  </w:style>
  <w:style w:type="paragraph" w:customStyle="1" w:styleId="xl88">
    <w:name w:val="xl88"/>
    <w:basedOn w:val="Normal"/>
    <w:rsid w:val="000E2C9D"/>
    <w:pPr>
      <w:spacing w:before="100" w:beforeAutospacing="1" w:after="100" w:afterAutospacing="1"/>
      <w:jc w:val="left"/>
    </w:pPr>
    <w:rPr>
      <w:sz w:val="24"/>
      <w:szCs w:val="24"/>
      <w:lang w:val="en-CA" w:eastAsia="en-CA"/>
    </w:rPr>
  </w:style>
  <w:style w:type="paragraph" w:customStyle="1" w:styleId="xl90">
    <w:name w:val="xl90"/>
    <w:basedOn w:val="Normal"/>
    <w:rsid w:val="000E2C9D"/>
    <w:pPr>
      <w:spacing w:before="100" w:beforeAutospacing="1" w:after="100" w:afterAutospacing="1"/>
      <w:jc w:val="center"/>
      <w:textAlignment w:val="center"/>
    </w:pPr>
    <w:rPr>
      <w:b/>
      <w:bCs/>
      <w:sz w:val="24"/>
      <w:szCs w:val="24"/>
      <w:lang w:val="en-CA" w:eastAsia="en-CA"/>
    </w:rPr>
  </w:style>
  <w:style w:type="paragraph" w:customStyle="1" w:styleId="xl91">
    <w:name w:val="xl91"/>
    <w:basedOn w:val="Normal"/>
    <w:rsid w:val="000E2C9D"/>
    <w:pPr>
      <w:shd w:val="clear" w:color="000000" w:fill="D9D9D9"/>
      <w:spacing w:before="100" w:beforeAutospacing="1" w:after="100" w:afterAutospacing="1"/>
      <w:jc w:val="center"/>
      <w:textAlignment w:val="top"/>
    </w:pPr>
    <w:rPr>
      <w:b/>
      <w:bCs/>
      <w:sz w:val="28"/>
      <w:szCs w:val="28"/>
      <w:lang w:val="en-CA" w:eastAsia="en-CA"/>
    </w:rPr>
  </w:style>
  <w:style w:type="paragraph" w:customStyle="1" w:styleId="xl92">
    <w:name w:val="xl92"/>
    <w:basedOn w:val="Normal"/>
    <w:rsid w:val="000E2C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24"/>
      <w:szCs w:val="24"/>
      <w:lang w:val="en-CA" w:eastAsia="en-CA"/>
    </w:rPr>
  </w:style>
  <w:style w:type="paragraph" w:customStyle="1" w:styleId="xl93">
    <w:name w:val="xl93"/>
    <w:basedOn w:val="Normal"/>
    <w:rsid w:val="000E2C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4"/>
      <w:szCs w:val="24"/>
      <w:lang w:val="en-CA" w:eastAsia="en-CA"/>
    </w:rPr>
  </w:style>
  <w:style w:type="paragraph" w:customStyle="1" w:styleId="xl94">
    <w:name w:val="xl94"/>
    <w:basedOn w:val="Normal"/>
    <w:rsid w:val="000E2C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val="en-CA" w:eastAsia="en-CA"/>
    </w:rPr>
  </w:style>
  <w:style w:type="paragraph" w:customStyle="1" w:styleId="xl95">
    <w:name w:val="xl95"/>
    <w:basedOn w:val="Normal"/>
    <w:rsid w:val="000E2C9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28"/>
      <w:szCs w:val="28"/>
      <w:lang w:val="en-CA" w:eastAsia="en-CA"/>
    </w:rPr>
  </w:style>
  <w:style w:type="paragraph" w:customStyle="1" w:styleId="xl96">
    <w:name w:val="xl96"/>
    <w:basedOn w:val="Normal"/>
    <w:rsid w:val="000E2C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s="Calibri"/>
      <w:sz w:val="24"/>
      <w:szCs w:val="24"/>
      <w:lang w:val="en-CA" w:eastAsia="en-CA"/>
    </w:rPr>
  </w:style>
  <w:style w:type="paragraph" w:customStyle="1" w:styleId="xl97">
    <w:name w:val="xl97"/>
    <w:basedOn w:val="Normal"/>
    <w:rsid w:val="000E2C9D"/>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b/>
      <w:bCs/>
      <w:sz w:val="28"/>
      <w:szCs w:val="28"/>
      <w:lang w:val="en-CA" w:eastAsia="en-CA"/>
    </w:rPr>
  </w:style>
  <w:style w:type="paragraph" w:customStyle="1" w:styleId="xl98">
    <w:name w:val="xl98"/>
    <w:basedOn w:val="Normal"/>
    <w:rsid w:val="000E2C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lang w:val="en-CA" w:eastAsia="en-CA"/>
    </w:rPr>
  </w:style>
  <w:style w:type="paragraph" w:customStyle="1" w:styleId="xl99">
    <w:name w:val="xl99"/>
    <w:basedOn w:val="Normal"/>
    <w:rsid w:val="000E2C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lang w:val="en-CA" w:eastAsia="en-CA"/>
    </w:rPr>
  </w:style>
  <w:style w:type="paragraph" w:customStyle="1" w:styleId="xl100">
    <w:name w:val="xl100"/>
    <w:basedOn w:val="Normal"/>
    <w:rsid w:val="000E2C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4"/>
      <w:szCs w:val="24"/>
      <w:lang w:val="en-CA" w:eastAsia="en-CA"/>
    </w:rPr>
  </w:style>
  <w:style w:type="paragraph" w:customStyle="1" w:styleId="xl101">
    <w:name w:val="xl101"/>
    <w:basedOn w:val="Normal"/>
    <w:rsid w:val="000E2C9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w:hAnsi="Calibri" w:cs="Calibri"/>
      <w:b/>
      <w:bCs/>
      <w:color w:val="203764"/>
      <w:sz w:val="24"/>
      <w:szCs w:val="24"/>
      <w:lang w:val="en-CA" w:eastAsia="en-CA"/>
    </w:rPr>
  </w:style>
  <w:style w:type="paragraph" w:customStyle="1" w:styleId="xl102">
    <w:name w:val="xl102"/>
    <w:basedOn w:val="Normal"/>
    <w:rsid w:val="000E2C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32"/>
      <w:szCs w:val="32"/>
      <w:lang w:val="en-CA" w:eastAsia="en-CA"/>
    </w:rPr>
  </w:style>
  <w:style w:type="paragraph" w:customStyle="1" w:styleId="xl103">
    <w:name w:val="xl103"/>
    <w:basedOn w:val="Normal"/>
    <w:rsid w:val="000E2C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32"/>
      <w:szCs w:val="32"/>
      <w:lang w:val="en-CA" w:eastAsia="en-CA"/>
    </w:rPr>
  </w:style>
  <w:style w:type="paragraph" w:customStyle="1" w:styleId="xl104">
    <w:name w:val="xl104"/>
    <w:basedOn w:val="Normal"/>
    <w:rsid w:val="000E2C9D"/>
    <w:pPr>
      <w:spacing w:before="100" w:beforeAutospacing="1" w:after="100" w:afterAutospacing="1"/>
      <w:jc w:val="left"/>
      <w:textAlignment w:val="top"/>
    </w:pPr>
    <w:rPr>
      <w:sz w:val="32"/>
      <w:szCs w:val="32"/>
      <w:lang w:val="en-CA" w:eastAsia="en-CA"/>
    </w:rPr>
  </w:style>
  <w:style w:type="paragraph" w:customStyle="1" w:styleId="xl105">
    <w:name w:val="xl105"/>
    <w:basedOn w:val="Normal"/>
    <w:rsid w:val="000E2C9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top"/>
    </w:pPr>
    <w:rPr>
      <w:sz w:val="32"/>
      <w:szCs w:val="32"/>
      <w:lang w:val="en-CA" w:eastAsia="en-CA"/>
    </w:rPr>
  </w:style>
  <w:style w:type="paragraph" w:styleId="NoSpacing">
    <w:name w:val="No Spacing"/>
    <w:link w:val="NoSpacingChar"/>
    <w:uiPriority w:val="1"/>
    <w:qFormat/>
    <w:rsid w:val="008C5479"/>
    <w:pPr>
      <w:jc w:val="both"/>
    </w:pPr>
    <w:rPr>
      <w:sz w:val="22"/>
      <w:szCs w:val="22"/>
      <w:lang w:val="en-GB"/>
    </w:rPr>
  </w:style>
  <w:style w:type="character" w:customStyle="1" w:styleId="NoSpacingChar">
    <w:name w:val="No Spacing Char"/>
    <w:basedOn w:val="DefaultParagraphFont"/>
    <w:link w:val="NoSpacing"/>
    <w:uiPriority w:val="1"/>
    <w:locked/>
    <w:rsid w:val="008C547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6402">
      <w:bodyDiv w:val="1"/>
      <w:marLeft w:val="0"/>
      <w:marRight w:val="0"/>
      <w:marTop w:val="0"/>
      <w:marBottom w:val="0"/>
      <w:divBdr>
        <w:top w:val="none" w:sz="0" w:space="0" w:color="auto"/>
        <w:left w:val="none" w:sz="0" w:space="0" w:color="auto"/>
        <w:bottom w:val="none" w:sz="0" w:space="0" w:color="auto"/>
        <w:right w:val="none" w:sz="0" w:space="0" w:color="auto"/>
      </w:divBdr>
    </w:div>
    <w:div w:id="771626088">
      <w:bodyDiv w:val="1"/>
      <w:marLeft w:val="0"/>
      <w:marRight w:val="0"/>
      <w:marTop w:val="0"/>
      <w:marBottom w:val="0"/>
      <w:divBdr>
        <w:top w:val="none" w:sz="0" w:space="0" w:color="auto"/>
        <w:left w:val="none" w:sz="0" w:space="0" w:color="auto"/>
        <w:bottom w:val="none" w:sz="0" w:space="0" w:color="auto"/>
        <w:right w:val="none" w:sz="0" w:space="0" w:color="auto"/>
      </w:divBdr>
    </w:div>
    <w:div w:id="978609857">
      <w:bodyDiv w:val="1"/>
      <w:marLeft w:val="0"/>
      <w:marRight w:val="0"/>
      <w:marTop w:val="0"/>
      <w:marBottom w:val="0"/>
      <w:divBdr>
        <w:top w:val="none" w:sz="0" w:space="0" w:color="auto"/>
        <w:left w:val="none" w:sz="0" w:space="0" w:color="auto"/>
        <w:bottom w:val="none" w:sz="0" w:space="0" w:color="auto"/>
        <w:right w:val="none" w:sz="0" w:space="0" w:color="auto"/>
      </w:divBdr>
    </w:div>
    <w:div w:id="156868258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0.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customXml" Target="../customXml/item3.xml"/><Relationship Id="rId20" Type="http://schemas.openxmlformats.org/officeDocument/2006/relationships/footer" Target="footer5.xml"/><Relationship Id="rId41"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erin\Desktop\85%20ExCom\References\Templates\Eec8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UNEP/OzL.Pro/ExCom/87/9</Document_x0020_Number>
    <DocumentType xmlns="64e33b30-101d-41de-b951-961aab25ea29">Pre-session</DocumentType>
  </documentManagement>
</p:properties>
</file>

<file path=customXml/itemProps1.xml><?xml version="1.0" encoding="utf-8"?>
<ds:datastoreItem xmlns:ds="http://schemas.openxmlformats.org/officeDocument/2006/customXml" ds:itemID="{2EC0B195-2EDE-4763-AB0A-D341771DF642}"/>
</file>

<file path=customXml/itemProps2.xml><?xml version="1.0" encoding="utf-8"?>
<ds:datastoreItem xmlns:ds="http://schemas.openxmlformats.org/officeDocument/2006/customXml" ds:itemID="{17E05DF1-784F-4EC3-AAB5-99649AA9059C}"/>
</file>

<file path=customXml/itemProps3.xml><?xml version="1.0" encoding="utf-8"?>
<ds:datastoreItem xmlns:ds="http://schemas.openxmlformats.org/officeDocument/2006/customXml" ds:itemID="{BA77A19C-5D6F-4DF0-B0B7-FC0B4425637A}"/>
</file>

<file path=customXml/itemProps4.xml><?xml version="1.0" encoding="utf-8"?>
<ds:datastoreItem xmlns:ds="http://schemas.openxmlformats.org/officeDocument/2006/customXml" ds:itemID="{ABB1706A-C5D4-48B6-AB10-82CFB10CD767}"/>
</file>

<file path=docProps/app.xml><?xml version="1.0" encoding="utf-8"?>
<Properties xmlns="http://schemas.openxmlformats.org/officeDocument/2006/extended-properties" xmlns:vt="http://schemas.openxmlformats.org/officeDocument/2006/docPropsVTypes">
  <Template>Eec85G</Template>
  <TotalTime>176</TotalTime>
  <Pages>92</Pages>
  <Words>35837</Words>
  <Characters>204277</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Reports on projects with specific reporting requirements</vt:lpstr>
    </vt:vector>
  </TitlesOfParts>
  <Company>UNMFS</Company>
  <LinksUpToDate>false</LinksUpToDate>
  <CharactersWithSpaces>239635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on projects with specific reporting requirements</dc:title>
  <dc:creator>Joel Pare-Julien</dc:creator>
  <cp:lastModifiedBy>Joel Pare-Julien</cp:lastModifiedBy>
  <cp:revision>4</cp:revision>
  <cp:lastPrinted>2001-05-26T16:40:00Z</cp:lastPrinted>
  <dcterms:created xsi:type="dcterms:W3CDTF">2021-06-19T13:05:00Z</dcterms:created>
  <dcterms:modified xsi:type="dcterms:W3CDTF">2021-06-19T16:01:00Z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vt:lpwstr>
  </property>
  <property fmtid="{D5CDD505-2E9C-101B-9397-08002B2CF9AE}" pid="3" name="Revision date">
    <vt:lpwstr>06/19/2021</vt:lpwstr>
  </property>
  <property fmtid="{D5CDD505-2E9C-101B-9397-08002B2CF9AE}" pid="4" name="ContentTypeId">
    <vt:lpwstr>0x010100656C6B23EE95AB4DB098A66C463B3437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