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14:paraId="43048DCF" w14:textId="77777777" w:rsidTr="009C59F7">
        <w:trPr>
          <w:trHeight w:val="720"/>
        </w:trPr>
        <w:tc>
          <w:tcPr>
            <w:tcW w:w="5490" w:type="dxa"/>
            <w:gridSpan w:val="2"/>
            <w:tcBorders>
              <w:bottom w:val="single" w:sz="18" w:space="0" w:color="auto"/>
            </w:tcBorders>
          </w:tcPr>
          <w:p w14:paraId="01446610" w14:textId="77777777"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380C1814" w14:textId="77777777" w:rsidR="00C15867" w:rsidRPr="009B0D30" w:rsidRDefault="00C15867" w:rsidP="009C59F7">
            <w:pPr>
              <w:jc w:val="right"/>
              <w:rPr>
                <w:sz w:val="52"/>
                <w:szCs w:val="52"/>
              </w:rPr>
            </w:pPr>
            <w:r w:rsidRPr="009B0D30">
              <w:rPr>
                <w:rFonts w:ascii="Univers Bold" w:hAnsi="Univers Bold"/>
                <w:b/>
                <w:sz w:val="72"/>
              </w:rPr>
              <w:t>EP</w:t>
            </w:r>
          </w:p>
        </w:tc>
      </w:tr>
      <w:tr w:rsidR="00C15867" w:rsidRPr="009B0D30" w14:paraId="20BEF355" w14:textId="7777777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0C11BA3" w14:textId="77777777" w:rsidR="00C15867" w:rsidRPr="009B0D30" w:rsidRDefault="00E52838" w:rsidP="009C59F7">
            <w:pPr>
              <w:spacing w:before="120"/>
            </w:pPr>
            <w:r w:rsidRPr="009B0D30">
              <w:rPr>
                <w:noProof/>
                <w:lang w:val="en-US"/>
              </w:rPr>
              <mc:AlternateContent>
                <mc:Choice Requires="wpg">
                  <w:drawing>
                    <wp:anchor distT="0" distB="0" distL="114300" distR="114300" simplePos="0" relativeHeight="251660288" behindDoc="0" locked="0" layoutInCell="1" allowOverlap="1" wp14:anchorId="34AB314C" wp14:editId="268EFA1E">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59E487ED"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2B4E0319" w14:textId="77777777"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6AD9A97A" w14:textId="77777777"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3B478D87" w14:textId="77777777"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430D5693" w14:textId="77777777" w:rsidR="00C15867" w:rsidRPr="009B0D30" w:rsidRDefault="00C15867" w:rsidP="009C59F7">
            <w:pPr>
              <w:spacing w:before="720"/>
              <w:ind w:left="158"/>
            </w:pPr>
          </w:p>
        </w:tc>
        <w:tc>
          <w:tcPr>
            <w:tcW w:w="4590" w:type="dxa"/>
            <w:tcBorders>
              <w:top w:val="nil"/>
              <w:left w:val="nil"/>
              <w:bottom w:val="single" w:sz="36" w:space="0" w:color="auto"/>
              <w:right w:val="nil"/>
            </w:tcBorders>
          </w:tcPr>
          <w:p w14:paraId="71BF19C5" w14:textId="77777777" w:rsidR="00C15867" w:rsidRPr="009B0D30" w:rsidRDefault="00C15867" w:rsidP="009C59F7">
            <w:r w:rsidRPr="009B0D30">
              <w:t>Distr.</w:t>
            </w:r>
          </w:p>
          <w:p w14:paraId="4B4C88A3" w14:textId="77777777" w:rsidR="00923540" w:rsidRPr="009B0D30" w:rsidRDefault="00923540" w:rsidP="00923540">
            <w:r w:rsidRPr="009B0D30">
              <w:t>GENERAL</w:t>
            </w:r>
          </w:p>
          <w:p w14:paraId="5222A89C" w14:textId="77777777" w:rsidR="00C15867" w:rsidRPr="009B0D30" w:rsidRDefault="00C15867" w:rsidP="009C59F7"/>
          <w:p w14:paraId="16AB48E2" w14:textId="77777777" w:rsidR="00C15867" w:rsidRPr="009B0D30" w:rsidRDefault="00C15867" w:rsidP="009C59F7"/>
          <w:p w14:paraId="4417C245" w14:textId="77777777" w:rsidR="00C15867" w:rsidRPr="009B0D30" w:rsidRDefault="00125FBF" w:rsidP="009C59F7">
            <w:fldSimple w:instr=" DOCPROPERTY &quot;Document number&quot;  \* MERGEFORMAT ">
              <w:r w:rsidR="001F2E86">
                <w:t>UNEP/OzL.Pro/ExCom/87/9/Add.1</w:t>
              </w:r>
            </w:fldSimple>
          </w:p>
          <w:p w14:paraId="5E84A56F" w14:textId="1E60FAB0" w:rsidR="00C15867" w:rsidRPr="009B0D30" w:rsidRDefault="00BC2495" w:rsidP="009C59F7">
            <w:r w:rsidRPr="009B0D30">
              <w:fldChar w:fldCharType="begin"/>
            </w:r>
            <w:r w:rsidR="00851352" w:rsidRPr="009B0D30">
              <w:instrText xml:space="preserve"> DOCPROPERTY "Revision date" \@ "d MMMM YYYY"  \* MERGEFORMAT </w:instrText>
            </w:r>
            <w:r w:rsidRPr="009B0D30">
              <w:fldChar w:fldCharType="separate"/>
            </w:r>
            <w:r w:rsidR="002217AB">
              <w:t>14 June 2021</w:t>
            </w:r>
            <w:r w:rsidRPr="009B0D30">
              <w:fldChar w:fldCharType="end"/>
            </w:r>
          </w:p>
          <w:p w14:paraId="21CB8165" w14:textId="77777777" w:rsidR="00C15867" w:rsidRPr="009B0D30" w:rsidRDefault="00C15867" w:rsidP="009C59F7">
            <w:pPr>
              <w:rPr>
                <w:caps/>
              </w:rPr>
            </w:pPr>
          </w:p>
          <w:p w14:paraId="172FD304" w14:textId="77777777" w:rsidR="00C15867" w:rsidRPr="009B0D30" w:rsidRDefault="00C15867" w:rsidP="009C59F7">
            <w:r w:rsidRPr="009B0D30">
              <w:t>ORIGINAL: ENGLISH</w:t>
            </w:r>
          </w:p>
        </w:tc>
      </w:tr>
    </w:tbl>
    <w:p w14:paraId="5889C42B" w14:textId="77777777" w:rsidR="00704CE9" w:rsidRPr="009B0D30" w:rsidRDefault="00C15867" w:rsidP="00704CE9">
      <w:pPr>
        <w:jc w:val="left"/>
      </w:pPr>
      <w:r w:rsidRPr="009B0D30">
        <w:t>EXECUTIVE COMMITTEE OF</w:t>
      </w:r>
      <w:r w:rsidRPr="009B0D30">
        <w:br/>
        <w:t xml:space="preserve">  THE MULTILATERAL FUND FOR THE</w:t>
      </w:r>
      <w:r w:rsidRPr="009B0D30">
        <w:br/>
        <w:t xml:space="preserve">  IMPLEMENTATION OF THE MONTREAL PROTOCOL</w:t>
      </w:r>
      <w:r w:rsidRPr="009B0D30">
        <w:br/>
      </w:r>
      <w:r w:rsidR="00704CE9" w:rsidRPr="009B0D30">
        <w:t>Eighty-</w:t>
      </w:r>
      <w:r w:rsidR="00066CE8" w:rsidRPr="009B0D30">
        <w:t>seventh</w:t>
      </w:r>
      <w:r w:rsidR="00704CE9" w:rsidRPr="009B0D30">
        <w:t xml:space="preserve"> Meeting</w:t>
      </w:r>
    </w:p>
    <w:p w14:paraId="3837799E" w14:textId="77777777" w:rsidR="00066CE8" w:rsidRPr="009B0D30" w:rsidRDefault="00704CE9" w:rsidP="00066CE8">
      <w:pPr>
        <w:jc w:val="left"/>
      </w:pPr>
      <w:r w:rsidRPr="009B0D30">
        <w:t xml:space="preserve">Montreal, </w:t>
      </w:r>
      <w:r w:rsidR="00066CE8" w:rsidRPr="009B0D30">
        <w:t>28</w:t>
      </w:r>
      <w:r w:rsidR="009B0D30" w:rsidRPr="009B0D30">
        <w:t xml:space="preserve"> June</w:t>
      </w:r>
      <w:r w:rsidR="00066CE8" w:rsidRPr="009B0D30">
        <w:t>-2 July 2021</w:t>
      </w:r>
    </w:p>
    <w:p w14:paraId="43416DA0" w14:textId="77777777" w:rsidR="00C15867" w:rsidRPr="009B0D30" w:rsidRDefault="00C15867" w:rsidP="00857077">
      <w:pPr>
        <w:jc w:val="left"/>
      </w:pPr>
    </w:p>
    <w:p w14:paraId="40177B0D" w14:textId="77777777" w:rsidR="00066CE8" w:rsidRPr="009B0D30" w:rsidRDefault="00066CE8" w:rsidP="00857077">
      <w:pPr>
        <w:jc w:val="left"/>
      </w:pPr>
    </w:p>
    <w:p w14:paraId="5FD87916" w14:textId="77777777" w:rsidR="00E3032B" w:rsidRPr="00271953" w:rsidRDefault="00E3032B" w:rsidP="00E3032B">
      <w:pPr>
        <w:jc w:val="center"/>
        <w:outlineLvl w:val="0"/>
        <w:rPr>
          <w:b/>
          <w:caps/>
        </w:rPr>
      </w:pPr>
      <w:bookmarkStart w:id="0" w:name="_GoBack"/>
      <w:r w:rsidRPr="00271953">
        <w:rPr>
          <w:b/>
        </w:rPr>
        <w:t>Addendum</w:t>
      </w:r>
    </w:p>
    <w:p w14:paraId="0EAA3941" w14:textId="77777777" w:rsidR="00E3032B" w:rsidRPr="00271953" w:rsidRDefault="00E3032B" w:rsidP="00E3032B">
      <w:pPr>
        <w:jc w:val="center"/>
        <w:outlineLvl w:val="0"/>
        <w:rPr>
          <w:b/>
          <w:caps/>
        </w:rPr>
      </w:pPr>
    </w:p>
    <w:p w14:paraId="33633A8C" w14:textId="77777777" w:rsidR="00E3032B" w:rsidRPr="00271953" w:rsidRDefault="00E3032B" w:rsidP="00E3032B">
      <w:pPr>
        <w:jc w:val="center"/>
        <w:outlineLvl w:val="0"/>
        <w:rPr>
          <w:b/>
          <w:caps/>
        </w:rPr>
      </w:pPr>
      <w:r w:rsidRPr="00271953">
        <w:rPr>
          <w:b/>
          <w:caps/>
        </w:rPr>
        <w:t>reports on projects with specific reporting requirements</w:t>
      </w:r>
    </w:p>
    <w:p w14:paraId="00C9CEBA" w14:textId="77777777" w:rsidR="00E3032B" w:rsidRPr="00271953" w:rsidRDefault="00E3032B" w:rsidP="00E3032B">
      <w:pPr>
        <w:jc w:val="center"/>
        <w:outlineLvl w:val="0"/>
        <w:rPr>
          <w:b/>
          <w:caps/>
        </w:rPr>
      </w:pPr>
    </w:p>
    <w:p w14:paraId="590C5C15" w14:textId="62E7C61B" w:rsidR="00E3032B" w:rsidRPr="00271953" w:rsidRDefault="00E3032B" w:rsidP="00E3032B">
      <w:pPr>
        <w:numPr>
          <w:ilvl w:val="0"/>
          <w:numId w:val="1"/>
        </w:numPr>
        <w:spacing w:after="240"/>
        <w:outlineLvl w:val="0"/>
      </w:pPr>
      <w:r w:rsidRPr="00542611">
        <w:t>The</w:t>
      </w:r>
      <w:r w:rsidRPr="00271953">
        <w:t xml:space="preserve"> present document includes</w:t>
      </w:r>
      <w:r w:rsidRPr="00542611">
        <w:t xml:space="preserve"> </w:t>
      </w:r>
      <w:r w:rsidRPr="00271953">
        <w:t>report</w:t>
      </w:r>
      <w:r w:rsidRPr="00542611">
        <w:t>s</w:t>
      </w:r>
      <w:r w:rsidRPr="00271953">
        <w:t xml:space="preserve"> on projects with specific reporting requirements pertaining to China that </w:t>
      </w:r>
      <w:r w:rsidRPr="00542611">
        <w:t>are</w:t>
      </w:r>
      <w:r w:rsidRPr="00271953">
        <w:t xml:space="preserve"> </w:t>
      </w:r>
      <w:r w:rsidRPr="00542611">
        <w:t>due at the 87</w:t>
      </w:r>
      <w:r w:rsidRPr="00542611">
        <w:rPr>
          <w:vertAlign w:val="superscript"/>
        </w:rPr>
        <w:t>th</w:t>
      </w:r>
      <w:r w:rsidRPr="00542611">
        <w:t xml:space="preserve"> meeting, or that were due to the 86</w:t>
      </w:r>
      <w:r w:rsidRPr="00542611">
        <w:rPr>
          <w:vertAlign w:val="superscript"/>
        </w:rPr>
        <w:t>th</w:t>
      </w:r>
      <w:r w:rsidRPr="00542611">
        <w:t xml:space="preserve"> meeting but their consideration was deferred </w:t>
      </w:r>
      <w:r w:rsidRPr="00271953">
        <w:t>to the 8</w:t>
      </w:r>
      <w:r w:rsidRPr="00542611">
        <w:t>7</w:t>
      </w:r>
      <w:r w:rsidRPr="00271953">
        <w:rPr>
          <w:vertAlign w:val="superscript"/>
        </w:rPr>
        <w:t>th</w:t>
      </w:r>
      <w:r w:rsidRPr="00271953">
        <w:t> meeting</w:t>
      </w:r>
      <w:r w:rsidRPr="00542611">
        <w:t xml:space="preserve"> </w:t>
      </w:r>
      <w:r w:rsidRPr="00271953">
        <w:t>in accordance to the agreed procedures to conducting the 86</w:t>
      </w:r>
      <w:r w:rsidRPr="00271953">
        <w:rPr>
          <w:vertAlign w:val="superscript"/>
        </w:rPr>
        <w:t>th</w:t>
      </w:r>
      <w:r w:rsidRPr="00271953">
        <w:t xml:space="preserve"> meetin</w:t>
      </w:r>
      <w:r>
        <w:t>g.</w:t>
      </w:r>
      <w:r w:rsidRPr="00542611">
        <w:rPr>
          <w:vertAlign w:val="superscript"/>
        </w:rPr>
        <w:footnoteReference w:id="1"/>
      </w:r>
    </w:p>
    <w:p w14:paraId="4A357968" w14:textId="77777777" w:rsidR="00E3032B" w:rsidRPr="00271953" w:rsidRDefault="00E3032B" w:rsidP="00E3032B">
      <w:pPr>
        <w:numPr>
          <w:ilvl w:val="0"/>
          <w:numId w:val="1"/>
        </w:numPr>
        <w:outlineLvl w:val="0"/>
      </w:pPr>
      <w:r w:rsidRPr="00271953">
        <w:t xml:space="preserve">The document is divided into the following </w:t>
      </w:r>
      <w:r w:rsidRPr="00542611">
        <w:t>three</w:t>
      </w:r>
      <w:r w:rsidRPr="00271953">
        <w:t xml:space="preserve"> parts:</w:t>
      </w:r>
    </w:p>
    <w:p w14:paraId="007F5FAE" w14:textId="77777777" w:rsidR="00E3032B" w:rsidRPr="00271953" w:rsidRDefault="00E3032B" w:rsidP="00E3032B"/>
    <w:tbl>
      <w:tblPr>
        <w:tblStyle w:val="TableGrid10"/>
        <w:tblW w:w="8635" w:type="dxa"/>
        <w:tblInd w:w="720" w:type="dxa"/>
        <w:tblLayout w:type="fixed"/>
        <w:tblLook w:val="04A0" w:firstRow="1" w:lastRow="0" w:firstColumn="1" w:lastColumn="0" w:noHBand="0" w:noVBand="1"/>
      </w:tblPr>
      <w:tblGrid>
        <w:gridCol w:w="715"/>
        <w:gridCol w:w="6575"/>
        <w:gridCol w:w="1345"/>
      </w:tblGrid>
      <w:tr w:rsidR="00E3032B" w:rsidRPr="00271953" w14:paraId="6173234D" w14:textId="77777777" w:rsidTr="004826F1">
        <w:trPr>
          <w:tblHeader/>
        </w:trPr>
        <w:tc>
          <w:tcPr>
            <w:tcW w:w="715" w:type="dxa"/>
          </w:tcPr>
          <w:p w14:paraId="318641F8" w14:textId="77777777" w:rsidR="00E3032B" w:rsidRPr="00271953" w:rsidRDefault="00E3032B" w:rsidP="00F63C85">
            <w:pPr>
              <w:widowControl w:val="0"/>
              <w:jc w:val="left"/>
              <w:rPr>
                <w:b/>
              </w:rPr>
            </w:pPr>
            <w:r w:rsidRPr="00271953">
              <w:rPr>
                <w:b/>
              </w:rPr>
              <w:t>Part</w:t>
            </w:r>
          </w:p>
        </w:tc>
        <w:tc>
          <w:tcPr>
            <w:tcW w:w="6575" w:type="dxa"/>
            <w:vAlign w:val="center"/>
          </w:tcPr>
          <w:p w14:paraId="069DA3EF" w14:textId="77777777" w:rsidR="00E3032B" w:rsidRPr="00271953" w:rsidRDefault="00E3032B" w:rsidP="00F63C85">
            <w:pPr>
              <w:widowControl w:val="0"/>
              <w:jc w:val="center"/>
              <w:rPr>
                <w:b/>
              </w:rPr>
            </w:pPr>
            <w:r w:rsidRPr="00271953">
              <w:rPr>
                <w:b/>
              </w:rPr>
              <w:t>Document title</w:t>
            </w:r>
          </w:p>
        </w:tc>
        <w:tc>
          <w:tcPr>
            <w:tcW w:w="1345" w:type="dxa"/>
            <w:vAlign w:val="center"/>
          </w:tcPr>
          <w:p w14:paraId="68A6C8D3" w14:textId="77777777" w:rsidR="00E3032B" w:rsidRPr="00271953" w:rsidRDefault="00E3032B" w:rsidP="00F63C85">
            <w:pPr>
              <w:widowControl w:val="0"/>
              <w:jc w:val="center"/>
              <w:rPr>
                <w:b/>
              </w:rPr>
            </w:pPr>
            <w:r w:rsidRPr="00271953">
              <w:rPr>
                <w:b/>
              </w:rPr>
              <w:t>Paragraphs</w:t>
            </w:r>
          </w:p>
        </w:tc>
      </w:tr>
      <w:tr w:rsidR="00E3032B" w:rsidRPr="00271953" w14:paraId="5A5A3C01" w14:textId="77777777" w:rsidTr="004826F1">
        <w:tc>
          <w:tcPr>
            <w:tcW w:w="715" w:type="dxa"/>
            <w:vAlign w:val="center"/>
          </w:tcPr>
          <w:p w14:paraId="191E1EA3" w14:textId="77777777" w:rsidR="00E3032B" w:rsidRPr="00271953" w:rsidRDefault="00E3032B" w:rsidP="00AD043B">
            <w:pPr>
              <w:widowControl w:val="0"/>
              <w:jc w:val="center"/>
            </w:pPr>
            <w:r w:rsidRPr="00271953">
              <w:t>I</w:t>
            </w:r>
          </w:p>
        </w:tc>
        <w:tc>
          <w:tcPr>
            <w:tcW w:w="6575" w:type="dxa"/>
            <w:vAlign w:val="center"/>
          </w:tcPr>
          <w:p w14:paraId="338A08A4" w14:textId="47B55F04" w:rsidR="00E3032B" w:rsidRPr="00271953" w:rsidRDefault="00E3032B" w:rsidP="00AD043B">
            <w:pPr>
              <w:widowControl w:val="0"/>
              <w:jc w:val="left"/>
            </w:pPr>
            <w:r w:rsidRPr="00271953">
              <w:t>Financial audit reports for the CFC production, halon, PU foam, process agent II, refrigeration servicing and solvent sectors</w:t>
            </w:r>
            <w:r w:rsidRPr="00542611">
              <w:t xml:space="preserve"> (decision</w:t>
            </w:r>
            <w:r w:rsidR="00304306">
              <w:t> </w:t>
            </w:r>
            <w:r w:rsidRPr="00542611">
              <w:t>86/41)</w:t>
            </w:r>
          </w:p>
        </w:tc>
        <w:tc>
          <w:tcPr>
            <w:tcW w:w="1345" w:type="dxa"/>
            <w:vAlign w:val="center"/>
          </w:tcPr>
          <w:p w14:paraId="517A429C" w14:textId="77777777" w:rsidR="00E3032B" w:rsidRPr="00271953" w:rsidRDefault="00AD043B" w:rsidP="00AD043B">
            <w:pPr>
              <w:widowControl w:val="0"/>
              <w:jc w:val="center"/>
            </w:pPr>
            <w:r>
              <w:t>3 - 11</w:t>
            </w:r>
          </w:p>
        </w:tc>
      </w:tr>
      <w:tr w:rsidR="00E3032B" w:rsidRPr="00271953" w14:paraId="5FCE038C" w14:textId="77777777" w:rsidTr="004826F1">
        <w:tc>
          <w:tcPr>
            <w:tcW w:w="715" w:type="dxa"/>
            <w:vAlign w:val="center"/>
          </w:tcPr>
          <w:p w14:paraId="52BCCA54" w14:textId="77777777" w:rsidR="00E3032B" w:rsidRPr="00271953" w:rsidRDefault="00E3032B" w:rsidP="00AD043B">
            <w:pPr>
              <w:widowControl w:val="0"/>
              <w:jc w:val="center"/>
            </w:pPr>
            <w:r w:rsidRPr="00271953">
              <w:lastRenderedPageBreak/>
              <w:t>II</w:t>
            </w:r>
          </w:p>
        </w:tc>
        <w:tc>
          <w:tcPr>
            <w:tcW w:w="6575" w:type="dxa"/>
            <w:vAlign w:val="center"/>
          </w:tcPr>
          <w:p w14:paraId="2FAADBCC" w14:textId="77777777" w:rsidR="00E3032B" w:rsidRPr="00271953" w:rsidRDefault="00E3032B" w:rsidP="00AD043B">
            <w:pPr>
              <w:widowControl w:val="0"/>
              <w:jc w:val="left"/>
            </w:pPr>
            <w:r w:rsidRPr="00271953">
              <w:t>Report on progress in the implementation of activities listed in decision 83/41(e)</w:t>
            </w:r>
          </w:p>
        </w:tc>
        <w:tc>
          <w:tcPr>
            <w:tcW w:w="1345" w:type="dxa"/>
            <w:vAlign w:val="center"/>
          </w:tcPr>
          <w:p w14:paraId="48BEEE6F" w14:textId="77777777" w:rsidR="00E3032B" w:rsidRPr="00271953" w:rsidRDefault="00AD043B" w:rsidP="00AD043B">
            <w:pPr>
              <w:widowControl w:val="0"/>
              <w:jc w:val="center"/>
            </w:pPr>
            <w:r>
              <w:t>12 - 15</w:t>
            </w:r>
          </w:p>
        </w:tc>
      </w:tr>
      <w:tr w:rsidR="00E3032B" w:rsidRPr="00271953" w14:paraId="7FEBF676" w14:textId="77777777" w:rsidTr="004826F1">
        <w:tc>
          <w:tcPr>
            <w:tcW w:w="715" w:type="dxa"/>
            <w:vAlign w:val="center"/>
          </w:tcPr>
          <w:p w14:paraId="7D6AE8EC" w14:textId="77777777" w:rsidR="00E3032B" w:rsidRPr="00271953" w:rsidRDefault="00E3032B" w:rsidP="00AD043B">
            <w:pPr>
              <w:widowControl w:val="0"/>
              <w:jc w:val="center"/>
            </w:pPr>
            <w:r w:rsidRPr="00271953">
              <w:t>III</w:t>
            </w:r>
          </w:p>
        </w:tc>
        <w:tc>
          <w:tcPr>
            <w:tcW w:w="6575" w:type="dxa"/>
            <w:vAlign w:val="center"/>
          </w:tcPr>
          <w:p w14:paraId="0976A87D" w14:textId="77777777" w:rsidR="00E3032B" w:rsidRPr="00271953" w:rsidRDefault="00E3032B" w:rsidP="00AD043B">
            <w:pPr>
              <w:widowControl w:val="0"/>
              <w:jc w:val="left"/>
            </w:pPr>
            <w:r w:rsidRPr="00271953">
              <w:t>Study to determine the regulatory, enforcement, policy or market circumstances that might have led to the illegal production and use of CFC-11 and CFC-12 (decision 83/41(d))</w:t>
            </w:r>
          </w:p>
        </w:tc>
        <w:tc>
          <w:tcPr>
            <w:tcW w:w="1345" w:type="dxa"/>
            <w:vAlign w:val="center"/>
          </w:tcPr>
          <w:p w14:paraId="282A758A" w14:textId="77777777" w:rsidR="00E3032B" w:rsidRPr="00271953" w:rsidRDefault="00AD043B" w:rsidP="00AD043B">
            <w:pPr>
              <w:widowControl w:val="0"/>
              <w:jc w:val="center"/>
            </w:pPr>
            <w:r>
              <w:t>16 - 17</w:t>
            </w:r>
          </w:p>
        </w:tc>
      </w:tr>
    </w:tbl>
    <w:p w14:paraId="1A5B0A13" w14:textId="77777777" w:rsidR="00E3032B" w:rsidRPr="00271953" w:rsidRDefault="00E3032B" w:rsidP="00E3032B">
      <w:pPr>
        <w:spacing w:after="240"/>
        <w:jc w:val="left"/>
        <w:outlineLvl w:val="0"/>
      </w:pPr>
      <w:r w:rsidRPr="00271953">
        <w:br w:type="page"/>
      </w:r>
    </w:p>
    <w:p w14:paraId="319E4276" w14:textId="77777777" w:rsidR="00E3032B" w:rsidRPr="00271953" w:rsidRDefault="00E3032B" w:rsidP="00E3032B">
      <w:pPr>
        <w:keepNext/>
        <w:spacing w:after="240"/>
        <w:ind w:left="1440" w:hanging="1440"/>
        <w:rPr>
          <w:b/>
          <w:caps/>
        </w:rPr>
      </w:pPr>
      <w:r w:rsidRPr="00271953">
        <w:rPr>
          <w:b/>
          <w:caps/>
        </w:rPr>
        <w:lastRenderedPageBreak/>
        <w:t>Part I:</w:t>
      </w:r>
      <w:r w:rsidRPr="00271953">
        <w:rPr>
          <w:b/>
          <w:caps/>
        </w:rPr>
        <w:tab/>
        <w:t xml:space="preserve">Financial audit reports for the CFC production, halon, </w:t>
      </w:r>
      <w:r w:rsidRPr="00271953">
        <w:rPr>
          <w:b/>
          <w:caps/>
        </w:rPr>
        <w:br/>
      </w:r>
      <w:r w:rsidRPr="00271953">
        <w:rPr>
          <w:b/>
        </w:rPr>
        <w:t>PU FOAM</w:t>
      </w:r>
      <w:r w:rsidRPr="00271953">
        <w:rPr>
          <w:b/>
          <w:caps/>
        </w:rPr>
        <w:t>, process agent II, refrigeration servicing and solvent sectors</w:t>
      </w:r>
    </w:p>
    <w:p w14:paraId="1F686E41" w14:textId="77777777" w:rsidR="00E3032B" w:rsidRPr="00271953" w:rsidRDefault="00E3032B" w:rsidP="00E3032B">
      <w:pPr>
        <w:spacing w:after="240"/>
        <w:rPr>
          <w:b/>
        </w:rPr>
      </w:pPr>
      <w:r w:rsidRPr="00271953">
        <w:rPr>
          <w:b/>
        </w:rPr>
        <w:t>Background</w:t>
      </w:r>
    </w:p>
    <w:p w14:paraId="045A6EBC" w14:textId="77777777" w:rsidR="00E3032B" w:rsidRPr="00271953" w:rsidRDefault="00E3032B" w:rsidP="00E3032B">
      <w:pPr>
        <w:widowControl w:val="0"/>
        <w:numPr>
          <w:ilvl w:val="0"/>
          <w:numId w:val="1"/>
        </w:numPr>
        <w:spacing w:after="240"/>
        <w:outlineLvl w:val="0"/>
      </w:pPr>
      <w:r w:rsidRPr="00271953">
        <w:t>At its 84</w:t>
      </w:r>
      <w:r w:rsidRPr="00271953">
        <w:rPr>
          <w:vertAlign w:val="superscript"/>
        </w:rPr>
        <w:t>th</w:t>
      </w:r>
      <w:r w:rsidRPr="00271953">
        <w:t> meeting, the Executive Committee considered the financial audit reports for the CFC production, halon, polyurethane (PU) foam, process agent II, refrigeration servicing and solvent sectors, in which an update of activities implemented in each sector plan was also provided.</w:t>
      </w:r>
      <w:r w:rsidRPr="00271953">
        <w:rPr>
          <w:vertAlign w:val="superscript"/>
        </w:rPr>
        <w:footnoteReference w:id="2"/>
      </w:r>
      <w:r w:rsidRPr="00271953">
        <w:t xml:space="preserve"> Subsequently, the Executive Committee </w:t>
      </w:r>
      <w:r w:rsidRPr="00271953">
        <w:rPr>
          <w:i/>
        </w:rPr>
        <w:t>inter alia</w:t>
      </w:r>
      <w:r w:rsidRPr="00271953">
        <w:t xml:space="preserve"> requested the Government of China, through the relevant implementing agency, to submit at the 85</w:t>
      </w:r>
      <w:r w:rsidRPr="00271953">
        <w:rPr>
          <w:vertAlign w:val="superscript"/>
        </w:rPr>
        <w:t>th</w:t>
      </w:r>
      <w:r w:rsidRPr="00271953">
        <w:t> meeting the financial audit reports as at 31 December 2019 for the CFC production, halon, PU foam, process agent II, refrigeration servicing, and solvent sector plans, and the project completion reports (PCRs) for the CFC production, PU foam, refrigeration servicing and solvent sector plans; and to return to the Multilateral Fund at the 85</w:t>
      </w:r>
      <w:r w:rsidRPr="00271953">
        <w:rPr>
          <w:vertAlign w:val="superscript"/>
        </w:rPr>
        <w:t>th</w:t>
      </w:r>
      <w:r w:rsidRPr="00271953">
        <w:t> meeting</w:t>
      </w:r>
      <w:r w:rsidR="00AF3B7D">
        <w:t>,</w:t>
      </w:r>
      <w:r w:rsidRPr="00271953">
        <w:t xml:space="preserve"> the funding balances available as at 31 December 2019 associated with the CFC production, PU foam, refrigeration servicing and solvent sector plans (decision 84/39(c)(i) and (c)(ii)).</w:t>
      </w:r>
    </w:p>
    <w:p w14:paraId="1C56E1D7" w14:textId="77777777" w:rsidR="00E3032B" w:rsidRPr="00271953" w:rsidRDefault="00E3032B" w:rsidP="00E3032B">
      <w:pPr>
        <w:widowControl w:val="0"/>
        <w:numPr>
          <w:ilvl w:val="0"/>
          <w:numId w:val="1"/>
        </w:numPr>
        <w:spacing w:after="240"/>
        <w:outlineLvl w:val="0"/>
      </w:pPr>
      <w:r w:rsidRPr="00271953">
        <w:t>In line with decision 84/39(c)(i), relevant implementing agencies, on behalf of the Government of China, submitted to the 85</w:t>
      </w:r>
      <w:r w:rsidRPr="00271953">
        <w:rPr>
          <w:vertAlign w:val="superscript"/>
        </w:rPr>
        <w:t>th</w:t>
      </w:r>
      <w:r w:rsidRPr="00271953">
        <w:t xml:space="preserve"> meeting the financial audit reports as at 31 December 2019 and PCRs for the CFC production, PU foam, refrigeration servicing and solvent sectors. Supplemental final reports were submitted for the refrigeration servicing and solvent sectors as well as an update on progress in the process agent II.</w:t>
      </w:r>
      <w:r w:rsidRPr="00271953">
        <w:rPr>
          <w:vertAlign w:val="superscript"/>
        </w:rPr>
        <w:footnoteReference w:id="3"/>
      </w:r>
    </w:p>
    <w:p w14:paraId="4C22A9C8" w14:textId="6BF3976C" w:rsidR="00E3032B" w:rsidRPr="00271953" w:rsidRDefault="00E3032B" w:rsidP="00E3032B">
      <w:pPr>
        <w:numPr>
          <w:ilvl w:val="0"/>
          <w:numId w:val="1"/>
        </w:numPr>
        <w:spacing w:after="240"/>
        <w:outlineLvl w:val="0"/>
      </w:pPr>
      <w:r w:rsidRPr="00271953">
        <w:t xml:space="preserve">This matter was not considered under the intersessional approval process </w:t>
      </w:r>
      <w:r w:rsidR="00304306">
        <w:t xml:space="preserve">(IAP) </w:t>
      </w:r>
      <w:r w:rsidRPr="00271953">
        <w:t>established for the 85</w:t>
      </w:r>
      <w:r w:rsidRPr="00271953">
        <w:rPr>
          <w:vertAlign w:val="superscript"/>
        </w:rPr>
        <w:t>th </w:t>
      </w:r>
      <w:r w:rsidRPr="00271953">
        <w:t>meeting. As the meeting was postponed due to restrictions associated to the COVID-19 pandemic, the matter was included again for consideration at the 86</w:t>
      </w:r>
      <w:r w:rsidRPr="00271953">
        <w:rPr>
          <w:vertAlign w:val="superscript"/>
        </w:rPr>
        <w:t>th</w:t>
      </w:r>
      <w:r w:rsidRPr="00271953">
        <w:t> meeting.</w:t>
      </w:r>
      <w:r w:rsidRPr="00271953">
        <w:rPr>
          <w:vertAlign w:val="superscript"/>
        </w:rPr>
        <w:footnoteReference w:id="4"/>
      </w:r>
      <w:r w:rsidRPr="00271953">
        <w:t xml:space="preserve"> Through the </w:t>
      </w:r>
      <w:r w:rsidR="00304306">
        <w:t>IAP</w:t>
      </w:r>
      <w:r w:rsidRPr="00271953">
        <w:t xml:space="preserve"> established for the 86</w:t>
      </w:r>
      <w:r w:rsidRPr="00271953">
        <w:rPr>
          <w:vertAlign w:val="superscript"/>
        </w:rPr>
        <w:t>th</w:t>
      </w:r>
      <w:r w:rsidRPr="00271953">
        <w:t xml:space="preserve"> meeting in November 2020, the Executive Committee considered the matter and decided:</w:t>
      </w:r>
      <w:r w:rsidRPr="00271953">
        <w:rPr>
          <w:vertAlign w:val="superscript"/>
        </w:rPr>
        <w:footnoteReference w:id="5"/>
      </w:r>
    </w:p>
    <w:p w14:paraId="68D82BBB" w14:textId="37BA99E5" w:rsidR="00E3032B" w:rsidRPr="00271953" w:rsidRDefault="00E3032B" w:rsidP="00E3032B">
      <w:pPr>
        <w:widowControl w:val="0"/>
        <w:numPr>
          <w:ilvl w:val="1"/>
          <w:numId w:val="1"/>
        </w:numPr>
        <w:spacing w:after="240"/>
        <w:outlineLvl w:val="1"/>
      </w:pPr>
      <w:r w:rsidRPr="00271953">
        <w:lastRenderedPageBreak/>
        <w:t>To note:</w:t>
      </w:r>
    </w:p>
    <w:p w14:paraId="4812891D" w14:textId="077B5BB9" w:rsidR="00E3032B" w:rsidRPr="00271953" w:rsidRDefault="00E3032B" w:rsidP="00E3032B">
      <w:pPr>
        <w:widowControl w:val="0"/>
        <w:numPr>
          <w:ilvl w:val="2"/>
          <w:numId w:val="1"/>
        </w:numPr>
        <w:spacing w:after="240"/>
        <w:outlineLvl w:val="2"/>
      </w:pPr>
      <w:r w:rsidRPr="00271953">
        <w:t xml:space="preserve">The financial audit reports for the CFC production, halon, polyurethane (PU) foam, process agent II, solvent and servicing sectors in China, contained in document UNEP/OzL.Pro/ExCom/86/21/Add.1; </w:t>
      </w:r>
    </w:p>
    <w:p w14:paraId="0A22F1C2" w14:textId="41674615" w:rsidR="00E3032B" w:rsidRPr="00271953" w:rsidRDefault="00E3032B" w:rsidP="00E3032B">
      <w:pPr>
        <w:widowControl w:val="0"/>
        <w:numPr>
          <w:ilvl w:val="2"/>
          <w:numId w:val="1"/>
        </w:numPr>
        <w:spacing w:after="240"/>
        <w:outlineLvl w:val="2"/>
      </w:pPr>
      <w:r w:rsidRPr="00271953">
        <w:t xml:space="preserve">That the World Bank will return the remaining balances in the CFC production and PU foam sectors of </w:t>
      </w:r>
      <w:r w:rsidR="004826F1">
        <w:t>US $</w:t>
      </w:r>
      <w:r w:rsidRPr="00271953">
        <w:t xml:space="preserve">314,015, and accumulated interest of </w:t>
      </w:r>
      <w:r w:rsidR="004826F1">
        <w:t>US $</w:t>
      </w:r>
      <w:r w:rsidRPr="00271953">
        <w:t>22,119, to the 86</w:t>
      </w:r>
      <w:r w:rsidRPr="00271953">
        <w:rPr>
          <w:vertAlign w:val="superscript"/>
        </w:rPr>
        <w:t>th</w:t>
      </w:r>
      <w:r w:rsidRPr="00271953">
        <w:t xml:space="preserve"> meeting;</w:t>
      </w:r>
    </w:p>
    <w:p w14:paraId="79A1593E" w14:textId="04952C6D" w:rsidR="00E3032B" w:rsidRPr="00271953" w:rsidRDefault="00E3032B" w:rsidP="00E3032B">
      <w:pPr>
        <w:widowControl w:val="0"/>
        <w:numPr>
          <w:ilvl w:val="2"/>
          <w:numId w:val="1"/>
        </w:numPr>
        <w:spacing w:after="240"/>
        <w:outlineLvl w:val="2"/>
      </w:pPr>
      <w:r w:rsidRPr="00271953">
        <w:t xml:space="preserve">That UNIDO will return the remaining balances in the refrigeration servicing sector plan of </w:t>
      </w:r>
      <w:r w:rsidR="004826F1">
        <w:t>US $</w:t>
      </w:r>
      <w:r w:rsidRPr="00271953">
        <w:t xml:space="preserve">752, plus accumulated interest of </w:t>
      </w:r>
      <w:r w:rsidR="004826F1">
        <w:t>US $</w:t>
      </w:r>
      <w:r w:rsidRPr="00271953">
        <w:t>99,178 to the 86</w:t>
      </w:r>
      <w:r w:rsidRPr="00271953">
        <w:rPr>
          <w:vertAlign w:val="superscript"/>
        </w:rPr>
        <w:t>th</w:t>
      </w:r>
      <w:r w:rsidR="00E300B5">
        <w:t> </w:t>
      </w:r>
      <w:r w:rsidRPr="00271953">
        <w:t>meeting;</w:t>
      </w:r>
    </w:p>
    <w:p w14:paraId="3DE9A173" w14:textId="173CA1A1" w:rsidR="00E3032B" w:rsidRPr="00271953" w:rsidRDefault="00E3032B" w:rsidP="00E3032B">
      <w:pPr>
        <w:widowControl w:val="0"/>
        <w:numPr>
          <w:ilvl w:val="2"/>
          <w:numId w:val="1"/>
        </w:numPr>
        <w:spacing w:after="240"/>
        <w:outlineLvl w:val="2"/>
      </w:pPr>
      <w:r w:rsidRPr="00271953">
        <w:t xml:space="preserve">That UNDP will return </w:t>
      </w:r>
      <w:r w:rsidR="004826F1">
        <w:t>US $</w:t>
      </w:r>
      <w:r w:rsidRPr="00271953">
        <w:t>356,151, the accumulated interest from the solvent sector plan to the 86</w:t>
      </w:r>
      <w:r w:rsidRPr="00271953">
        <w:rPr>
          <w:vertAlign w:val="superscript"/>
        </w:rPr>
        <w:t>th</w:t>
      </w:r>
      <w:r w:rsidRPr="00271953">
        <w:t xml:space="preserve"> meeting;</w:t>
      </w:r>
    </w:p>
    <w:p w14:paraId="46E3916B" w14:textId="6C5686B1" w:rsidR="00E3032B" w:rsidRPr="00271953" w:rsidRDefault="00E3032B" w:rsidP="00E300B5">
      <w:pPr>
        <w:pStyle w:val="Heading2"/>
        <w:numPr>
          <w:ilvl w:val="1"/>
          <w:numId w:val="21"/>
        </w:numPr>
      </w:pPr>
      <w:r w:rsidRPr="00271953">
        <w:t>To request the World Bank to submit the financial audit reports for the halon and process agent II sector plans that would be completed by 31 December 2020, in line with decision</w:t>
      </w:r>
      <w:r w:rsidR="00304306">
        <w:t> </w:t>
      </w:r>
      <w:r w:rsidRPr="00271953">
        <w:t>84/39(b) to the 87</w:t>
      </w:r>
      <w:r w:rsidRPr="00E300B5">
        <w:rPr>
          <w:vertAlign w:val="superscript"/>
        </w:rPr>
        <w:t>th</w:t>
      </w:r>
      <w:r w:rsidR="00AD043B">
        <w:t xml:space="preserve"> </w:t>
      </w:r>
      <w:r w:rsidRPr="00271953">
        <w:t>meeting together with the corresponding project completion reports (PCRs) and any remaining balances as at 31 December 2020; and</w:t>
      </w:r>
    </w:p>
    <w:p w14:paraId="234E8B24" w14:textId="77777777" w:rsidR="00E3032B" w:rsidRPr="00271953" w:rsidRDefault="00E3032B" w:rsidP="00E3032B">
      <w:pPr>
        <w:widowControl w:val="0"/>
        <w:numPr>
          <w:ilvl w:val="1"/>
          <w:numId w:val="1"/>
        </w:numPr>
        <w:spacing w:after="240"/>
        <w:outlineLvl w:val="1"/>
      </w:pPr>
      <w:r w:rsidRPr="00271953">
        <w:t>To request the Senior Monitoring and Evaluation Officer to work with the relevant implementing agency to ensure that the PCRs submitted for the CFC production, PU foam, refrigeration servicing, and solvent sector plans reflect disbursements to final beneficiaries, consistent with the information provided in the financial audit reports submitted to the 86</w:t>
      </w:r>
      <w:r w:rsidRPr="00271953">
        <w:rPr>
          <w:vertAlign w:val="superscript"/>
        </w:rPr>
        <w:t>th </w:t>
      </w:r>
      <w:r w:rsidRPr="00271953">
        <w:t xml:space="preserve">meeting. </w:t>
      </w:r>
    </w:p>
    <w:p w14:paraId="173CB2AE" w14:textId="41CDBCB8" w:rsidR="00E3032B" w:rsidRPr="00271953" w:rsidRDefault="00AF3B7D" w:rsidP="00E3032B">
      <w:pPr>
        <w:spacing w:after="240"/>
        <w:outlineLvl w:val="0"/>
        <w:rPr>
          <w:b/>
        </w:rPr>
      </w:pPr>
      <w:r>
        <w:rPr>
          <w:b/>
        </w:rPr>
        <w:t>Reports submitted to the 87</w:t>
      </w:r>
      <w:r w:rsidRPr="00AF3B7D">
        <w:rPr>
          <w:b/>
          <w:vertAlign w:val="superscript"/>
        </w:rPr>
        <w:t>th</w:t>
      </w:r>
      <w:r>
        <w:rPr>
          <w:b/>
        </w:rPr>
        <w:t xml:space="preserve"> meeting</w:t>
      </w:r>
    </w:p>
    <w:p w14:paraId="0E9F8572" w14:textId="77777777" w:rsidR="00E3032B" w:rsidRPr="00271953" w:rsidRDefault="00E3032B" w:rsidP="00E3032B">
      <w:pPr>
        <w:numPr>
          <w:ilvl w:val="0"/>
          <w:numId w:val="1"/>
        </w:numPr>
        <w:spacing w:after="240"/>
        <w:outlineLvl w:val="0"/>
      </w:pPr>
      <w:r w:rsidRPr="00271953">
        <w:lastRenderedPageBreak/>
        <w:t>On behalf of the Government of China, the World Bank submitted to the 87</w:t>
      </w:r>
      <w:r w:rsidRPr="00271953">
        <w:rPr>
          <w:vertAlign w:val="superscript"/>
        </w:rPr>
        <w:t>th</w:t>
      </w:r>
      <w:r w:rsidRPr="00271953">
        <w:t xml:space="preserve"> meeting the financial audit reports as of 31 December 2020 for the halon and process agent II sector plans, and the corresponding PCRs, in line with decision 86/41.</w:t>
      </w:r>
    </w:p>
    <w:p w14:paraId="18CF1DCA" w14:textId="6F9EDA5D" w:rsidR="00E3032B" w:rsidRPr="00271953" w:rsidRDefault="00E3032B" w:rsidP="00657FF8">
      <w:pPr>
        <w:pStyle w:val="Heading1"/>
      </w:pPr>
      <w:r w:rsidRPr="00271953">
        <w:t xml:space="preserve">The financial audit report </w:t>
      </w:r>
      <w:r w:rsidR="004E1BEA">
        <w:t>indicates</w:t>
      </w:r>
      <w:r w:rsidR="00AF3B7D">
        <w:t xml:space="preserve"> a </w:t>
      </w:r>
      <w:r w:rsidRPr="00271953">
        <w:t xml:space="preserve">balance of </w:t>
      </w:r>
      <w:r w:rsidR="004826F1">
        <w:t>US $</w:t>
      </w:r>
      <w:r w:rsidRPr="00271953">
        <w:t xml:space="preserve">8,723,002 (Table 1) for the halon sector plan and cumulative interests of </w:t>
      </w:r>
      <w:r w:rsidR="004826F1">
        <w:t>US $</w:t>
      </w:r>
      <w:r w:rsidRPr="00271953">
        <w:t xml:space="preserve">22,163 from the halon </w:t>
      </w:r>
      <w:r w:rsidR="00657FF8" w:rsidRPr="002217AB">
        <w:t>and process agent II sector plans</w:t>
      </w:r>
      <w:r w:rsidR="00657FF8" w:rsidRPr="00657FF8">
        <w:t xml:space="preserve"> </w:t>
      </w:r>
      <w:r w:rsidR="00AF3B7D" w:rsidRPr="00271953">
        <w:t>to be returned to the Multilateral Fund</w:t>
      </w:r>
      <w:r w:rsidRPr="00271953">
        <w:t xml:space="preserve">. There are no balances from the process agent II </w:t>
      </w:r>
      <w:r w:rsidR="00AF3B7D">
        <w:t xml:space="preserve">sector plan, </w:t>
      </w:r>
      <w:r w:rsidRPr="00271953">
        <w:t xml:space="preserve">as disbursements in 2020 </w:t>
      </w:r>
      <w:r w:rsidR="00AF3B7D">
        <w:t xml:space="preserve">amounted to </w:t>
      </w:r>
      <w:r w:rsidR="004826F1">
        <w:t>US $</w:t>
      </w:r>
      <w:r w:rsidRPr="00271953">
        <w:t xml:space="preserve">2,416,996, </w:t>
      </w:r>
      <w:r w:rsidR="00AF3B7D">
        <w:t xml:space="preserve">resulting </w:t>
      </w:r>
      <w:r w:rsidR="00304306">
        <w:t>i</w:t>
      </w:r>
      <w:r w:rsidR="00AF3B7D">
        <w:t xml:space="preserve">n </w:t>
      </w:r>
      <w:r w:rsidRPr="00271953">
        <w:t xml:space="preserve">a cumulative disbursement of </w:t>
      </w:r>
      <w:r w:rsidR="004826F1">
        <w:t>US $</w:t>
      </w:r>
      <w:r w:rsidRPr="00271953">
        <w:t xml:space="preserve">46,832,188, which is </w:t>
      </w:r>
      <w:r w:rsidR="004826F1">
        <w:t>US $</w:t>
      </w:r>
      <w:r w:rsidRPr="00271953">
        <w:t xml:space="preserve">332,188 above the </w:t>
      </w:r>
      <w:r w:rsidR="004826F1">
        <w:t>US $</w:t>
      </w:r>
      <w:r w:rsidRPr="00271953">
        <w:t>46,500,000 approved for the plan; those additional funds were provided by the Government as co-funding for the monitoring and management of the sector plan in 2020.</w:t>
      </w:r>
      <w:r w:rsidR="00777D22">
        <w:t xml:space="preserve"> Table 1 summarizes the balances </w:t>
      </w:r>
      <w:r w:rsidR="00777D22" w:rsidRPr="00777D22">
        <w:t>and interest</w:t>
      </w:r>
      <w:r w:rsidR="00777D22">
        <w:t xml:space="preserve"> accrued</w:t>
      </w:r>
      <w:r w:rsidR="00777D22" w:rsidRPr="00777D22">
        <w:t xml:space="preserve"> for </w:t>
      </w:r>
      <w:r w:rsidR="00304306">
        <w:t xml:space="preserve">the </w:t>
      </w:r>
      <w:r w:rsidR="00777D22" w:rsidRPr="00777D22">
        <w:t>halon and process agent II sector plans</w:t>
      </w:r>
      <w:r w:rsidR="00777D22">
        <w:t>.</w:t>
      </w:r>
    </w:p>
    <w:p w14:paraId="5CB68AC6" w14:textId="77777777" w:rsidR="00E3032B" w:rsidRPr="00271953" w:rsidRDefault="00E3032B" w:rsidP="00E3032B">
      <w:pPr>
        <w:outlineLvl w:val="0"/>
        <w:rPr>
          <w:b/>
        </w:rPr>
      </w:pPr>
      <w:r w:rsidRPr="00271953">
        <w:rPr>
          <w:b/>
        </w:rPr>
        <w:t>Table 1. Remaining balances and interest for halon and process agent II sector plans (</w:t>
      </w:r>
      <w:r w:rsidR="004826F1">
        <w:rPr>
          <w:b/>
        </w:rPr>
        <w:t>US $</w:t>
      </w:r>
      <w:r w:rsidRPr="00271953">
        <w:rPr>
          <w:b/>
        </w:rPr>
        <w:t>)</w:t>
      </w:r>
    </w:p>
    <w:tbl>
      <w:tblPr>
        <w:tblW w:w="5000" w:type="pct"/>
        <w:tblLook w:val="04A0" w:firstRow="1" w:lastRow="0" w:firstColumn="1" w:lastColumn="0" w:noHBand="0" w:noVBand="1"/>
      </w:tblPr>
      <w:tblGrid>
        <w:gridCol w:w="2481"/>
        <w:gridCol w:w="1919"/>
        <w:gridCol w:w="1894"/>
        <w:gridCol w:w="1339"/>
        <w:gridCol w:w="1717"/>
      </w:tblGrid>
      <w:tr w:rsidR="00E3032B" w:rsidRPr="00271953" w14:paraId="0119C91D" w14:textId="77777777" w:rsidTr="001474DD">
        <w:trPr>
          <w:tblHeader/>
        </w:trPr>
        <w:tc>
          <w:tcPr>
            <w:tcW w:w="1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6B734" w14:textId="77777777" w:rsidR="00E3032B" w:rsidRPr="00271953" w:rsidRDefault="00E3032B" w:rsidP="00F63C85">
            <w:pPr>
              <w:jc w:val="left"/>
              <w:rPr>
                <w:b/>
                <w:color w:val="000000"/>
                <w:sz w:val="20"/>
                <w:szCs w:val="20"/>
                <w:lang w:eastAsia="en-CA"/>
              </w:rPr>
            </w:pPr>
            <w:r w:rsidRPr="00271953">
              <w:rPr>
                <w:b/>
                <w:color w:val="000000"/>
                <w:sz w:val="20"/>
                <w:szCs w:val="20"/>
                <w:lang w:eastAsia="en-CA"/>
              </w:rPr>
              <w:t>Activity</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14:paraId="50DF2799" w14:textId="4809F703" w:rsidR="00E3032B" w:rsidRPr="00271953" w:rsidRDefault="00E3032B" w:rsidP="00F63C85">
            <w:pPr>
              <w:jc w:val="center"/>
              <w:rPr>
                <w:b/>
                <w:color w:val="000000"/>
                <w:sz w:val="20"/>
                <w:szCs w:val="20"/>
                <w:lang w:eastAsia="en-CA"/>
              </w:rPr>
            </w:pPr>
            <w:r w:rsidRPr="00271953">
              <w:rPr>
                <w:b/>
                <w:color w:val="000000"/>
                <w:sz w:val="20"/>
                <w:szCs w:val="20"/>
                <w:lang w:eastAsia="en-CA"/>
              </w:rPr>
              <w:t>Balance as at 31 Dec</w:t>
            </w:r>
            <w:r w:rsidR="00304306">
              <w:rPr>
                <w:b/>
                <w:color w:val="000000"/>
                <w:sz w:val="20"/>
                <w:szCs w:val="20"/>
                <w:lang w:eastAsia="en-CA"/>
              </w:rPr>
              <w:t>ember</w:t>
            </w:r>
            <w:r w:rsidRPr="00271953">
              <w:rPr>
                <w:b/>
                <w:color w:val="000000"/>
                <w:sz w:val="20"/>
                <w:szCs w:val="20"/>
                <w:lang w:eastAsia="en-CA"/>
              </w:rPr>
              <w:t xml:space="preserve"> 2019</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14:paraId="1BFEED07" w14:textId="584BEB63" w:rsidR="00E3032B" w:rsidRPr="00271953" w:rsidRDefault="00E3032B" w:rsidP="00F63C85">
            <w:pPr>
              <w:jc w:val="center"/>
              <w:rPr>
                <w:b/>
                <w:color w:val="000000"/>
                <w:sz w:val="20"/>
                <w:szCs w:val="20"/>
                <w:lang w:eastAsia="en-CA"/>
              </w:rPr>
            </w:pPr>
            <w:r w:rsidRPr="00271953">
              <w:rPr>
                <w:b/>
                <w:color w:val="000000"/>
                <w:sz w:val="20"/>
                <w:szCs w:val="20"/>
                <w:lang w:eastAsia="en-CA"/>
              </w:rPr>
              <w:t>Balance as at 31 Dec</w:t>
            </w:r>
            <w:r w:rsidR="00304306">
              <w:rPr>
                <w:b/>
                <w:color w:val="000000"/>
                <w:sz w:val="20"/>
                <w:szCs w:val="20"/>
                <w:lang w:eastAsia="en-CA"/>
              </w:rPr>
              <w:t>ember</w:t>
            </w:r>
            <w:r w:rsidRPr="00271953">
              <w:rPr>
                <w:b/>
                <w:color w:val="000000"/>
                <w:sz w:val="20"/>
                <w:szCs w:val="20"/>
                <w:lang w:eastAsia="en-CA"/>
              </w:rPr>
              <w:t xml:space="preserve"> 2020 </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1DD7F438" w14:textId="77777777" w:rsidR="00E3032B" w:rsidRPr="00271953" w:rsidRDefault="00E3032B" w:rsidP="00F63C85">
            <w:pPr>
              <w:jc w:val="center"/>
              <w:rPr>
                <w:b/>
                <w:color w:val="000000"/>
                <w:sz w:val="20"/>
                <w:szCs w:val="20"/>
                <w:lang w:eastAsia="en-CA"/>
              </w:rPr>
            </w:pPr>
            <w:r w:rsidRPr="00271953">
              <w:rPr>
                <w:b/>
                <w:color w:val="000000"/>
                <w:sz w:val="20"/>
                <w:szCs w:val="20"/>
                <w:lang w:eastAsia="en-CA"/>
              </w:rPr>
              <w:t>Cumulative interest</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00C0D78C" w14:textId="77777777" w:rsidR="00E3032B" w:rsidRPr="00271953" w:rsidRDefault="00E3032B" w:rsidP="00F63C85">
            <w:pPr>
              <w:jc w:val="center"/>
              <w:rPr>
                <w:b/>
                <w:color w:val="000000"/>
                <w:sz w:val="20"/>
                <w:szCs w:val="20"/>
                <w:lang w:eastAsia="en-CA"/>
              </w:rPr>
            </w:pPr>
            <w:r w:rsidRPr="00271953">
              <w:rPr>
                <w:b/>
                <w:color w:val="000000"/>
                <w:sz w:val="20"/>
                <w:szCs w:val="20"/>
                <w:lang w:eastAsia="en-CA"/>
              </w:rPr>
              <w:t>Completion date</w:t>
            </w:r>
          </w:p>
        </w:tc>
      </w:tr>
      <w:tr w:rsidR="00E3032B" w:rsidRPr="00271953" w14:paraId="31F34E0C" w14:textId="77777777" w:rsidTr="001474DD">
        <w:tc>
          <w:tcPr>
            <w:tcW w:w="1327" w:type="pct"/>
            <w:tcBorders>
              <w:top w:val="nil"/>
              <w:left w:val="single" w:sz="4" w:space="0" w:color="auto"/>
              <w:bottom w:val="single" w:sz="4" w:space="0" w:color="auto"/>
              <w:right w:val="single" w:sz="4" w:space="0" w:color="auto"/>
            </w:tcBorders>
            <w:shd w:val="clear" w:color="auto" w:fill="auto"/>
            <w:vAlign w:val="center"/>
            <w:hideMark/>
          </w:tcPr>
          <w:p w14:paraId="55451A4D" w14:textId="3A67D61E" w:rsidR="00E3032B" w:rsidRPr="00271953" w:rsidRDefault="00E3032B" w:rsidP="00777D22">
            <w:pPr>
              <w:jc w:val="left"/>
              <w:rPr>
                <w:color w:val="000000"/>
                <w:sz w:val="20"/>
                <w:szCs w:val="20"/>
                <w:lang w:eastAsia="en-CA"/>
              </w:rPr>
            </w:pPr>
            <w:r w:rsidRPr="00271953">
              <w:rPr>
                <w:color w:val="000000"/>
                <w:sz w:val="20"/>
                <w:szCs w:val="20"/>
                <w:lang w:eastAsia="en-CA"/>
              </w:rPr>
              <w:t xml:space="preserve">Halon sector </w:t>
            </w:r>
          </w:p>
        </w:tc>
        <w:tc>
          <w:tcPr>
            <w:tcW w:w="1026" w:type="pct"/>
            <w:tcBorders>
              <w:top w:val="nil"/>
              <w:left w:val="nil"/>
              <w:bottom w:val="single" w:sz="4" w:space="0" w:color="auto"/>
              <w:right w:val="single" w:sz="4" w:space="0" w:color="auto"/>
            </w:tcBorders>
            <w:shd w:val="clear" w:color="auto" w:fill="auto"/>
            <w:noWrap/>
            <w:vAlign w:val="center"/>
          </w:tcPr>
          <w:p w14:paraId="570EED39" w14:textId="77777777" w:rsidR="00E3032B" w:rsidRPr="00271953" w:rsidRDefault="00E3032B" w:rsidP="00F63C85">
            <w:pPr>
              <w:jc w:val="right"/>
              <w:rPr>
                <w:color w:val="000000"/>
                <w:sz w:val="20"/>
                <w:szCs w:val="20"/>
                <w:lang w:eastAsia="en-CA"/>
              </w:rPr>
            </w:pPr>
            <w:r w:rsidRPr="00271953">
              <w:rPr>
                <w:color w:val="000000"/>
                <w:sz w:val="20"/>
                <w:szCs w:val="20"/>
                <w:lang w:eastAsia="en-CA"/>
              </w:rPr>
              <w:t>8,913,167</w:t>
            </w:r>
          </w:p>
        </w:tc>
        <w:tc>
          <w:tcPr>
            <w:tcW w:w="1013" w:type="pct"/>
            <w:tcBorders>
              <w:top w:val="nil"/>
              <w:left w:val="nil"/>
              <w:bottom w:val="single" w:sz="4" w:space="0" w:color="auto"/>
              <w:right w:val="single" w:sz="4" w:space="0" w:color="auto"/>
            </w:tcBorders>
            <w:shd w:val="clear" w:color="auto" w:fill="auto"/>
            <w:noWrap/>
            <w:vAlign w:val="center"/>
          </w:tcPr>
          <w:p w14:paraId="72AF8EDA" w14:textId="77777777" w:rsidR="00E3032B" w:rsidRPr="00271953" w:rsidRDefault="00E3032B" w:rsidP="00F63C85">
            <w:pPr>
              <w:jc w:val="right"/>
              <w:rPr>
                <w:color w:val="000000"/>
                <w:sz w:val="20"/>
                <w:szCs w:val="20"/>
                <w:lang w:eastAsia="en-CA"/>
              </w:rPr>
            </w:pPr>
            <w:r w:rsidRPr="00271953">
              <w:rPr>
                <w:color w:val="000000"/>
                <w:sz w:val="20"/>
                <w:szCs w:val="20"/>
                <w:lang w:eastAsia="en-CA"/>
              </w:rPr>
              <w:t>8,723,002</w:t>
            </w:r>
          </w:p>
        </w:tc>
        <w:tc>
          <w:tcPr>
            <w:tcW w:w="716" w:type="pct"/>
            <w:vMerge w:val="restart"/>
            <w:tcBorders>
              <w:top w:val="nil"/>
              <w:left w:val="single" w:sz="4" w:space="0" w:color="auto"/>
              <w:bottom w:val="single" w:sz="4" w:space="0" w:color="auto"/>
              <w:right w:val="single" w:sz="4" w:space="0" w:color="auto"/>
            </w:tcBorders>
            <w:shd w:val="clear" w:color="auto" w:fill="auto"/>
            <w:vAlign w:val="center"/>
            <w:hideMark/>
          </w:tcPr>
          <w:p w14:paraId="540837A8" w14:textId="77777777" w:rsidR="00E3032B" w:rsidRPr="00271953" w:rsidRDefault="00E3032B" w:rsidP="00F63C85">
            <w:pPr>
              <w:jc w:val="right"/>
              <w:rPr>
                <w:color w:val="000000"/>
                <w:sz w:val="20"/>
                <w:szCs w:val="20"/>
                <w:lang w:eastAsia="en-CA"/>
              </w:rPr>
            </w:pPr>
            <w:r w:rsidRPr="00271953">
              <w:rPr>
                <w:color w:val="000000"/>
                <w:sz w:val="20"/>
                <w:szCs w:val="20"/>
                <w:lang w:eastAsia="en-CA"/>
              </w:rPr>
              <w:t>22,163</w:t>
            </w:r>
          </w:p>
        </w:tc>
        <w:tc>
          <w:tcPr>
            <w:tcW w:w="918" w:type="pct"/>
            <w:tcBorders>
              <w:top w:val="nil"/>
              <w:left w:val="nil"/>
              <w:bottom w:val="single" w:sz="4" w:space="0" w:color="auto"/>
              <w:right w:val="single" w:sz="4" w:space="0" w:color="auto"/>
            </w:tcBorders>
            <w:shd w:val="clear" w:color="auto" w:fill="auto"/>
            <w:noWrap/>
            <w:vAlign w:val="center"/>
            <w:hideMark/>
          </w:tcPr>
          <w:p w14:paraId="5A4C089D" w14:textId="586F49AA" w:rsidR="00E3032B" w:rsidRPr="00271953" w:rsidRDefault="00E3032B" w:rsidP="00101847">
            <w:pPr>
              <w:jc w:val="center"/>
              <w:rPr>
                <w:color w:val="000000"/>
                <w:sz w:val="20"/>
                <w:szCs w:val="20"/>
                <w:lang w:eastAsia="en-CA"/>
              </w:rPr>
            </w:pPr>
            <w:r w:rsidRPr="00271953">
              <w:rPr>
                <w:color w:val="000000"/>
                <w:sz w:val="20"/>
                <w:szCs w:val="20"/>
                <w:lang w:eastAsia="en-CA"/>
              </w:rPr>
              <w:t>Dec</w:t>
            </w:r>
            <w:r w:rsidR="00101847">
              <w:rPr>
                <w:color w:val="000000"/>
                <w:sz w:val="20"/>
                <w:szCs w:val="20"/>
                <w:lang w:eastAsia="en-CA"/>
              </w:rPr>
              <w:t>ember</w:t>
            </w:r>
            <w:r w:rsidRPr="00271953">
              <w:rPr>
                <w:color w:val="000000"/>
                <w:sz w:val="20"/>
                <w:szCs w:val="20"/>
                <w:lang w:eastAsia="en-CA"/>
              </w:rPr>
              <w:t xml:space="preserve"> 2020</w:t>
            </w:r>
          </w:p>
        </w:tc>
      </w:tr>
      <w:tr w:rsidR="00E3032B" w:rsidRPr="00271953" w14:paraId="40C2F0C7" w14:textId="77777777" w:rsidTr="001474DD">
        <w:tc>
          <w:tcPr>
            <w:tcW w:w="1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5E21F" w14:textId="6A445DE1" w:rsidR="00E3032B" w:rsidRPr="00271953" w:rsidRDefault="00E3032B" w:rsidP="00777D22">
            <w:pPr>
              <w:jc w:val="left"/>
              <w:rPr>
                <w:color w:val="000000"/>
                <w:sz w:val="20"/>
                <w:szCs w:val="20"/>
                <w:lang w:eastAsia="en-CA"/>
              </w:rPr>
            </w:pPr>
            <w:r w:rsidRPr="00271953">
              <w:rPr>
                <w:color w:val="000000"/>
                <w:sz w:val="20"/>
                <w:szCs w:val="20"/>
                <w:lang w:eastAsia="en-CA"/>
              </w:rPr>
              <w:t xml:space="preserve">Process agent II </w:t>
            </w:r>
          </w:p>
        </w:tc>
        <w:tc>
          <w:tcPr>
            <w:tcW w:w="1026" w:type="pct"/>
            <w:tcBorders>
              <w:top w:val="single" w:sz="4" w:space="0" w:color="auto"/>
              <w:left w:val="nil"/>
              <w:bottom w:val="single" w:sz="4" w:space="0" w:color="auto"/>
              <w:right w:val="single" w:sz="4" w:space="0" w:color="auto"/>
            </w:tcBorders>
            <w:shd w:val="clear" w:color="auto" w:fill="auto"/>
            <w:noWrap/>
            <w:vAlign w:val="center"/>
          </w:tcPr>
          <w:p w14:paraId="22C0AF35" w14:textId="77777777" w:rsidR="00E3032B" w:rsidRPr="00271953" w:rsidRDefault="00E3032B" w:rsidP="00F63C85">
            <w:pPr>
              <w:jc w:val="right"/>
              <w:rPr>
                <w:color w:val="000000"/>
                <w:sz w:val="20"/>
                <w:szCs w:val="20"/>
                <w:lang w:eastAsia="en-CA"/>
              </w:rPr>
            </w:pPr>
            <w:r w:rsidRPr="00271953">
              <w:rPr>
                <w:color w:val="000000"/>
                <w:sz w:val="20"/>
                <w:szCs w:val="20"/>
                <w:lang w:eastAsia="en-CA"/>
              </w:rPr>
              <w:t>2,084,808</w:t>
            </w: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550E45F7" w14:textId="77777777" w:rsidR="00E3032B" w:rsidRPr="00271953" w:rsidRDefault="00E3032B" w:rsidP="00F63C85">
            <w:pPr>
              <w:jc w:val="right"/>
              <w:rPr>
                <w:color w:val="000000"/>
                <w:sz w:val="20"/>
                <w:szCs w:val="20"/>
                <w:lang w:eastAsia="en-CA"/>
              </w:rPr>
            </w:pPr>
            <w:r w:rsidRPr="00271953">
              <w:rPr>
                <w:color w:val="000000"/>
                <w:sz w:val="20"/>
                <w:szCs w:val="20"/>
                <w:lang w:eastAsia="en-CA"/>
              </w:rPr>
              <w:t>-332,188*</w:t>
            </w:r>
          </w:p>
        </w:tc>
        <w:tc>
          <w:tcPr>
            <w:tcW w:w="7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9EFA09" w14:textId="77777777" w:rsidR="00E3032B" w:rsidRPr="00271953" w:rsidRDefault="00E3032B" w:rsidP="00F63C85">
            <w:pPr>
              <w:jc w:val="left"/>
              <w:rPr>
                <w:color w:val="000000"/>
                <w:sz w:val="20"/>
                <w:szCs w:val="20"/>
                <w:lang w:eastAsia="en-CA"/>
              </w:rPr>
            </w:pPr>
          </w:p>
        </w:tc>
        <w:tc>
          <w:tcPr>
            <w:tcW w:w="918" w:type="pct"/>
            <w:tcBorders>
              <w:top w:val="single" w:sz="4" w:space="0" w:color="auto"/>
              <w:left w:val="nil"/>
              <w:bottom w:val="single" w:sz="4" w:space="0" w:color="auto"/>
              <w:right w:val="single" w:sz="4" w:space="0" w:color="auto"/>
            </w:tcBorders>
            <w:shd w:val="clear" w:color="auto" w:fill="auto"/>
            <w:noWrap/>
            <w:vAlign w:val="center"/>
            <w:hideMark/>
          </w:tcPr>
          <w:p w14:paraId="30EAF4ED" w14:textId="48A5D0B6" w:rsidR="00E3032B" w:rsidRPr="00271953" w:rsidRDefault="00E3032B" w:rsidP="00101847">
            <w:pPr>
              <w:jc w:val="center"/>
              <w:rPr>
                <w:color w:val="000000"/>
                <w:sz w:val="20"/>
                <w:szCs w:val="20"/>
                <w:lang w:eastAsia="en-CA"/>
              </w:rPr>
            </w:pPr>
            <w:r w:rsidRPr="00271953">
              <w:rPr>
                <w:color w:val="000000"/>
                <w:sz w:val="20"/>
                <w:szCs w:val="20"/>
                <w:lang w:eastAsia="en-CA"/>
              </w:rPr>
              <w:t>De</w:t>
            </w:r>
            <w:r w:rsidR="00101847">
              <w:rPr>
                <w:color w:val="000000"/>
                <w:sz w:val="20"/>
                <w:szCs w:val="20"/>
                <w:lang w:eastAsia="en-CA"/>
              </w:rPr>
              <w:t>cember</w:t>
            </w:r>
            <w:r w:rsidRPr="00271953">
              <w:rPr>
                <w:color w:val="000000"/>
                <w:sz w:val="20"/>
                <w:szCs w:val="20"/>
                <w:lang w:eastAsia="en-CA"/>
              </w:rPr>
              <w:t xml:space="preserve"> 2020</w:t>
            </w:r>
          </w:p>
        </w:tc>
      </w:tr>
    </w:tbl>
    <w:p w14:paraId="119BE37A" w14:textId="77777777" w:rsidR="00E3032B" w:rsidRPr="00271953" w:rsidRDefault="00E3032B" w:rsidP="00E3032B">
      <w:pPr>
        <w:spacing w:after="240"/>
        <w:rPr>
          <w:sz w:val="18"/>
          <w:szCs w:val="18"/>
        </w:rPr>
      </w:pPr>
      <w:r w:rsidRPr="00271953">
        <w:rPr>
          <w:sz w:val="18"/>
          <w:szCs w:val="18"/>
        </w:rPr>
        <w:t>*Funds provided by the Government as co-funding for the monitoring and management of the sector plan in 2020</w:t>
      </w:r>
      <w:r w:rsidR="00777D22">
        <w:rPr>
          <w:sz w:val="18"/>
          <w:szCs w:val="18"/>
        </w:rPr>
        <w:t>.</w:t>
      </w:r>
    </w:p>
    <w:p w14:paraId="2472895A" w14:textId="77777777" w:rsidR="00E3032B" w:rsidRPr="00271953" w:rsidRDefault="00E3032B" w:rsidP="00E3032B">
      <w:pPr>
        <w:spacing w:after="240"/>
        <w:rPr>
          <w:b/>
        </w:rPr>
      </w:pPr>
      <w:r w:rsidRPr="00271953">
        <w:rPr>
          <w:b/>
        </w:rPr>
        <w:t>Secretariat’s comments</w:t>
      </w:r>
    </w:p>
    <w:p w14:paraId="590C06DA" w14:textId="6901F07D" w:rsidR="00E3032B" w:rsidRPr="00271953" w:rsidRDefault="00E3032B" w:rsidP="00E3032B">
      <w:pPr>
        <w:widowControl w:val="0"/>
        <w:numPr>
          <w:ilvl w:val="0"/>
          <w:numId w:val="1"/>
        </w:numPr>
        <w:spacing w:after="240"/>
        <w:outlineLvl w:val="0"/>
      </w:pPr>
      <w:r w:rsidRPr="00271953">
        <w:t xml:space="preserve">The Secretariat noted with appreciation that the Government of China had completed </w:t>
      </w:r>
      <w:r w:rsidR="00101847" w:rsidRPr="00271953">
        <w:t>the CFC production, PU foam, solvent and servicing sector plans by 31 December 2019,</w:t>
      </w:r>
      <w:r w:rsidR="00101847">
        <w:t xml:space="preserve"> </w:t>
      </w:r>
      <w:r w:rsidRPr="00271953">
        <w:t>the halon and process agent</w:t>
      </w:r>
      <w:r w:rsidR="001474DD">
        <w:t> </w:t>
      </w:r>
      <w:r w:rsidRPr="00271953">
        <w:t xml:space="preserve">II sector plans by 31 December 2020, and balances associated with those sector plans, including accrued interest, had been returned to the Multilateral Fund or would be returned to the </w:t>
      </w:r>
      <w:r w:rsidR="00101847">
        <w:t>87</w:t>
      </w:r>
      <w:r w:rsidR="00101847" w:rsidRPr="00101847">
        <w:rPr>
          <w:vertAlign w:val="superscript"/>
        </w:rPr>
        <w:t>th</w:t>
      </w:r>
      <w:r w:rsidR="001474DD">
        <w:t> </w:t>
      </w:r>
      <w:r w:rsidRPr="00271953">
        <w:t>meeting.</w:t>
      </w:r>
    </w:p>
    <w:p w14:paraId="3D6FCC23" w14:textId="4D8DBFF7" w:rsidR="00E3032B" w:rsidRPr="00271953" w:rsidRDefault="00E3032B" w:rsidP="00E3032B">
      <w:pPr>
        <w:numPr>
          <w:ilvl w:val="0"/>
          <w:numId w:val="1"/>
        </w:numPr>
        <w:spacing w:after="240"/>
        <w:outlineLvl w:val="0"/>
      </w:pPr>
      <w:r w:rsidRPr="00271953">
        <w:t>In line with decision 84/39(c)(iii),</w:t>
      </w:r>
      <w:r w:rsidRPr="00271953">
        <w:rPr>
          <w:vertAlign w:val="superscript"/>
        </w:rPr>
        <w:footnoteReference w:id="6"/>
      </w:r>
      <w:r w:rsidRPr="00271953">
        <w:t xml:space="preserve"> the World Bank informed that the local </w:t>
      </w:r>
      <w:r w:rsidR="00635D6A" w:rsidRPr="007978DE">
        <w:t>Ecology and Environment Bureaus (</w:t>
      </w:r>
      <w:r w:rsidRPr="007978DE">
        <w:t>EEBs</w:t>
      </w:r>
      <w:r w:rsidR="00635D6A" w:rsidRPr="007978DE">
        <w:t>)</w:t>
      </w:r>
      <w:r w:rsidRPr="007978DE">
        <w:t xml:space="preserve"> are continuing their efforts to carry out management and moni</w:t>
      </w:r>
      <w:r w:rsidRPr="00271953">
        <w:t xml:space="preserve">toring of ODS in accordance with ODS management policies and regulations. There were no additional results or </w:t>
      </w:r>
      <w:r w:rsidRPr="00271953">
        <w:lastRenderedPageBreak/>
        <w:t>cases of illegal consumption or production of CFC-11 for further update between the 86</w:t>
      </w:r>
      <w:r w:rsidRPr="00271953">
        <w:rPr>
          <w:vertAlign w:val="superscript"/>
        </w:rPr>
        <w:t>th,</w:t>
      </w:r>
      <w:r w:rsidRPr="00271953">
        <w:rPr>
          <w:vertAlign w:val="superscript"/>
        </w:rPr>
        <w:footnoteReference w:id="7"/>
      </w:r>
      <w:r w:rsidRPr="00271953">
        <w:t xml:space="preserve"> and 87</w:t>
      </w:r>
      <w:r w:rsidRPr="00271953">
        <w:rPr>
          <w:vertAlign w:val="superscript"/>
        </w:rPr>
        <w:t>th</w:t>
      </w:r>
      <w:r w:rsidRPr="00271953">
        <w:t xml:space="preserve"> meetings. </w:t>
      </w:r>
    </w:p>
    <w:p w14:paraId="04F7269F" w14:textId="77777777" w:rsidR="00E3032B" w:rsidRPr="00271953" w:rsidRDefault="00E3032B" w:rsidP="00E3032B">
      <w:pPr>
        <w:widowControl w:val="0"/>
        <w:numPr>
          <w:ilvl w:val="0"/>
          <w:numId w:val="1"/>
        </w:numPr>
        <w:spacing w:after="240"/>
        <w:outlineLvl w:val="0"/>
      </w:pPr>
      <w:r w:rsidRPr="00271953">
        <w:t xml:space="preserve">While the PCRs for the CFC production, PU foam, halon and process agent II sector </w:t>
      </w:r>
      <w:r w:rsidR="00101847">
        <w:t xml:space="preserve">plans </w:t>
      </w:r>
      <w:r w:rsidRPr="00271953">
        <w:t>contain financial data consistent with respective financial audit reports</w:t>
      </w:r>
      <w:r w:rsidR="00101847">
        <w:t>,</w:t>
      </w:r>
      <w:r w:rsidRPr="00271953">
        <w:t xml:space="preserve"> and the return of remaining balances to the Multilateral Fund, the PCRs for the refrigeration servicing and solvent sector plans, that had been completed in December 2019, do not. The Senior Monitoring and Evaluation Officer to be appointed in 2021 will need to continue working with the relevant implementing agencies to ensure the financial data is included in those PCRs. </w:t>
      </w:r>
    </w:p>
    <w:p w14:paraId="18915551" w14:textId="77777777" w:rsidR="00E3032B" w:rsidRPr="00271953" w:rsidRDefault="00E3032B" w:rsidP="00E3032B">
      <w:pPr>
        <w:widowControl w:val="0"/>
        <w:spacing w:after="240"/>
        <w:rPr>
          <w:b/>
          <w:bCs/>
        </w:rPr>
      </w:pPr>
      <w:r w:rsidRPr="00271953">
        <w:rPr>
          <w:b/>
          <w:bCs/>
        </w:rPr>
        <w:t>Recommendation</w:t>
      </w:r>
    </w:p>
    <w:p w14:paraId="1A82B6B5" w14:textId="77777777" w:rsidR="00E3032B" w:rsidRPr="00271953" w:rsidRDefault="00E3032B" w:rsidP="00E3032B">
      <w:pPr>
        <w:widowControl w:val="0"/>
        <w:numPr>
          <w:ilvl w:val="0"/>
          <w:numId w:val="1"/>
        </w:numPr>
        <w:spacing w:after="240"/>
        <w:outlineLvl w:val="0"/>
      </w:pPr>
      <w:r w:rsidRPr="00271953">
        <w:t>The Executive Committee may wish to note:</w:t>
      </w:r>
    </w:p>
    <w:p w14:paraId="23A7ECA9" w14:textId="77777777" w:rsidR="00E3032B" w:rsidRPr="00271953" w:rsidRDefault="00E3032B" w:rsidP="00E3032B">
      <w:pPr>
        <w:widowControl w:val="0"/>
        <w:numPr>
          <w:ilvl w:val="1"/>
          <w:numId w:val="1"/>
        </w:numPr>
        <w:spacing w:after="240"/>
        <w:outlineLvl w:val="1"/>
      </w:pPr>
      <w:r w:rsidRPr="00271953">
        <w:t xml:space="preserve">The financial audit report for the </w:t>
      </w:r>
      <w:r w:rsidRPr="00CF0D0B">
        <w:t>halon and process agent II sector</w:t>
      </w:r>
      <w:r w:rsidR="00101847" w:rsidRPr="00CF0D0B">
        <w:t xml:space="preserve"> plan</w:t>
      </w:r>
      <w:r w:rsidRPr="00CF0D0B">
        <w:t>s in China, contained in document UNEP/OzL.Pro/ExCom/87/</w:t>
      </w:r>
      <w:r w:rsidR="00AD043B" w:rsidRPr="00CF0D0B">
        <w:t>9</w:t>
      </w:r>
      <w:r w:rsidRPr="00CF0D0B">
        <w:t>/Add.1; and</w:t>
      </w:r>
    </w:p>
    <w:p w14:paraId="7C2EDDFE" w14:textId="3EBEC7FC" w:rsidR="00E3032B" w:rsidRPr="00271953" w:rsidRDefault="00E3032B" w:rsidP="00E3032B">
      <w:pPr>
        <w:widowControl w:val="0"/>
        <w:numPr>
          <w:ilvl w:val="1"/>
          <w:numId w:val="1"/>
        </w:numPr>
        <w:spacing w:after="240"/>
        <w:outlineLvl w:val="1"/>
      </w:pPr>
      <w:r w:rsidRPr="00271953">
        <w:t xml:space="preserve">That the World Bank will return the remaining balance of </w:t>
      </w:r>
      <w:r w:rsidR="004826F1">
        <w:t>US $</w:t>
      </w:r>
      <w:r w:rsidRPr="00271953">
        <w:t>8,723,002</w:t>
      </w:r>
      <w:r w:rsidR="009B705C">
        <w:t xml:space="preserve"> from the halon sector plan</w:t>
      </w:r>
      <w:r w:rsidRPr="00271953">
        <w:t xml:space="preserve">, and accumulated interest of </w:t>
      </w:r>
      <w:r w:rsidR="004826F1">
        <w:t>US $</w:t>
      </w:r>
      <w:r w:rsidRPr="00271953">
        <w:t xml:space="preserve">22,163, </w:t>
      </w:r>
      <w:r w:rsidR="00101847">
        <w:t xml:space="preserve">associated with the halon </w:t>
      </w:r>
      <w:r w:rsidR="00CA43CE">
        <w:t xml:space="preserve">and process agent II </w:t>
      </w:r>
      <w:r w:rsidR="00101847">
        <w:t>sector plan</w:t>
      </w:r>
      <w:r w:rsidR="00CA43CE">
        <w:t>s</w:t>
      </w:r>
      <w:r w:rsidR="00101847">
        <w:t xml:space="preserve">, </w:t>
      </w:r>
      <w:r w:rsidRPr="00271953">
        <w:t>to the 87</w:t>
      </w:r>
      <w:r w:rsidRPr="00271953">
        <w:rPr>
          <w:vertAlign w:val="superscript"/>
        </w:rPr>
        <w:t>th</w:t>
      </w:r>
      <w:r w:rsidRPr="00271953">
        <w:t> meeting</w:t>
      </w:r>
      <w:r w:rsidR="00CB4D66">
        <w:t>.</w:t>
      </w:r>
    </w:p>
    <w:p w14:paraId="16891671" w14:textId="1D6DD323" w:rsidR="001474DD" w:rsidRDefault="001474DD">
      <w:pPr>
        <w:jc w:val="left"/>
        <w:rPr>
          <w:b/>
        </w:rPr>
      </w:pPr>
      <w:r>
        <w:rPr>
          <w:b/>
        </w:rPr>
        <w:br w:type="page"/>
      </w:r>
    </w:p>
    <w:p w14:paraId="0B5CED63" w14:textId="42E9986B" w:rsidR="00E3032B" w:rsidRPr="00271953" w:rsidRDefault="00E3032B" w:rsidP="00E3032B">
      <w:pPr>
        <w:spacing w:after="240"/>
        <w:ind w:left="1440" w:hanging="1440"/>
      </w:pPr>
      <w:r w:rsidRPr="00271953">
        <w:rPr>
          <w:b/>
        </w:rPr>
        <w:lastRenderedPageBreak/>
        <w:t>PART II</w:t>
      </w:r>
      <w:r w:rsidRPr="00271953">
        <w:rPr>
          <w:b/>
        </w:rPr>
        <w:tab/>
        <w:t>REPORT ON PROGRESS IN THE IMPLEMENTATION OF ACTIVITIES LISTED IN DECISION 83/41(e)</w:t>
      </w:r>
    </w:p>
    <w:p w14:paraId="070BAB5C" w14:textId="77777777" w:rsidR="00E3032B" w:rsidRPr="00271953" w:rsidRDefault="00E3032B" w:rsidP="00E3032B">
      <w:pPr>
        <w:rPr>
          <w:b/>
        </w:rPr>
      </w:pPr>
      <w:r w:rsidRPr="00271953">
        <w:rPr>
          <w:b/>
        </w:rPr>
        <w:t xml:space="preserve">Background </w:t>
      </w:r>
    </w:p>
    <w:p w14:paraId="65B9AB55" w14:textId="77777777" w:rsidR="00E3032B" w:rsidRPr="00271953" w:rsidRDefault="00E3032B" w:rsidP="00E3032B"/>
    <w:p w14:paraId="1EEEBD96" w14:textId="77777777" w:rsidR="00E3032B" w:rsidRPr="00271953" w:rsidRDefault="00E3032B" w:rsidP="00E3032B">
      <w:pPr>
        <w:numPr>
          <w:ilvl w:val="0"/>
          <w:numId w:val="1"/>
        </w:numPr>
        <w:spacing w:after="240"/>
        <w:outlineLvl w:val="0"/>
      </w:pPr>
      <w:r w:rsidRPr="00271953">
        <w:t>At its 83</w:t>
      </w:r>
      <w:r w:rsidRPr="00271953">
        <w:rPr>
          <w:vertAlign w:val="superscript"/>
        </w:rPr>
        <w:t>rd</w:t>
      </w:r>
      <w:r w:rsidRPr="00271953">
        <w:t> meeting, the Executive Committee considered the following two documents:</w:t>
      </w:r>
    </w:p>
    <w:p w14:paraId="47EBF7F0" w14:textId="77777777" w:rsidR="00E3032B" w:rsidRPr="00271953" w:rsidRDefault="00E3032B" w:rsidP="00E3032B">
      <w:pPr>
        <w:widowControl w:val="0"/>
        <w:numPr>
          <w:ilvl w:val="1"/>
          <w:numId w:val="1"/>
        </w:numPr>
        <w:spacing w:after="240"/>
        <w:outlineLvl w:val="1"/>
      </w:pPr>
      <w:r w:rsidRPr="00271953">
        <w:t>Review of current monitoring, reporting, verification and enforcement (MRVE) systems in accordance with HCFC consumption and production phase-out management plan Agreements between the Government of China and the Executive Committee, submitted by UNDP on behalf of the Government of China, in line with decisions 82/65 and 82/71(a); and</w:t>
      </w:r>
    </w:p>
    <w:p w14:paraId="429380DD" w14:textId="77777777" w:rsidR="00E3032B" w:rsidRPr="00271953" w:rsidRDefault="00E3032B" w:rsidP="00E3032B">
      <w:pPr>
        <w:widowControl w:val="0"/>
        <w:numPr>
          <w:ilvl w:val="1"/>
          <w:numId w:val="1"/>
        </w:numPr>
        <w:spacing w:after="240"/>
        <w:outlineLvl w:val="1"/>
      </w:pPr>
      <w:r w:rsidRPr="00271953">
        <w:t xml:space="preserve">Desk study on the current system of monitoring consumption of foam-blowing agents at enterprises assisted under stage I of the HCFC phase-out management plan and verification methodology submitted by the World Bank on behalf of the Government of China in line with decision 82/67(c). </w:t>
      </w:r>
    </w:p>
    <w:p w14:paraId="2FC36D7C" w14:textId="77777777" w:rsidR="00E3032B" w:rsidRPr="00271953" w:rsidRDefault="00E3032B" w:rsidP="00E3032B">
      <w:pPr>
        <w:numPr>
          <w:ilvl w:val="0"/>
          <w:numId w:val="1"/>
        </w:numPr>
        <w:spacing w:after="240"/>
        <w:outlineLvl w:val="0"/>
      </w:pPr>
      <w:r w:rsidRPr="00271953">
        <w:t xml:space="preserve">In its deliberations, the Committee </w:t>
      </w:r>
      <w:r w:rsidRPr="00271953">
        <w:rPr>
          <w:i/>
        </w:rPr>
        <w:t>inter alia</w:t>
      </w:r>
      <w:r w:rsidRPr="00271953">
        <w:t xml:space="preserve"> welcomed a number of regulatory and enforcement actions to be undertaken by the Government; noted with appreciation that the Government will undertake additional actions in support of its enforcement actions; and further noted with appreciation that the Government will consider a set of suggestions to supplement and augment its regulatory and enforcement actions. The Executive Committee also noted that the Government of China would submit a report at the 84</w:t>
      </w:r>
      <w:r w:rsidRPr="00271953">
        <w:rPr>
          <w:vertAlign w:val="superscript"/>
        </w:rPr>
        <w:t>th</w:t>
      </w:r>
      <w:r w:rsidRPr="00271953">
        <w:t> meeting, and again to the 86</w:t>
      </w:r>
      <w:r w:rsidRPr="00271953">
        <w:rPr>
          <w:vertAlign w:val="superscript"/>
        </w:rPr>
        <w:t>th</w:t>
      </w:r>
      <w:r w:rsidRPr="00271953">
        <w:t> meeting, on its progress in implementing the activities described in sub</w:t>
      </w:r>
      <w:r w:rsidRPr="00271953">
        <w:noBreakHyphen/>
        <w:t>paragraphs (a) to (d) of decision 83/41.</w:t>
      </w:r>
    </w:p>
    <w:p w14:paraId="774C07A8" w14:textId="77777777" w:rsidR="00E3032B" w:rsidRPr="00271953" w:rsidRDefault="00E3032B" w:rsidP="00E3032B">
      <w:pPr>
        <w:numPr>
          <w:ilvl w:val="0"/>
          <w:numId w:val="1"/>
        </w:numPr>
        <w:spacing w:after="240"/>
        <w:outlineLvl w:val="0"/>
      </w:pPr>
      <w:r w:rsidRPr="00271953">
        <w:t>At its 84</w:t>
      </w:r>
      <w:r w:rsidRPr="00271953">
        <w:rPr>
          <w:vertAlign w:val="superscript"/>
        </w:rPr>
        <w:t>th</w:t>
      </w:r>
      <w:r w:rsidRPr="00271953">
        <w:t> meeting, the Executive Committee considered the progress report submitted by the Government of China in line with decision 83/41(e).</w:t>
      </w:r>
      <w:r w:rsidRPr="00271953">
        <w:rPr>
          <w:vertAlign w:val="superscript"/>
        </w:rPr>
        <w:footnoteReference w:id="8"/>
      </w:r>
      <w:r w:rsidRPr="00271953" w:rsidDel="00D959A4">
        <w:t xml:space="preserve"> </w:t>
      </w:r>
      <w:r w:rsidRPr="00271953">
        <w:t xml:space="preserve">Subsequent to a discussion, the Executive </w:t>
      </w:r>
      <w:r w:rsidRPr="00271953">
        <w:lastRenderedPageBreak/>
        <w:t>Committee took note of the information provided by the representative of the Government of China regarding implementation of the activities listed in decision 83/41.</w:t>
      </w:r>
    </w:p>
    <w:p w14:paraId="3ACEC186" w14:textId="297BCAC7" w:rsidR="00E3032B" w:rsidRPr="00774AE8" w:rsidRDefault="00E3032B" w:rsidP="00E3032B">
      <w:pPr>
        <w:numPr>
          <w:ilvl w:val="0"/>
          <w:numId w:val="1"/>
        </w:numPr>
        <w:spacing w:after="240"/>
        <w:outlineLvl w:val="0"/>
      </w:pPr>
      <w:r w:rsidRPr="00774AE8">
        <w:t>The Government of China had submitted to the 86</w:t>
      </w:r>
      <w:r w:rsidRPr="00774AE8">
        <w:rPr>
          <w:vertAlign w:val="superscript"/>
        </w:rPr>
        <w:t>th</w:t>
      </w:r>
      <w:r w:rsidRPr="00774AE8">
        <w:t xml:space="preserve"> meeting a </w:t>
      </w:r>
      <w:r w:rsidR="00125FBF" w:rsidRPr="00774AE8">
        <w:t>p</w:t>
      </w:r>
      <w:r w:rsidRPr="00774AE8">
        <w:t>rogress report pursuant to decision 83/41 (“</w:t>
      </w:r>
      <w:r w:rsidR="00CA43CE" w:rsidRPr="00774AE8">
        <w:rPr>
          <w:i/>
        </w:rPr>
        <w:t>p</w:t>
      </w:r>
      <w:r w:rsidRPr="00774AE8">
        <w:rPr>
          <w:i/>
        </w:rPr>
        <w:t xml:space="preserve">rogress </w:t>
      </w:r>
      <w:r w:rsidR="00CA43CE" w:rsidRPr="00774AE8">
        <w:rPr>
          <w:i/>
        </w:rPr>
        <w:t>r</w:t>
      </w:r>
      <w:r w:rsidRPr="00774AE8">
        <w:rPr>
          <w:i/>
        </w:rPr>
        <w:t>eport</w:t>
      </w:r>
      <w:r w:rsidRPr="00774AE8">
        <w:t xml:space="preserve">”). The Executive Committee deferred consideration of the </w:t>
      </w:r>
      <w:r w:rsidR="00125FBF" w:rsidRPr="00774AE8">
        <w:t>p</w:t>
      </w:r>
      <w:r w:rsidRPr="00774AE8">
        <w:t xml:space="preserve">rogress </w:t>
      </w:r>
      <w:r w:rsidR="00CA43CE" w:rsidRPr="00774AE8">
        <w:t>r</w:t>
      </w:r>
      <w:r w:rsidRPr="00774AE8">
        <w:t>eport to the 87</w:t>
      </w:r>
      <w:r w:rsidRPr="00774AE8">
        <w:rPr>
          <w:vertAlign w:val="superscript"/>
        </w:rPr>
        <w:t>th</w:t>
      </w:r>
      <w:r w:rsidRPr="00774AE8">
        <w:t xml:space="preserve"> meeting in accordance to the agreed procedures to conducting the 86</w:t>
      </w:r>
      <w:r w:rsidRPr="00774AE8">
        <w:rPr>
          <w:vertAlign w:val="superscript"/>
        </w:rPr>
        <w:t>th</w:t>
      </w:r>
      <w:r w:rsidRPr="00774AE8">
        <w:t xml:space="preserve"> meeting.</w:t>
      </w:r>
      <w:r w:rsidRPr="00774AE8">
        <w:rPr>
          <w:vertAlign w:val="superscript"/>
        </w:rPr>
        <w:footnoteReference w:id="9"/>
      </w:r>
      <w:r w:rsidRPr="00774AE8">
        <w:t xml:space="preserve"> The </w:t>
      </w:r>
      <w:r w:rsidR="00125FBF" w:rsidRPr="00774AE8">
        <w:t>p</w:t>
      </w:r>
      <w:r w:rsidRPr="00774AE8">
        <w:t xml:space="preserve">rogress </w:t>
      </w:r>
      <w:r w:rsidR="00125FBF" w:rsidRPr="00774AE8">
        <w:t>r</w:t>
      </w:r>
      <w:r w:rsidRPr="00774AE8">
        <w:t>eport is attached in its entirety to the present document without editing or further review.</w:t>
      </w:r>
    </w:p>
    <w:p w14:paraId="544209C7" w14:textId="39DCA393" w:rsidR="001474DD" w:rsidRDefault="001474DD">
      <w:pPr>
        <w:jc w:val="left"/>
        <w:rPr>
          <w:b/>
        </w:rPr>
      </w:pPr>
      <w:r>
        <w:rPr>
          <w:b/>
        </w:rPr>
        <w:br w:type="page"/>
      </w:r>
    </w:p>
    <w:p w14:paraId="2B09AA4C" w14:textId="1C0A5A97" w:rsidR="00E3032B" w:rsidRPr="00271953" w:rsidRDefault="00E3032B" w:rsidP="00304306">
      <w:pPr>
        <w:rPr>
          <w:b/>
        </w:rPr>
      </w:pPr>
      <w:r w:rsidRPr="00271953">
        <w:rPr>
          <w:b/>
        </w:rPr>
        <w:lastRenderedPageBreak/>
        <w:t xml:space="preserve">PART III: </w:t>
      </w:r>
      <w:r w:rsidRPr="00271953">
        <w:rPr>
          <w:b/>
        </w:rPr>
        <w:tab/>
        <w:t>STUDY TO DETERMINE THE REGULATORY, ENFORCEMENT, POLICY OR MARKET CIRCUMSTANCES THAT MIGHT HAVE LED TO THE ILLEGAL PRODUCTION AND USE OF CFC-11 AND CFC-12 (DECISION 83/41(d))</w:t>
      </w:r>
    </w:p>
    <w:p w14:paraId="2CD6F7CF" w14:textId="77777777" w:rsidR="00E3032B" w:rsidRPr="00271953" w:rsidRDefault="00E3032B" w:rsidP="00E3032B">
      <w:pPr>
        <w:rPr>
          <w:b/>
        </w:rPr>
      </w:pPr>
      <w:r w:rsidRPr="00271953">
        <w:rPr>
          <w:b/>
        </w:rPr>
        <w:t xml:space="preserve">Background </w:t>
      </w:r>
    </w:p>
    <w:p w14:paraId="4DED7DA4" w14:textId="77777777" w:rsidR="00E3032B" w:rsidRPr="00271953" w:rsidRDefault="00E3032B" w:rsidP="00E3032B"/>
    <w:p w14:paraId="2AF9D452" w14:textId="77777777" w:rsidR="00E3032B" w:rsidRPr="00372C9D" w:rsidRDefault="00E3032B" w:rsidP="00E3032B">
      <w:pPr>
        <w:numPr>
          <w:ilvl w:val="0"/>
          <w:numId w:val="1"/>
        </w:numPr>
        <w:spacing w:after="240"/>
        <w:outlineLvl w:val="0"/>
      </w:pPr>
      <w:r w:rsidRPr="00271953">
        <w:t>In the context of its discussions at the 83</w:t>
      </w:r>
      <w:r w:rsidRPr="00271953">
        <w:rPr>
          <w:vertAlign w:val="superscript"/>
        </w:rPr>
        <w:t>rd</w:t>
      </w:r>
      <w:r w:rsidRPr="00271953">
        <w:t xml:space="preserve"> meeting on China’s MRVE systems, the Executive Committee </w:t>
      </w:r>
      <w:r w:rsidRPr="00271953">
        <w:rPr>
          <w:i/>
        </w:rPr>
        <w:t>inter alia</w:t>
      </w:r>
      <w:r w:rsidRPr="00271953">
        <w:t xml:space="preserve"> decided to note that the Government of China will consider engaging a non</w:t>
      </w:r>
      <w:r w:rsidRPr="00271953">
        <w:noBreakHyphen/>
        <w:t xml:space="preserve">governmental consultant to undertake a study (including quantitative data, where available, and qualitative market information) to determine the regulatory, enforcement, policy or market circumstances that </w:t>
      </w:r>
      <w:r w:rsidRPr="00372C9D">
        <w:t xml:space="preserve">might have led to the illegal production and use of CFC-11 and CFC-12 (decision 83/41(d)). </w:t>
      </w:r>
    </w:p>
    <w:p w14:paraId="4D531C2A" w14:textId="363868E4" w:rsidR="00E3032B" w:rsidRPr="00372C9D" w:rsidRDefault="00E3032B" w:rsidP="00E3032B">
      <w:pPr>
        <w:numPr>
          <w:ilvl w:val="0"/>
          <w:numId w:val="1"/>
        </w:numPr>
        <w:spacing w:after="240"/>
        <w:outlineLvl w:val="0"/>
      </w:pPr>
      <w:r w:rsidRPr="00372C9D">
        <w:t>Pursuant to decision 83/41(d), the Government of China had submitted to the 86</w:t>
      </w:r>
      <w:r w:rsidRPr="00372C9D">
        <w:rPr>
          <w:vertAlign w:val="superscript"/>
        </w:rPr>
        <w:t>th</w:t>
      </w:r>
      <w:r w:rsidRPr="00372C9D">
        <w:t> meeting the Study on the Supervision, Law Enforcement, Policy and Market Situation of Ozone Depleting Substances in China that was prepared by a non-governmental consultant. The Executive Committee deferred consideration of the Study to the 87</w:t>
      </w:r>
      <w:r w:rsidRPr="00372C9D">
        <w:rPr>
          <w:vertAlign w:val="superscript"/>
        </w:rPr>
        <w:t>th</w:t>
      </w:r>
      <w:r w:rsidRPr="00372C9D">
        <w:t xml:space="preserve"> meeting in accordance to the agreed procedures to conducting the 86</w:t>
      </w:r>
      <w:r w:rsidRPr="00372C9D">
        <w:rPr>
          <w:vertAlign w:val="superscript"/>
        </w:rPr>
        <w:t>th</w:t>
      </w:r>
      <w:r w:rsidR="00CA43CE" w:rsidRPr="00372C9D">
        <w:t> </w:t>
      </w:r>
      <w:r w:rsidRPr="00372C9D">
        <w:t>meeting.</w:t>
      </w:r>
      <w:r w:rsidRPr="00372C9D">
        <w:rPr>
          <w:vertAlign w:val="superscript"/>
        </w:rPr>
        <w:footnoteReference w:id="10"/>
      </w:r>
      <w:r w:rsidRPr="00372C9D">
        <w:t xml:space="preserve"> That study is attached in its entirety to the present document without editing or further review.</w:t>
      </w:r>
    </w:p>
    <w:p w14:paraId="086C50F3" w14:textId="77777777" w:rsidR="00E85409" w:rsidRPr="009B0D30" w:rsidRDefault="00E85409" w:rsidP="004E7F9C"/>
    <w:p w14:paraId="3E6A3E03" w14:textId="77777777" w:rsidR="00E85409" w:rsidRPr="009B0D30" w:rsidRDefault="00E85409" w:rsidP="004E7F9C"/>
    <w:p w14:paraId="0CD9DABA" w14:textId="77777777" w:rsidR="00E85409" w:rsidRPr="009B0D30" w:rsidRDefault="00E85409" w:rsidP="004E7F9C"/>
    <w:p w14:paraId="1CA8B8AF" w14:textId="77777777" w:rsidR="00E85409" w:rsidRPr="009B0D30" w:rsidRDefault="00E85409" w:rsidP="004E7F9C"/>
    <w:p w14:paraId="0FC1E460" w14:textId="77777777" w:rsidR="00E85409" w:rsidRPr="009B0D30" w:rsidRDefault="00E85409" w:rsidP="004E7F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9B0D30" w14:paraId="597F76F3" w14:textId="77777777" w:rsidTr="00FB077C">
        <w:tc>
          <w:tcPr>
            <w:tcW w:w="1915" w:type="dxa"/>
          </w:tcPr>
          <w:p w14:paraId="1C62DF57" w14:textId="77777777" w:rsidR="00E85409" w:rsidRPr="009B0D30" w:rsidRDefault="00E85409" w:rsidP="00FB077C"/>
        </w:tc>
        <w:tc>
          <w:tcPr>
            <w:tcW w:w="1915" w:type="dxa"/>
          </w:tcPr>
          <w:p w14:paraId="181EC361" w14:textId="77777777" w:rsidR="00E85409" w:rsidRPr="009B0D30" w:rsidRDefault="00E85409" w:rsidP="00FB077C"/>
        </w:tc>
        <w:tc>
          <w:tcPr>
            <w:tcW w:w="1915" w:type="dxa"/>
            <w:tcBorders>
              <w:bottom w:val="single" w:sz="4" w:space="0" w:color="auto"/>
            </w:tcBorders>
          </w:tcPr>
          <w:p w14:paraId="6F3A319C" w14:textId="77777777" w:rsidR="00E85409" w:rsidRPr="009B0D30" w:rsidRDefault="00E85409" w:rsidP="00FB077C"/>
        </w:tc>
        <w:tc>
          <w:tcPr>
            <w:tcW w:w="1915" w:type="dxa"/>
          </w:tcPr>
          <w:p w14:paraId="268E118E" w14:textId="77777777" w:rsidR="00E85409" w:rsidRPr="009B0D30" w:rsidRDefault="00E85409" w:rsidP="00FB077C"/>
        </w:tc>
        <w:tc>
          <w:tcPr>
            <w:tcW w:w="1916" w:type="dxa"/>
          </w:tcPr>
          <w:p w14:paraId="33442D02" w14:textId="77777777" w:rsidR="00E85409" w:rsidRPr="009B0D30" w:rsidRDefault="00E85409" w:rsidP="00FB077C"/>
        </w:tc>
      </w:tr>
      <w:bookmarkEnd w:id="0"/>
    </w:tbl>
    <w:p w14:paraId="0A031E39" w14:textId="77777777" w:rsidR="00E85409" w:rsidRPr="009B0D30" w:rsidRDefault="00E85409" w:rsidP="004E7F9C"/>
    <w:sectPr w:rsidR="00E85409" w:rsidRPr="009B0D30"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A1BDE" w14:textId="77777777" w:rsidR="00FC4F56" w:rsidRDefault="00FC4F56" w:rsidP="004A504B">
      <w:r>
        <w:separator/>
      </w:r>
    </w:p>
  </w:endnote>
  <w:endnote w:type="continuationSeparator" w:id="0">
    <w:p w14:paraId="610C449A" w14:textId="77777777" w:rsidR="00FC4F56" w:rsidRDefault="00FC4F5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8485" w14:textId="224CD239" w:rsidR="00DC6A10" w:rsidRPr="0033525D" w:rsidRDefault="00BC2495">
    <w:pPr>
      <w:jc w:val="center"/>
    </w:pPr>
    <w:r>
      <w:fldChar w:fldCharType="begin"/>
    </w:r>
    <w:r w:rsidR="00851352">
      <w:instrText xml:space="preserve"> PAGE </w:instrText>
    </w:r>
    <w:r>
      <w:fldChar w:fldCharType="separate"/>
    </w:r>
    <w:r w:rsidR="004D26D1">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2DE8" w14:textId="2177728A" w:rsidR="00DC6A10" w:rsidRPr="0033525D" w:rsidRDefault="00BC2495">
    <w:pPr>
      <w:jc w:val="center"/>
    </w:pPr>
    <w:r>
      <w:fldChar w:fldCharType="begin"/>
    </w:r>
    <w:r w:rsidR="00851352">
      <w:instrText xml:space="preserve"> PAGE </w:instrText>
    </w:r>
    <w:r>
      <w:fldChar w:fldCharType="separate"/>
    </w:r>
    <w:r w:rsidR="004D26D1">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50F9" w14:textId="77777777"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8353175" w14:textId="77777777"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E0BA4" w14:textId="77777777" w:rsidR="00FC4F56" w:rsidRDefault="00FC4F56" w:rsidP="004A504B">
      <w:r>
        <w:separator/>
      </w:r>
    </w:p>
  </w:footnote>
  <w:footnote w:type="continuationSeparator" w:id="0">
    <w:p w14:paraId="08EEFBA6" w14:textId="77777777" w:rsidR="00FC4F56" w:rsidRDefault="00FC4F56" w:rsidP="004A504B">
      <w:r>
        <w:continuationSeparator/>
      </w:r>
    </w:p>
  </w:footnote>
  <w:footnote w:id="1">
    <w:p w14:paraId="4C39C728" w14:textId="26DB0000" w:rsidR="00E3032B" w:rsidRPr="00D128EB" w:rsidRDefault="00E3032B" w:rsidP="00E3032B">
      <w:pPr>
        <w:pStyle w:val="FootnoteText"/>
        <w:rPr>
          <w:lang w:val="en-US"/>
        </w:rPr>
      </w:pPr>
      <w:r w:rsidRPr="00467C40">
        <w:rPr>
          <w:rStyle w:val="FootnoteReference"/>
        </w:rPr>
        <w:footnoteRef/>
      </w:r>
      <w:r w:rsidRPr="00467C40">
        <w:t xml:space="preserve"> </w:t>
      </w:r>
      <w:r w:rsidRPr="00467C40">
        <w:rPr>
          <w:lang w:val="en-US"/>
        </w:rPr>
        <w:t>UNEP/OzL.Pro/ExCom/86/IAP</w:t>
      </w:r>
      <w:r w:rsidR="00304306" w:rsidRPr="00467C40">
        <w:rPr>
          <w:lang w:val="en-US"/>
        </w:rPr>
        <w:t>e</w:t>
      </w:r>
      <w:r w:rsidRPr="00467C40">
        <w:rPr>
          <w:lang w:val="en-US"/>
        </w:rPr>
        <w:t>xt</w:t>
      </w:r>
      <w:r w:rsidR="00304306" w:rsidRPr="00467C40">
        <w:rPr>
          <w:lang w:val="en-US"/>
        </w:rPr>
        <w:t>/</w:t>
      </w:r>
      <w:r w:rsidRPr="00467C40">
        <w:rPr>
          <w:lang w:val="en-US"/>
        </w:rPr>
        <w:t>1</w:t>
      </w:r>
      <w:r w:rsidR="00304306" w:rsidRPr="00467C40">
        <w:rPr>
          <w:lang w:val="en-US"/>
        </w:rPr>
        <w:t>/</w:t>
      </w:r>
      <w:r w:rsidRPr="00467C40">
        <w:rPr>
          <w:lang w:val="en-US"/>
        </w:rPr>
        <w:t>Rev.1</w:t>
      </w:r>
    </w:p>
  </w:footnote>
  <w:footnote w:id="2">
    <w:p w14:paraId="5F9A3534" w14:textId="518DB975" w:rsidR="00E3032B" w:rsidRPr="00A233DC" w:rsidRDefault="00E3032B" w:rsidP="00E3032B">
      <w:pPr>
        <w:pStyle w:val="FootnoteText"/>
      </w:pPr>
      <w:r>
        <w:rPr>
          <w:rStyle w:val="FootnoteReference"/>
        </w:rPr>
        <w:footnoteRef/>
      </w:r>
      <w:r>
        <w:t xml:space="preserve"> </w:t>
      </w:r>
      <w:r w:rsidR="00AF3B7D">
        <w:t xml:space="preserve">Paragraphs 6-105 of document </w:t>
      </w:r>
      <w:r>
        <w:t xml:space="preserve">UNEP/OzL.Pro/ExCom/84/22/Add.1 </w:t>
      </w:r>
    </w:p>
  </w:footnote>
  <w:footnote w:id="3">
    <w:p w14:paraId="39F7E668" w14:textId="64035CA5" w:rsidR="00E3032B" w:rsidRPr="00196B3D" w:rsidRDefault="00E3032B" w:rsidP="00E3032B">
      <w:pPr>
        <w:pStyle w:val="FootnoteText"/>
        <w:rPr>
          <w:lang w:val="en-US"/>
        </w:rPr>
      </w:pPr>
      <w:r>
        <w:rPr>
          <w:rStyle w:val="FootnoteReference"/>
        </w:rPr>
        <w:footnoteRef/>
      </w:r>
      <w:r>
        <w:t xml:space="preserve"> </w:t>
      </w:r>
      <w:r w:rsidRPr="00196B3D">
        <w:t>UNEP/OzL.Pro/ExCom/85/9</w:t>
      </w:r>
    </w:p>
  </w:footnote>
  <w:footnote w:id="4">
    <w:p w14:paraId="764EE770" w14:textId="4C9D6FBA" w:rsidR="00E3032B" w:rsidRPr="00196B3D" w:rsidRDefault="00E3032B" w:rsidP="00E3032B">
      <w:pPr>
        <w:pStyle w:val="FootnoteText"/>
        <w:rPr>
          <w:lang w:val="en-US"/>
        </w:rPr>
      </w:pPr>
      <w:r>
        <w:rPr>
          <w:rStyle w:val="FootnoteReference"/>
        </w:rPr>
        <w:footnoteRef/>
      </w:r>
      <w:r>
        <w:t xml:space="preserve"> </w:t>
      </w:r>
      <w:r>
        <w:rPr>
          <w:lang w:val="en-US"/>
        </w:rPr>
        <w:t>UNEP/OzL.Pro/ExCom/86/21/Add.1</w:t>
      </w:r>
    </w:p>
  </w:footnote>
  <w:footnote w:id="5">
    <w:p w14:paraId="4C11B4B7" w14:textId="77777777" w:rsidR="00E3032B" w:rsidRPr="0050334E" w:rsidRDefault="00E3032B" w:rsidP="00E3032B">
      <w:pPr>
        <w:pStyle w:val="FootnoteText"/>
        <w:rPr>
          <w:lang w:val="en-US"/>
        </w:rPr>
      </w:pPr>
      <w:r>
        <w:rPr>
          <w:rStyle w:val="FootnoteReference"/>
        </w:rPr>
        <w:footnoteRef/>
      </w:r>
      <w:r>
        <w:t xml:space="preserve"> Decision 86/41.</w:t>
      </w:r>
    </w:p>
  </w:footnote>
  <w:footnote w:id="6">
    <w:p w14:paraId="5E4EA23A" w14:textId="77777777" w:rsidR="00E3032B" w:rsidRPr="00114A1E" w:rsidRDefault="00E3032B" w:rsidP="00E3032B">
      <w:pPr>
        <w:pStyle w:val="FootnoteText"/>
        <w:rPr>
          <w:lang w:val="en-US"/>
        </w:rPr>
      </w:pPr>
      <w:r>
        <w:rPr>
          <w:rStyle w:val="FootnoteReference"/>
        </w:rPr>
        <w:footnoteRef/>
      </w:r>
      <w:r>
        <w:t xml:space="preserve"> </w:t>
      </w:r>
      <w:r w:rsidRPr="00114A1E">
        <w:t>The Executive Committee requested the Government of China, through the relevant implementing agency, to report on the results of the monitoring efforts of local EEB, including cases where CFC-11 had been detected, in future financial audit reports</w:t>
      </w:r>
      <w:r>
        <w:t>.</w:t>
      </w:r>
    </w:p>
  </w:footnote>
  <w:footnote w:id="7">
    <w:p w14:paraId="09B26B6F" w14:textId="77777777" w:rsidR="00E3032B" w:rsidRPr="00744A0A" w:rsidRDefault="00E3032B" w:rsidP="00E3032B">
      <w:pPr>
        <w:pStyle w:val="FootnoteText"/>
      </w:pPr>
      <w:r>
        <w:rPr>
          <w:rStyle w:val="FootnoteReference"/>
        </w:rPr>
        <w:footnoteRef/>
      </w:r>
      <w:r>
        <w:t xml:space="preserve"> Part IV of document </w:t>
      </w:r>
      <w:r w:rsidRPr="00506C63">
        <w:t>UNEP/OzL.Pro/ExCom/86/21/Add.1</w:t>
      </w:r>
      <w:r>
        <w:t>provides an update until the 86</w:t>
      </w:r>
      <w:r w:rsidRPr="00744A0A">
        <w:rPr>
          <w:vertAlign w:val="superscript"/>
        </w:rPr>
        <w:t>th</w:t>
      </w:r>
      <w:r>
        <w:t xml:space="preserve"> meeting. </w:t>
      </w:r>
    </w:p>
  </w:footnote>
  <w:footnote w:id="8">
    <w:p w14:paraId="1CD02511" w14:textId="2D13846A" w:rsidR="00E3032B" w:rsidRPr="00D959A4" w:rsidRDefault="00E3032B" w:rsidP="00E3032B">
      <w:pPr>
        <w:pStyle w:val="FootnoteText"/>
      </w:pPr>
      <w:r>
        <w:rPr>
          <w:rStyle w:val="FootnoteReference"/>
        </w:rPr>
        <w:footnoteRef/>
      </w:r>
      <w:r>
        <w:t xml:space="preserve"> </w:t>
      </w:r>
      <w:r w:rsidRPr="00D959A4">
        <w:t>UNEP/OzL.Pro/ExCom/84/22/Add.1</w:t>
      </w:r>
    </w:p>
  </w:footnote>
  <w:footnote w:id="9">
    <w:p w14:paraId="782AC94D" w14:textId="2B4E15F3" w:rsidR="00E3032B" w:rsidRPr="00D128EB" w:rsidRDefault="00E3032B" w:rsidP="00E3032B">
      <w:pPr>
        <w:pStyle w:val="FootnoteText"/>
        <w:rPr>
          <w:lang w:val="en-US"/>
        </w:rPr>
      </w:pPr>
      <w:r w:rsidRPr="00774AE8">
        <w:rPr>
          <w:rStyle w:val="FootnoteReference"/>
        </w:rPr>
        <w:footnoteRef/>
      </w:r>
      <w:r w:rsidRPr="00774AE8">
        <w:t xml:space="preserve"> </w:t>
      </w:r>
      <w:r w:rsidRPr="00774AE8">
        <w:rPr>
          <w:lang w:val="en-US"/>
        </w:rPr>
        <w:t>UNEP/OzL.Pro/ExCom/86/IAP</w:t>
      </w:r>
      <w:r w:rsidR="00304306" w:rsidRPr="00774AE8">
        <w:rPr>
          <w:lang w:val="en-US"/>
        </w:rPr>
        <w:t>e</w:t>
      </w:r>
      <w:r w:rsidRPr="00774AE8">
        <w:rPr>
          <w:lang w:val="en-US"/>
        </w:rPr>
        <w:t>xt</w:t>
      </w:r>
      <w:r w:rsidR="00304306" w:rsidRPr="00774AE8">
        <w:rPr>
          <w:lang w:val="en-US"/>
        </w:rPr>
        <w:t>/</w:t>
      </w:r>
      <w:r w:rsidRPr="00774AE8">
        <w:rPr>
          <w:lang w:val="en-US"/>
        </w:rPr>
        <w:t>1</w:t>
      </w:r>
      <w:r w:rsidR="00304306" w:rsidRPr="00774AE8">
        <w:rPr>
          <w:lang w:val="en-US"/>
        </w:rPr>
        <w:t>/</w:t>
      </w:r>
      <w:r w:rsidRPr="00774AE8">
        <w:rPr>
          <w:lang w:val="en-US"/>
        </w:rPr>
        <w:t>Rev.1</w:t>
      </w:r>
    </w:p>
  </w:footnote>
  <w:footnote w:id="10">
    <w:p w14:paraId="1C797DCB" w14:textId="394D94FF" w:rsidR="00E3032B" w:rsidRPr="00D128EB" w:rsidRDefault="00E3032B" w:rsidP="00E3032B">
      <w:pPr>
        <w:pStyle w:val="FootnoteText"/>
        <w:rPr>
          <w:lang w:val="en-US"/>
        </w:rPr>
      </w:pPr>
      <w:r w:rsidRPr="007978DE">
        <w:rPr>
          <w:rStyle w:val="FootnoteReference"/>
        </w:rPr>
        <w:footnoteRef/>
      </w:r>
      <w:r w:rsidRPr="007978DE">
        <w:t xml:space="preserve"> </w:t>
      </w:r>
      <w:r w:rsidR="00774AE8" w:rsidRPr="007978DE">
        <w:rPr>
          <w:lang w:val="en-US"/>
        </w:rPr>
        <w:t>UNEP/OzL.Pro/ExCom/86/IAPext/1/Rev.1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9730" w14:textId="77777777" w:rsidR="00DC6A10" w:rsidRPr="0033525D" w:rsidRDefault="00125FBF">
    <w:fldSimple w:instr=" DOCPROPERTY &quot;Document number&quot;  \* MERGEFORMAT ">
      <w:r w:rsidR="001F2E86">
        <w:t>UNEP/OzL.Pro/ExCom/87/9/Add.1</w:t>
      </w:r>
    </w:fldSimple>
  </w:p>
  <w:p w14:paraId="7BC7F1AA" w14:textId="77777777" w:rsidR="00DC6A10" w:rsidRPr="0033525D" w:rsidRDefault="00DC6A10"/>
  <w:p w14:paraId="408EEFCF" w14:textId="77777777"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6918E" w14:textId="77777777" w:rsidR="00DC6A10" w:rsidRPr="0033525D" w:rsidRDefault="00125FBF">
    <w:pPr>
      <w:jc w:val="right"/>
    </w:pPr>
    <w:fldSimple w:instr=" DOCPROPERTY &quot;Document number&quot;  \* MERGEFORMAT ">
      <w:r w:rsidR="001F2E86">
        <w:t>UNEP/OzL.Pro/ExCom/87/9/Add.1</w:t>
      </w:r>
    </w:fldSimple>
  </w:p>
  <w:p w14:paraId="7C9A9387" w14:textId="77777777" w:rsidR="00DC6A10" w:rsidRPr="0033525D" w:rsidRDefault="00DC6A10"/>
  <w:p w14:paraId="511AA2EC" w14:textId="77777777"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CDC39BC"/>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E3032B"/>
    <w:rsid w:val="00000FED"/>
    <w:rsid w:val="0000434E"/>
    <w:rsid w:val="000211A9"/>
    <w:rsid w:val="00031260"/>
    <w:rsid w:val="0003681A"/>
    <w:rsid w:val="000372B7"/>
    <w:rsid w:val="00050F6E"/>
    <w:rsid w:val="00061EC2"/>
    <w:rsid w:val="00066CE8"/>
    <w:rsid w:val="0007272C"/>
    <w:rsid w:val="00080ED0"/>
    <w:rsid w:val="00085B8F"/>
    <w:rsid w:val="00090481"/>
    <w:rsid w:val="000A3826"/>
    <w:rsid w:val="000A6C26"/>
    <w:rsid w:val="000D52A4"/>
    <w:rsid w:val="000E07BC"/>
    <w:rsid w:val="000F1CD4"/>
    <w:rsid w:val="000F4103"/>
    <w:rsid w:val="000F70A7"/>
    <w:rsid w:val="00101847"/>
    <w:rsid w:val="00113CCA"/>
    <w:rsid w:val="00122F25"/>
    <w:rsid w:val="001239B1"/>
    <w:rsid w:val="00125FBF"/>
    <w:rsid w:val="00135980"/>
    <w:rsid w:val="001474DD"/>
    <w:rsid w:val="00164719"/>
    <w:rsid w:val="00166FC4"/>
    <w:rsid w:val="001677AC"/>
    <w:rsid w:val="001804EA"/>
    <w:rsid w:val="00190A61"/>
    <w:rsid w:val="001A2215"/>
    <w:rsid w:val="001A3342"/>
    <w:rsid w:val="001A3E3D"/>
    <w:rsid w:val="001A7049"/>
    <w:rsid w:val="001B1E40"/>
    <w:rsid w:val="001C764E"/>
    <w:rsid w:val="001E1052"/>
    <w:rsid w:val="001E21B1"/>
    <w:rsid w:val="001E2F93"/>
    <w:rsid w:val="001E4554"/>
    <w:rsid w:val="001E61E5"/>
    <w:rsid w:val="001F2159"/>
    <w:rsid w:val="001F2E86"/>
    <w:rsid w:val="00210B8B"/>
    <w:rsid w:val="00214863"/>
    <w:rsid w:val="002156B4"/>
    <w:rsid w:val="002217AB"/>
    <w:rsid w:val="00224FCD"/>
    <w:rsid w:val="00253222"/>
    <w:rsid w:val="00262847"/>
    <w:rsid w:val="00281BB2"/>
    <w:rsid w:val="002A5EE1"/>
    <w:rsid w:val="002B254E"/>
    <w:rsid w:val="002B72E9"/>
    <w:rsid w:val="002C7998"/>
    <w:rsid w:val="002F1E53"/>
    <w:rsid w:val="002F2CAA"/>
    <w:rsid w:val="0030052C"/>
    <w:rsid w:val="00304306"/>
    <w:rsid w:val="003306E1"/>
    <w:rsid w:val="003320E4"/>
    <w:rsid w:val="0033525D"/>
    <w:rsid w:val="003414F3"/>
    <w:rsid w:val="0035613E"/>
    <w:rsid w:val="00363EE9"/>
    <w:rsid w:val="00372C9D"/>
    <w:rsid w:val="00376128"/>
    <w:rsid w:val="0037742E"/>
    <w:rsid w:val="00377D56"/>
    <w:rsid w:val="0038245A"/>
    <w:rsid w:val="003840E6"/>
    <w:rsid w:val="00385CFC"/>
    <w:rsid w:val="0039337A"/>
    <w:rsid w:val="003A3189"/>
    <w:rsid w:val="003A3CA7"/>
    <w:rsid w:val="003B33BD"/>
    <w:rsid w:val="003B569D"/>
    <w:rsid w:val="003C3C0E"/>
    <w:rsid w:val="003D42A6"/>
    <w:rsid w:val="003D4F21"/>
    <w:rsid w:val="003D4FAC"/>
    <w:rsid w:val="003E7906"/>
    <w:rsid w:val="003F3C50"/>
    <w:rsid w:val="00406A6A"/>
    <w:rsid w:val="00406B22"/>
    <w:rsid w:val="004328A7"/>
    <w:rsid w:val="00434C74"/>
    <w:rsid w:val="00456EB4"/>
    <w:rsid w:val="00467C40"/>
    <w:rsid w:val="004718F3"/>
    <w:rsid w:val="00475040"/>
    <w:rsid w:val="004826F1"/>
    <w:rsid w:val="00490C2B"/>
    <w:rsid w:val="00493D40"/>
    <w:rsid w:val="004967B6"/>
    <w:rsid w:val="004A504B"/>
    <w:rsid w:val="004A6911"/>
    <w:rsid w:val="004B54E0"/>
    <w:rsid w:val="004B7384"/>
    <w:rsid w:val="004C4269"/>
    <w:rsid w:val="004D26D1"/>
    <w:rsid w:val="004D6236"/>
    <w:rsid w:val="004D7F90"/>
    <w:rsid w:val="004E1BEA"/>
    <w:rsid w:val="004E4DBB"/>
    <w:rsid w:val="004E4E41"/>
    <w:rsid w:val="004E7F9C"/>
    <w:rsid w:val="004F3493"/>
    <w:rsid w:val="004F5143"/>
    <w:rsid w:val="00512B09"/>
    <w:rsid w:val="005220ED"/>
    <w:rsid w:val="00533796"/>
    <w:rsid w:val="00537343"/>
    <w:rsid w:val="00555D75"/>
    <w:rsid w:val="00560DF0"/>
    <w:rsid w:val="0056759C"/>
    <w:rsid w:val="00586461"/>
    <w:rsid w:val="0059513E"/>
    <w:rsid w:val="005A6AA4"/>
    <w:rsid w:val="005A6D9F"/>
    <w:rsid w:val="005B48FF"/>
    <w:rsid w:val="005D363F"/>
    <w:rsid w:val="00604C15"/>
    <w:rsid w:val="006158D5"/>
    <w:rsid w:val="00625D83"/>
    <w:rsid w:val="00635D6A"/>
    <w:rsid w:val="00657FF8"/>
    <w:rsid w:val="006623E7"/>
    <w:rsid w:val="00662B80"/>
    <w:rsid w:val="00670F6C"/>
    <w:rsid w:val="006852C7"/>
    <w:rsid w:val="006852CE"/>
    <w:rsid w:val="00692D14"/>
    <w:rsid w:val="006B65C7"/>
    <w:rsid w:val="006C1727"/>
    <w:rsid w:val="006C32FD"/>
    <w:rsid w:val="006C39CE"/>
    <w:rsid w:val="006D0FCC"/>
    <w:rsid w:val="006D21F5"/>
    <w:rsid w:val="006E126D"/>
    <w:rsid w:val="006E1FC3"/>
    <w:rsid w:val="006E3190"/>
    <w:rsid w:val="00704CE9"/>
    <w:rsid w:val="0070616B"/>
    <w:rsid w:val="00706295"/>
    <w:rsid w:val="00706FDA"/>
    <w:rsid w:val="00711F9A"/>
    <w:rsid w:val="00713810"/>
    <w:rsid w:val="007303A5"/>
    <w:rsid w:val="00730B3E"/>
    <w:rsid w:val="0073420B"/>
    <w:rsid w:val="0074760E"/>
    <w:rsid w:val="00754ABA"/>
    <w:rsid w:val="00774AE8"/>
    <w:rsid w:val="00777D22"/>
    <w:rsid w:val="007978DE"/>
    <w:rsid w:val="007A1546"/>
    <w:rsid w:val="007A228C"/>
    <w:rsid w:val="007A368E"/>
    <w:rsid w:val="007A5868"/>
    <w:rsid w:val="007B04CE"/>
    <w:rsid w:val="007B6871"/>
    <w:rsid w:val="007B7A2F"/>
    <w:rsid w:val="007C3D33"/>
    <w:rsid w:val="007D294A"/>
    <w:rsid w:val="007D47D2"/>
    <w:rsid w:val="007D6EC0"/>
    <w:rsid w:val="007D7E1D"/>
    <w:rsid w:val="00831979"/>
    <w:rsid w:val="00851352"/>
    <w:rsid w:val="00857077"/>
    <w:rsid w:val="00863230"/>
    <w:rsid w:val="00865BD0"/>
    <w:rsid w:val="008717D8"/>
    <w:rsid w:val="0087215C"/>
    <w:rsid w:val="00875D25"/>
    <w:rsid w:val="00880E35"/>
    <w:rsid w:val="008875FE"/>
    <w:rsid w:val="00887F8E"/>
    <w:rsid w:val="00896234"/>
    <w:rsid w:val="00897E43"/>
    <w:rsid w:val="008C5738"/>
    <w:rsid w:val="008C7EAD"/>
    <w:rsid w:val="008D0CFE"/>
    <w:rsid w:val="008D6152"/>
    <w:rsid w:val="008E7BA9"/>
    <w:rsid w:val="008F0F81"/>
    <w:rsid w:val="008F27BF"/>
    <w:rsid w:val="009142EC"/>
    <w:rsid w:val="009154C3"/>
    <w:rsid w:val="00923540"/>
    <w:rsid w:val="00926767"/>
    <w:rsid w:val="009361D5"/>
    <w:rsid w:val="009428A4"/>
    <w:rsid w:val="009659F4"/>
    <w:rsid w:val="00970D60"/>
    <w:rsid w:val="0099390E"/>
    <w:rsid w:val="009960E5"/>
    <w:rsid w:val="009A7ADC"/>
    <w:rsid w:val="009B0D30"/>
    <w:rsid w:val="009B705C"/>
    <w:rsid w:val="009C19B7"/>
    <w:rsid w:val="009C5ABB"/>
    <w:rsid w:val="009D7C51"/>
    <w:rsid w:val="009E196C"/>
    <w:rsid w:val="009F36BF"/>
    <w:rsid w:val="00A111B6"/>
    <w:rsid w:val="00A26D27"/>
    <w:rsid w:val="00A376EE"/>
    <w:rsid w:val="00A42A99"/>
    <w:rsid w:val="00A5151A"/>
    <w:rsid w:val="00A57E0A"/>
    <w:rsid w:val="00A823F6"/>
    <w:rsid w:val="00A8719E"/>
    <w:rsid w:val="00AA0A89"/>
    <w:rsid w:val="00AA6429"/>
    <w:rsid w:val="00AC01AA"/>
    <w:rsid w:val="00AC4F72"/>
    <w:rsid w:val="00AD043B"/>
    <w:rsid w:val="00AF3B7D"/>
    <w:rsid w:val="00AF741A"/>
    <w:rsid w:val="00B01ADB"/>
    <w:rsid w:val="00B04161"/>
    <w:rsid w:val="00B056F9"/>
    <w:rsid w:val="00B11E3D"/>
    <w:rsid w:val="00B17E82"/>
    <w:rsid w:val="00B36559"/>
    <w:rsid w:val="00B4575A"/>
    <w:rsid w:val="00B575BA"/>
    <w:rsid w:val="00B71608"/>
    <w:rsid w:val="00B76429"/>
    <w:rsid w:val="00B956D4"/>
    <w:rsid w:val="00B97446"/>
    <w:rsid w:val="00BA7432"/>
    <w:rsid w:val="00BB2764"/>
    <w:rsid w:val="00BC1AA0"/>
    <w:rsid w:val="00BC2495"/>
    <w:rsid w:val="00BC7EB9"/>
    <w:rsid w:val="00BD2643"/>
    <w:rsid w:val="00BD56B1"/>
    <w:rsid w:val="00BD6558"/>
    <w:rsid w:val="00BF2F76"/>
    <w:rsid w:val="00BF3022"/>
    <w:rsid w:val="00BF3214"/>
    <w:rsid w:val="00BF5573"/>
    <w:rsid w:val="00C15867"/>
    <w:rsid w:val="00C2296D"/>
    <w:rsid w:val="00C23155"/>
    <w:rsid w:val="00C40C41"/>
    <w:rsid w:val="00C45885"/>
    <w:rsid w:val="00C50F22"/>
    <w:rsid w:val="00C57971"/>
    <w:rsid w:val="00C65BD7"/>
    <w:rsid w:val="00C76BA4"/>
    <w:rsid w:val="00C83A48"/>
    <w:rsid w:val="00C85865"/>
    <w:rsid w:val="00C85E85"/>
    <w:rsid w:val="00CA2EAE"/>
    <w:rsid w:val="00CA43CE"/>
    <w:rsid w:val="00CA4AC1"/>
    <w:rsid w:val="00CB0316"/>
    <w:rsid w:val="00CB0B11"/>
    <w:rsid w:val="00CB426A"/>
    <w:rsid w:val="00CB4D66"/>
    <w:rsid w:val="00CB5354"/>
    <w:rsid w:val="00CC337F"/>
    <w:rsid w:val="00CC3C9E"/>
    <w:rsid w:val="00CC6A14"/>
    <w:rsid w:val="00CC70A3"/>
    <w:rsid w:val="00CD4442"/>
    <w:rsid w:val="00CD53C3"/>
    <w:rsid w:val="00CD574E"/>
    <w:rsid w:val="00CE4C22"/>
    <w:rsid w:val="00CF0D0B"/>
    <w:rsid w:val="00CF41EC"/>
    <w:rsid w:val="00CF5D04"/>
    <w:rsid w:val="00D04DE4"/>
    <w:rsid w:val="00D063F1"/>
    <w:rsid w:val="00D14F22"/>
    <w:rsid w:val="00D4741C"/>
    <w:rsid w:val="00D57918"/>
    <w:rsid w:val="00D73DC6"/>
    <w:rsid w:val="00D74C1A"/>
    <w:rsid w:val="00D754C1"/>
    <w:rsid w:val="00D77393"/>
    <w:rsid w:val="00D77A35"/>
    <w:rsid w:val="00D81B3E"/>
    <w:rsid w:val="00D90C70"/>
    <w:rsid w:val="00D90E49"/>
    <w:rsid w:val="00D96ADE"/>
    <w:rsid w:val="00DA0CE2"/>
    <w:rsid w:val="00DC6A10"/>
    <w:rsid w:val="00DE657E"/>
    <w:rsid w:val="00DF4704"/>
    <w:rsid w:val="00E024AA"/>
    <w:rsid w:val="00E15C77"/>
    <w:rsid w:val="00E250F1"/>
    <w:rsid w:val="00E300B5"/>
    <w:rsid w:val="00E3032B"/>
    <w:rsid w:val="00E3550D"/>
    <w:rsid w:val="00E52838"/>
    <w:rsid w:val="00E614E0"/>
    <w:rsid w:val="00E73F7F"/>
    <w:rsid w:val="00E85409"/>
    <w:rsid w:val="00EA429F"/>
    <w:rsid w:val="00EA4F9E"/>
    <w:rsid w:val="00EA63CA"/>
    <w:rsid w:val="00EA6D3B"/>
    <w:rsid w:val="00EB00AD"/>
    <w:rsid w:val="00EB136C"/>
    <w:rsid w:val="00EB480E"/>
    <w:rsid w:val="00EB5EC6"/>
    <w:rsid w:val="00EB7FC9"/>
    <w:rsid w:val="00ED27E8"/>
    <w:rsid w:val="00ED7137"/>
    <w:rsid w:val="00EF06EA"/>
    <w:rsid w:val="00F21088"/>
    <w:rsid w:val="00F327E7"/>
    <w:rsid w:val="00F35746"/>
    <w:rsid w:val="00F447C7"/>
    <w:rsid w:val="00F459B4"/>
    <w:rsid w:val="00F5211B"/>
    <w:rsid w:val="00F554A9"/>
    <w:rsid w:val="00F716FD"/>
    <w:rsid w:val="00F80355"/>
    <w:rsid w:val="00F87C43"/>
    <w:rsid w:val="00FA5722"/>
    <w:rsid w:val="00FB0C81"/>
    <w:rsid w:val="00FB748D"/>
    <w:rsid w:val="00FC2200"/>
    <w:rsid w:val="00FC2540"/>
    <w:rsid w:val="00FC4F56"/>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CEA7A"/>
  <w15:docId w15:val="{8A73FC44-A797-4BDE-A934-380649AB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uiPriority w:val="9"/>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
    <w:basedOn w:val="DefaultParagraphFont"/>
    <w:uiPriority w:val="99"/>
    <w:unhideWhenUsed/>
    <w:rsid w:val="006E126D"/>
    <w:rPr>
      <w:vertAlign w:val="superscript"/>
    </w:rPr>
  </w:style>
  <w:style w:type="table" w:customStyle="1" w:styleId="TableGrid10">
    <w:name w:val="Table Grid1"/>
    <w:basedOn w:val="TableNormal"/>
    <w:next w:val="TableGrid"/>
    <w:qFormat/>
    <w:rsid w:val="00E303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UNEP/OzL.Pro/ExCom/87/9/Add.1</Document_x0020_Number>
    <DocumentType xmlns="64e33b30-101d-41de-b951-961aab25ea29">Pre-session</DocumentType>
  </documentManagement>
</p:properties>
</file>

<file path=customXml/itemProps1.xml><?xml version="1.0" encoding="utf-8"?>
<ds:datastoreItem xmlns:ds="http://schemas.openxmlformats.org/officeDocument/2006/customXml" ds:itemID="{BFD58EED-8676-49FD-8F02-A73E11D65907}"/>
</file>

<file path=customXml/itemProps2.xml><?xml version="1.0" encoding="utf-8"?>
<ds:datastoreItem xmlns:ds="http://schemas.openxmlformats.org/officeDocument/2006/customXml" ds:itemID="{2626D8C1-AA56-4A69-9FDA-278A7528CC60}"/>
</file>

<file path=customXml/itemProps3.xml><?xml version="1.0" encoding="utf-8"?>
<ds:datastoreItem xmlns:ds="http://schemas.openxmlformats.org/officeDocument/2006/customXml" ds:itemID="{1D1A1886-91DB-4C67-A5AA-33E5B3622D7F}"/>
</file>

<file path=customXml/itemProps4.xml><?xml version="1.0" encoding="utf-8"?>
<ds:datastoreItem xmlns:ds="http://schemas.openxmlformats.org/officeDocument/2006/customXml" ds:itemID="{55557017-197D-46DF-AEC6-879FF41AC850}"/>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Reports on projects with specific reporting requirements</vt:lpstr>
    </vt:vector>
  </TitlesOfParts>
  <Company>UNMFS</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on projects with specific reporting requirements - Addendum 1</dc:title>
  <dc:creator>Joel Pare-Julien</dc:creator>
  <cp:lastModifiedBy>Joel Pare-Julien</cp:lastModifiedBy>
  <cp:revision>2</cp:revision>
  <cp:lastPrinted>2001-05-26T16:40:00Z</cp:lastPrinted>
  <dcterms:created xsi:type="dcterms:W3CDTF">2021-06-14T13:58:00Z</dcterms:created>
  <dcterms:modified xsi:type="dcterms:W3CDTF">2021-06-14T13:58:00Z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UNEP/OzL.Pro/ExCom/87/9/Add.1</vt:lpwstr>
  </property>
  <property fmtid="{D5CDD505-2E9C-101B-9397-08002B2CF9AE}" pid="3" name="Revision date">
    <vt:lpwstr>6/14/2021</vt:lpwstr>
  </property>
  <property fmtid="{D5CDD505-2E9C-101B-9397-08002B2CF9AE}" pid="4" name="ContentTypeId">
    <vt:lpwstr>0x010100656C6B23EE95AB4DB098A66C463B3437</vt:lpwstr>
  </property>
</Properties>
</file>