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4900F4" w:rsidRPr="00F95A58" w:rsidTr="004900F4">
        <w:trPr>
          <w:trHeight w:val="720"/>
        </w:trPr>
        <w:tc>
          <w:tcPr>
            <w:tcW w:w="5490" w:type="dxa"/>
            <w:gridSpan w:val="2"/>
            <w:tcBorders>
              <w:bottom w:val="single" w:sz="18" w:space="0" w:color="auto"/>
            </w:tcBorders>
          </w:tcPr>
          <w:p w:rsidR="004900F4" w:rsidRPr="00F95A58" w:rsidRDefault="004900F4" w:rsidP="006860E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F95A58">
              <w:rPr>
                <w:rFonts w:ascii="Univers" w:hAnsi="Univers"/>
                <w:b/>
                <w:sz w:val="28"/>
                <w:szCs w:val="28"/>
              </w:rPr>
              <w:t>UNITED</w:t>
            </w:r>
            <w:r w:rsidRPr="00F95A58">
              <w:rPr>
                <w:rFonts w:ascii="Univers" w:hAnsi="Univers"/>
                <w:b/>
                <w:sz w:val="28"/>
                <w:szCs w:val="28"/>
              </w:rPr>
              <w:br/>
              <w:t>NATIONS</w:t>
            </w:r>
          </w:p>
        </w:tc>
        <w:tc>
          <w:tcPr>
            <w:tcW w:w="4590" w:type="dxa"/>
            <w:tcBorders>
              <w:bottom w:val="single" w:sz="18" w:space="0" w:color="auto"/>
            </w:tcBorders>
          </w:tcPr>
          <w:p w:rsidR="004900F4" w:rsidRPr="00F95A58" w:rsidRDefault="004900F4" w:rsidP="006860E4">
            <w:pPr>
              <w:jc w:val="right"/>
              <w:rPr>
                <w:sz w:val="52"/>
                <w:szCs w:val="52"/>
              </w:rPr>
            </w:pPr>
            <w:r w:rsidRPr="00F95A58">
              <w:rPr>
                <w:rFonts w:ascii="Univers Bold" w:hAnsi="Univers Bold"/>
                <w:b/>
                <w:sz w:val="72"/>
              </w:rPr>
              <w:t>EP</w:t>
            </w:r>
          </w:p>
        </w:tc>
      </w:tr>
      <w:tr w:rsidR="004900F4" w:rsidRPr="00F95A58" w:rsidTr="00490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900F4" w:rsidRPr="00F95A58" w:rsidRDefault="004900F4" w:rsidP="006860E4">
            <w:pPr>
              <w:spacing w:before="120"/>
            </w:pPr>
            <w:r w:rsidRPr="00F95A58">
              <w:rPr>
                <w:noProof/>
                <w:lang w:eastAsia="en-CA"/>
              </w:rPr>
              <mc:AlternateContent>
                <mc:Choice Requires="wpg">
                  <w:drawing>
                    <wp:anchor distT="0" distB="0" distL="114300" distR="114300" simplePos="0" relativeHeight="251662336" behindDoc="0" locked="0" layoutInCell="1" allowOverlap="1" wp14:anchorId="6D03C724" wp14:editId="44FB9323">
                      <wp:simplePos x="0" y="0"/>
                      <wp:positionH relativeFrom="column">
                        <wp:posOffset>2540</wp:posOffset>
                      </wp:positionH>
                      <wp:positionV relativeFrom="paragraph">
                        <wp:posOffset>36195</wp:posOffset>
                      </wp:positionV>
                      <wp:extent cx="844550" cy="1616075"/>
                      <wp:effectExtent l="0" t="0" r="0" b="3175"/>
                      <wp:wrapNone/>
                      <wp:docPr id="4" name="Group 4"/>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5" name="Picture 5"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6" name="Picture 6"/>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73E62D46" id="Group 4" o:spid="_x0000_s1026" style="position:absolute;margin-left:.2pt;margin-top:2.85pt;width:66.5pt;height:127.25pt;z-index:251662336"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">
                        <v:imagedata r:id="rId10" o:title="UNEP"/>
                        <v:path arrowok="t"/>
                      </v:shape>
                      <v:shape id="Picture 6"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">
                        <v:imagedata r:id="rId11" o:title=""/>
                        <v:path arrowok="t"/>
                      </v:shape>
                    </v:group>
                  </w:pict>
                </mc:Fallback>
              </mc:AlternateContent>
            </w:r>
          </w:p>
        </w:tc>
        <w:tc>
          <w:tcPr>
            <w:tcW w:w="3420" w:type="dxa"/>
            <w:tcBorders>
              <w:top w:val="nil"/>
              <w:left w:val="nil"/>
              <w:bottom w:val="single" w:sz="36" w:space="0" w:color="auto"/>
              <w:right w:val="nil"/>
            </w:tcBorders>
          </w:tcPr>
          <w:p w:rsidR="004900F4" w:rsidRPr="00F95A58" w:rsidRDefault="004900F4" w:rsidP="006860E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F95A58">
              <w:rPr>
                <w:rFonts w:ascii="Univers" w:hAnsi="Univers"/>
                <w:b/>
                <w:sz w:val="32"/>
              </w:rPr>
              <w:t>United Nations</w:t>
            </w:r>
          </w:p>
          <w:p w:rsidR="004900F4" w:rsidRPr="00F95A58" w:rsidRDefault="004900F4" w:rsidP="006860E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F95A58">
              <w:rPr>
                <w:rFonts w:ascii="Univers" w:hAnsi="Univers"/>
                <w:b/>
                <w:sz w:val="32"/>
              </w:rPr>
              <w:t>Environment</w:t>
            </w:r>
          </w:p>
          <w:p w:rsidR="004900F4" w:rsidRPr="00F95A58" w:rsidRDefault="004900F4" w:rsidP="006860E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F95A58">
              <w:rPr>
                <w:rFonts w:ascii="Univers" w:hAnsi="Univers"/>
                <w:b/>
                <w:sz w:val="32"/>
              </w:rPr>
              <w:t>Programme</w:t>
            </w:r>
          </w:p>
          <w:p w:rsidR="004900F4" w:rsidRPr="00F95A58" w:rsidRDefault="004900F4" w:rsidP="006860E4">
            <w:pPr>
              <w:spacing w:before="720"/>
              <w:ind w:left="158"/>
            </w:pPr>
          </w:p>
        </w:tc>
        <w:tc>
          <w:tcPr>
            <w:tcW w:w="4590" w:type="dxa"/>
            <w:tcBorders>
              <w:top w:val="nil"/>
              <w:left w:val="nil"/>
              <w:bottom w:val="single" w:sz="36" w:space="0" w:color="auto"/>
              <w:right w:val="nil"/>
            </w:tcBorders>
          </w:tcPr>
          <w:p w:rsidR="004900F4" w:rsidRPr="00F95A58" w:rsidRDefault="004900F4" w:rsidP="006860E4">
            <w:r w:rsidRPr="00F95A58">
              <w:t>Distr.</w:t>
            </w:r>
          </w:p>
          <w:p w:rsidR="004900F4" w:rsidRPr="00F95A58" w:rsidRDefault="004900F4" w:rsidP="00923540">
            <w:r w:rsidRPr="00F95A58">
              <w:t>GENERAL</w:t>
            </w:r>
          </w:p>
          <w:p w:rsidR="004900F4" w:rsidRPr="00F95A58" w:rsidRDefault="004900F4" w:rsidP="006860E4"/>
          <w:p w:rsidR="004900F4" w:rsidRPr="00F95A58" w:rsidRDefault="004900F4" w:rsidP="006860E4"/>
          <w:p w:rsidR="004900F4" w:rsidRPr="00F95A58" w:rsidRDefault="004900F4" w:rsidP="006860E4">
            <w:r>
              <w:fldChar w:fldCharType="begin"/>
            </w:r>
            <w:r>
              <w:instrText>DOCPROPERTY "Document number"  \* MERGEFORMAT</w:instrText>
            </w:r>
            <w:r>
              <w:fldChar w:fldCharType="separate"/>
            </w:r>
            <w:r>
              <w:t>UNEP/</w:t>
            </w:r>
            <w:proofErr w:type="spellStart"/>
            <w:r>
              <w:t>OzL.Pro</w:t>
            </w:r>
            <w:proofErr w:type="spellEnd"/>
            <w:r>
              <w:t>/</w:t>
            </w:r>
            <w:proofErr w:type="spellStart"/>
            <w:r>
              <w:t>ExCom</w:t>
            </w:r>
            <w:proofErr w:type="spellEnd"/>
            <w:r>
              <w:t>/87/13</w:t>
            </w:r>
            <w:r>
              <w:fldChar w:fldCharType="end"/>
            </w:r>
          </w:p>
          <w:p w:rsidR="004900F4" w:rsidRPr="00F95A58" w:rsidRDefault="004900F4" w:rsidP="006860E4">
            <w:r w:rsidRPr="00F95A58">
              <w:fldChar w:fldCharType="begin"/>
            </w:r>
            <w:r w:rsidRPr="00F95A58">
              <w:instrText xml:space="preserve"> DOCPROPERTY "Revision date" \@ "d MMMM YYYY"  \* MERGEFORMAT </w:instrText>
            </w:r>
            <w:r w:rsidRPr="00F95A58">
              <w:fldChar w:fldCharType="separate"/>
            </w:r>
            <w:r>
              <w:t>18 June 2021</w:t>
            </w:r>
            <w:r w:rsidRPr="00F95A58">
              <w:fldChar w:fldCharType="end"/>
            </w:r>
          </w:p>
          <w:p w:rsidR="004900F4" w:rsidRPr="00F95A58" w:rsidRDefault="004900F4" w:rsidP="006860E4">
            <w:pPr>
              <w:rPr>
                <w:caps/>
              </w:rPr>
            </w:pPr>
          </w:p>
          <w:p w:rsidR="004900F4" w:rsidRPr="00F95A58" w:rsidRDefault="004900F4" w:rsidP="006860E4">
            <w:r w:rsidRPr="00F95A58">
              <w:t>ORIGINAL: ENGLISH</w:t>
            </w:r>
          </w:p>
        </w:tc>
      </w:tr>
    </w:tbl>
    <w:p w:rsidR="004900F4" w:rsidRPr="00F95A58" w:rsidRDefault="004900F4" w:rsidP="00704CE9">
      <w:pPr>
        <w:jc w:val="left"/>
      </w:pPr>
      <w:r w:rsidRPr="00F95A58">
        <w:t>EXECUTIVE COMMITTEE OF</w:t>
      </w:r>
      <w:r w:rsidRPr="00F95A58">
        <w:br/>
        <w:t xml:space="preserve">  THE MULTILATERAL FUND FOR THE</w:t>
      </w:r>
      <w:r w:rsidRPr="00F95A58">
        <w:br/>
        <w:t xml:space="preserve">  IMPLEMENTATION OF THE MONTREAL PROTOCOL</w:t>
      </w:r>
      <w:r w:rsidRPr="00F95A58">
        <w:br/>
        <w:t>Eighty-seventh Meeting</w:t>
      </w:r>
    </w:p>
    <w:p w:rsidR="004900F4" w:rsidRPr="00F95A58" w:rsidRDefault="004900F4" w:rsidP="000D647D">
      <w:pPr>
        <w:jc w:val="left"/>
      </w:pPr>
      <w:r w:rsidRPr="00F95A58">
        <w:t>Montreal, 28 June-2 July 2021</w:t>
      </w:r>
      <w:r>
        <w:rPr>
          <w:rStyle w:val="FootnoteReference"/>
        </w:rPr>
        <w:footnoteReference w:id="1"/>
      </w:r>
    </w:p>
    <w:p w:rsidR="004900F4" w:rsidRDefault="004900F4" w:rsidP="00F95A58">
      <w:pPr>
        <w:tabs>
          <w:tab w:val="left" w:pos="8280"/>
        </w:tabs>
        <w:jc w:val="center"/>
      </w:pPr>
    </w:p>
    <w:p w:rsidR="004900F4" w:rsidRPr="00F95A58" w:rsidRDefault="004900F4" w:rsidP="00F95A58">
      <w:pPr>
        <w:tabs>
          <w:tab w:val="left" w:pos="8280"/>
        </w:tabs>
        <w:jc w:val="center"/>
      </w:pPr>
    </w:p>
    <w:p w:rsidR="004900F4" w:rsidRPr="00F95A58" w:rsidRDefault="004900F4" w:rsidP="00F95A58">
      <w:pPr>
        <w:tabs>
          <w:tab w:val="left" w:pos="8280"/>
        </w:tabs>
        <w:jc w:val="center"/>
      </w:pPr>
    </w:p>
    <w:p w:rsidR="004900F4" w:rsidRPr="00F95A58" w:rsidRDefault="004900F4" w:rsidP="006860E4">
      <w:pPr>
        <w:spacing w:after="240"/>
        <w:jc w:val="center"/>
        <w:outlineLvl w:val="0"/>
        <w:rPr>
          <w:b/>
          <w:caps/>
          <w:szCs w:val="28"/>
        </w:rPr>
      </w:pPr>
      <w:r w:rsidRPr="00F95A58">
        <w:rPr>
          <w:b/>
          <w:caps/>
          <w:szCs w:val="28"/>
        </w:rPr>
        <w:t>Overview of issues identified DURING project review</w:t>
      </w:r>
    </w:p>
    <w:p w:rsidR="004900F4" w:rsidRPr="00F95A58" w:rsidRDefault="004900F4" w:rsidP="00B955ED">
      <w:pPr>
        <w:pStyle w:val="Heading1"/>
        <w:rPr>
          <w:snapToGrid w:val="0"/>
        </w:rPr>
      </w:pPr>
      <w:bookmarkStart w:id="0" w:name="_Toc232301366"/>
      <w:r>
        <w:t>This document consists of the following sections:</w:t>
      </w:r>
      <w:bookmarkEnd w:id="0"/>
    </w:p>
    <w:p w:rsidR="004900F4" w:rsidRPr="000E5496" w:rsidRDefault="004900F4" w:rsidP="006860E4">
      <w:pPr>
        <w:pStyle w:val="Heading2"/>
        <w:numPr>
          <w:ilvl w:val="1"/>
          <w:numId w:val="1"/>
        </w:numPr>
        <w:rPr>
          <w:snapToGrid w:val="0"/>
        </w:rPr>
      </w:pPr>
      <w:bookmarkStart w:id="1" w:name="_Toc232301367"/>
      <w:r w:rsidRPr="000E5496">
        <w:t>An overview of projects and activities s</w:t>
      </w:r>
      <w:bookmarkStart w:id="2" w:name="_GoBack"/>
      <w:bookmarkEnd w:id="2"/>
      <w:r w:rsidRPr="000E5496">
        <w:t>ubmitted by bilateral and implementing agencies;</w:t>
      </w:r>
      <w:bookmarkEnd w:id="1"/>
    </w:p>
    <w:p w:rsidR="004900F4" w:rsidRPr="000E5496" w:rsidRDefault="004900F4" w:rsidP="006860E4">
      <w:pPr>
        <w:pStyle w:val="Heading2"/>
        <w:numPr>
          <w:ilvl w:val="1"/>
          <w:numId w:val="1"/>
        </w:numPr>
      </w:pPr>
      <w:r w:rsidRPr="000E5496">
        <w:t>Issues identified du</w:t>
      </w:r>
      <w:bookmarkStart w:id="3" w:name="_Toc232301370"/>
      <w:r w:rsidRPr="000E5496">
        <w:t>ring the project review process:</w:t>
      </w:r>
    </w:p>
    <w:p w:rsidR="004900F4" w:rsidRPr="000E5496" w:rsidRDefault="004900F4" w:rsidP="004900F4">
      <w:pPr>
        <w:pStyle w:val="Heading3"/>
        <w:numPr>
          <w:ilvl w:val="2"/>
          <w:numId w:val="1"/>
        </w:numPr>
      </w:pPr>
      <w:r w:rsidRPr="000E5496">
        <w:t>Requests for preparatory funding for HFC phase</w:t>
      </w:r>
      <w:r w:rsidRPr="000E5496">
        <w:noBreakHyphen/>
        <w:t>down plans included in the work programmes of UNDP, UNEP, UNIDO, World Bank and the Government of Germany;</w:t>
      </w:r>
    </w:p>
    <w:p w:rsidR="004900F4" w:rsidRPr="000E5496" w:rsidRDefault="004900F4" w:rsidP="388C376D">
      <w:pPr>
        <w:widowControl w:val="0"/>
        <w:numPr>
          <w:ilvl w:val="1"/>
          <w:numId w:val="1"/>
        </w:numPr>
        <w:spacing w:after="240"/>
        <w:outlineLvl w:val="1"/>
      </w:pPr>
      <w:r w:rsidRPr="000E5496">
        <w:t>Projects and activities submitted for blanket approval; and</w:t>
      </w:r>
    </w:p>
    <w:p w:rsidR="004900F4" w:rsidRPr="000E5496" w:rsidRDefault="004900F4" w:rsidP="388C376D">
      <w:pPr>
        <w:widowControl w:val="0"/>
        <w:numPr>
          <w:ilvl w:val="1"/>
          <w:numId w:val="1"/>
        </w:numPr>
        <w:spacing w:after="240"/>
        <w:outlineLvl w:val="1"/>
      </w:pPr>
      <w:r w:rsidRPr="000E5496">
        <w:t>Investment projects for individual consideration.</w:t>
      </w:r>
    </w:p>
    <w:bookmarkEnd w:id="3"/>
    <w:p w:rsidR="004900F4" w:rsidRPr="00F95A58" w:rsidRDefault="004900F4" w:rsidP="006860E4">
      <w:pPr>
        <w:pStyle w:val="StyleHeader4Para4Left0Firstline0"/>
        <w:numPr>
          <w:ilvl w:val="0"/>
          <w:numId w:val="0"/>
        </w:numPr>
        <w:rPr>
          <w:b/>
          <w:sz w:val="22"/>
        </w:rPr>
      </w:pPr>
      <w:r w:rsidRPr="000E5496">
        <w:rPr>
          <w:b/>
          <w:sz w:val="22"/>
        </w:rPr>
        <w:t>Projects and activities submitted by</w:t>
      </w:r>
      <w:r w:rsidRPr="00F95A58">
        <w:rPr>
          <w:b/>
          <w:sz w:val="22"/>
        </w:rPr>
        <w:t xml:space="preserve"> bilateral and implementing agencies</w:t>
      </w:r>
    </w:p>
    <w:p w:rsidR="004900F4" w:rsidRPr="00F95A58" w:rsidRDefault="004900F4" w:rsidP="006860E4">
      <w:pPr>
        <w:pStyle w:val="Heading1"/>
      </w:pPr>
      <w:r>
        <w:t xml:space="preserve">Bilateral and implementing agencies submitted 153 funding requests for tranches of approved multiyear agreements, projects and activities amounting to US $39,044,764 (US $51,501,606 including amounts requested in principle), including agency support costs, where applicable. The funding requests covered: </w:t>
      </w:r>
    </w:p>
    <w:p w:rsidR="004900F4" w:rsidRPr="007A4B9D" w:rsidRDefault="004900F4" w:rsidP="006860E4">
      <w:pPr>
        <w:pStyle w:val="Heading2"/>
        <w:numPr>
          <w:ilvl w:val="1"/>
          <w:numId w:val="1"/>
        </w:numPr>
      </w:pPr>
      <w:r>
        <w:t xml:space="preserve">Stage II of the </w:t>
      </w:r>
      <w:r w:rsidRPr="007A4B9D">
        <w:t>HCFC phase-out management plan (HPMP) for 14 countries and stage III for two countries;</w:t>
      </w:r>
    </w:p>
    <w:p w:rsidR="004900F4" w:rsidRPr="007A4B9D" w:rsidRDefault="004900F4" w:rsidP="006860E4">
      <w:pPr>
        <w:pStyle w:val="Heading2"/>
        <w:numPr>
          <w:ilvl w:val="1"/>
          <w:numId w:val="1"/>
        </w:numPr>
      </w:pPr>
      <w:r w:rsidRPr="007A4B9D">
        <w:t>Tranches of approved HPMPs for 13 countries;</w:t>
      </w:r>
    </w:p>
    <w:p w:rsidR="004900F4" w:rsidRPr="007A4B9D" w:rsidRDefault="004900F4" w:rsidP="006860E4">
      <w:pPr>
        <w:pStyle w:val="Heading2"/>
        <w:numPr>
          <w:ilvl w:val="1"/>
          <w:numId w:val="1"/>
        </w:numPr>
      </w:pPr>
      <w:r w:rsidRPr="007A4B9D">
        <w:t xml:space="preserve">Renewals of institutional strengthening (IS) projects for 36 countries; </w:t>
      </w:r>
    </w:p>
    <w:p w:rsidR="004900F4" w:rsidRPr="007A4B9D" w:rsidRDefault="004900F4" w:rsidP="006860E4">
      <w:pPr>
        <w:pStyle w:val="Heading2"/>
        <w:numPr>
          <w:ilvl w:val="1"/>
          <w:numId w:val="1"/>
        </w:numPr>
      </w:pPr>
      <w:r w:rsidRPr="007A4B9D">
        <w:lastRenderedPageBreak/>
        <w:t>Preparation for stage III of HPMPs for four countries;</w:t>
      </w:r>
    </w:p>
    <w:p w:rsidR="004900F4" w:rsidRPr="007A4B9D" w:rsidRDefault="004900F4" w:rsidP="00006AEF">
      <w:pPr>
        <w:pStyle w:val="Heading2"/>
        <w:numPr>
          <w:ilvl w:val="1"/>
          <w:numId w:val="1"/>
        </w:numPr>
      </w:pPr>
      <w:r w:rsidRPr="007A4B9D">
        <w:t>Control and phase-out of HFC-23 emissions in the production of HCFC-22 in one country;</w:t>
      </w:r>
    </w:p>
    <w:p w:rsidR="004900F4" w:rsidRPr="007A4B9D" w:rsidRDefault="004900F4" w:rsidP="006860E4">
      <w:pPr>
        <w:pStyle w:val="Heading2"/>
        <w:numPr>
          <w:ilvl w:val="1"/>
          <w:numId w:val="1"/>
        </w:numPr>
      </w:pPr>
      <w:r w:rsidRPr="007A4B9D">
        <w:t>A stand-alone HFC-related investment project in one country; and</w:t>
      </w:r>
    </w:p>
    <w:p w:rsidR="004900F4" w:rsidRPr="007A4B9D" w:rsidRDefault="004900F4" w:rsidP="7B8DA115">
      <w:pPr>
        <w:pStyle w:val="Heading2"/>
        <w:numPr>
          <w:ilvl w:val="1"/>
          <w:numId w:val="1"/>
        </w:numPr>
      </w:pPr>
      <w:r w:rsidRPr="007A4B9D">
        <w:t xml:space="preserve">Preparation for HFC phase-down plans for 35 countries. </w:t>
      </w:r>
    </w:p>
    <w:p w:rsidR="004900F4" w:rsidRPr="00F95A58" w:rsidRDefault="004900F4" w:rsidP="006860E4">
      <w:pPr>
        <w:pStyle w:val="Heading1"/>
      </w:pPr>
      <w:r>
        <w:t>Following the project review process, 63 funding requests for projects and activities totalling US $9,804,811 (including agency support costs), are recommended for blanket approval, and 74 funding requests totalling US $12,237,486 (including agency support costs), are being forwarded for individual consideration. Together, the funding requests for projects and activities for blanket approval and those for individual consideration amount to US $22,042,297.</w:t>
      </w:r>
    </w:p>
    <w:p w:rsidR="004900F4" w:rsidRPr="00F95A58" w:rsidRDefault="004900F4" w:rsidP="388C376D">
      <w:pPr>
        <w:rPr>
          <w:i/>
          <w:iCs/>
        </w:rPr>
      </w:pPr>
      <w:r w:rsidRPr="388C376D">
        <w:rPr>
          <w:i/>
          <w:iCs/>
          <w:snapToGrid w:val="0"/>
        </w:rPr>
        <w:t xml:space="preserve">HPMPs submitted and subsequently </w:t>
      </w:r>
      <w:r w:rsidRPr="000547B4">
        <w:rPr>
          <w:i/>
          <w:iCs/>
          <w:snapToGrid w:val="0"/>
        </w:rPr>
        <w:t xml:space="preserve">withdrawn </w:t>
      </w:r>
      <w:r w:rsidRPr="000547B4">
        <w:t>(</w:t>
      </w:r>
      <w:r w:rsidRPr="000547B4">
        <w:rPr>
          <w:i/>
          <w:iCs/>
        </w:rPr>
        <w:t>Algeria, Ethiopia, Myanmar, Pakistan)</w:t>
      </w:r>
    </w:p>
    <w:p w:rsidR="004900F4" w:rsidRPr="00F95A58" w:rsidRDefault="004900F4" w:rsidP="006860E4">
      <w:pPr>
        <w:rPr>
          <w:i/>
        </w:rPr>
      </w:pPr>
    </w:p>
    <w:p w:rsidR="004900F4" w:rsidRDefault="004900F4" w:rsidP="00E81BC7">
      <w:pPr>
        <w:pStyle w:val="Heading1"/>
        <w:spacing w:line="259" w:lineRule="auto"/>
      </w:pPr>
      <w:r w:rsidRPr="00E81BC7">
        <w:t>The request for the combined second and third tranche of stage I of the</w:t>
      </w:r>
      <w:r>
        <w:t xml:space="preserve"> HPMP for Algeria submitted by </w:t>
      </w:r>
      <w:r w:rsidRPr="00E81BC7">
        <w:t>UNIDO was withdrawn as the Government and UNIDO need to h</w:t>
      </w:r>
      <w:r>
        <w:t>old</w:t>
      </w:r>
      <w:r w:rsidRPr="00E81BC7">
        <w:t xml:space="preserve"> additional consultations for completing </w:t>
      </w:r>
      <w:r>
        <w:t xml:space="preserve">the </w:t>
      </w:r>
      <w:r w:rsidRPr="00E81BC7">
        <w:t xml:space="preserve">implementation of the air-conditioning conversion project with the beneficiary enterprise (CONDOR). </w:t>
      </w:r>
    </w:p>
    <w:p w:rsidR="004900F4" w:rsidRPr="00E81BC7" w:rsidRDefault="004900F4" w:rsidP="00E81BC7">
      <w:pPr>
        <w:pStyle w:val="Heading1"/>
        <w:spacing w:line="259" w:lineRule="auto"/>
      </w:pPr>
      <w:r>
        <w:t>UNEP, on behalf of the Government of Ethiopia, submitted stage II of the HPMP and the progress report on the implementation of the work programme associated with the third and final tranche of stage I of the HPMP, in line with decision 85/22(a). In reviewing the latter, the Secretariat noted that notwithstanding the progress in implementing stage I of the HPMP, due to the COVID-19 pandemic, equipment purchased by UNIDO had not yet been delivered to the country and, therefore, the disbursement required by decision 85/22(a) for the submission of stage II had not yet been achieved. Moreover, in reviewing the former, the Secretariat noted a number of data inconsistencies. Accordingly, UNEP withdrew the proposal so that it could submit a revised proposal to the 88</w:t>
      </w:r>
      <w:r w:rsidRPr="7B8DA115">
        <w:rPr>
          <w:vertAlign w:val="superscript"/>
        </w:rPr>
        <w:t>th</w:t>
      </w:r>
      <w:r>
        <w:t xml:space="preserve"> meeting, by which time the equipment purchased under stage I was expected to be delivered in the country and the necessary disbursement achieved.</w:t>
      </w:r>
    </w:p>
    <w:p w:rsidR="004900F4" w:rsidRDefault="004900F4" w:rsidP="7B8DA115">
      <w:pPr>
        <w:pStyle w:val="Heading1"/>
        <w:spacing w:line="259" w:lineRule="auto"/>
      </w:pPr>
      <w:r>
        <w:t>UNEP, as the lead implementing agency, on behalf of the Government of Myanmar submitted a request for stage II of the HPMP. The Secretariat noted that several conditions required for the submission of stage II of the HPMP had not been fulfilled. Therefore, UNEP requested to defer the proposal to the 88</w:t>
      </w:r>
      <w:r w:rsidRPr="00E81BC7">
        <w:rPr>
          <w:vertAlign w:val="superscript"/>
        </w:rPr>
        <w:t>th</w:t>
      </w:r>
      <w:r>
        <w:t> meeting, by which time it is expected that the requirements for consideration of stage II, including the verification report and disbursement of the last approved tranche, will have been met.</w:t>
      </w:r>
    </w:p>
    <w:p w:rsidR="004900F4" w:rsidRDefault="004900F4" w:rsidP="004900F4">
      <w:pPr>
        <w:pStyle w:val="Heading1"/>
      </w:pPr>
      <w:r>
        <w:t>UNIDO, as the lead implementing agency, on behalf of the Government of Pakistan, submitted requests for the third and final tranche of stage II of the HPMP and for stage III of the HPMP. The Secretariat noted that with regard to the stage II tranche request, there had not been substantial progress in numerous components. In particular, there were issues related to the investment project in the refrigeration and air-conditioning (RAC) manufacturing sector, where new information provided indicated the potential ineligibility of the project because of production using a high</w:t>
      </w:r>
      <w:r>
        <w:noBreakHyphen/>
        <w:t>GWP alternative during conversion. These issues also impacted stage III of the HPMP, whose consideration was dependent on progress and completion of stage II. After lengthy discussions, UNIDO decided to defer the submission of the tranche request to the 88</w:t>
      </w:r>
      <w:r w:rsidRPr="00921461">
        <w:rPr>
          <w:vertAlign w:val="superscript"/>
        </w:rPr>
        <w:t>th</w:t>
      </w:r>
      <w:r>
        <w:t> meeting and the submission of stage III of the HPMP until the 89</w:t>
      </w:r>
      <w:r w:rsidRPr="00921461">
        <w:rPr>
          <w:vertAlign w:val="superscript"/>
        </w:rPr>
        <w:t>th</w:t>
      </w:r>
      <w:r>
        <w:t xml:space="preserve"> meeting so that more substantive progress can be achieved under stage II, and clarity could be provided with regard to the RAC investment project vis-à-vis the issue of eligibility and potential cancellation.</w:t>
      </w:r>
    </w:p>
    <w:p w:rsidR="004900F4" w:rsidRPr="00F95A58" w:rsidRDefault="004900F4" w:rsidP="006860E4">
      <w:pPr>
        <w:pStyle w:val="Heading1"/>
        <w:keepNext/>
        <w:numPr>
          <w:ilvl w:val="0"/>
          <w:numId w:val="0"/>
        </w:numPr>
        <w:rPr>
          <w:i/>
        </w:rPr>
      </w:pPr>
      <w:r w:rsidRPr="00F95A58">
        <w:rPr>
          <w:i/>
        </w:rPr>
        <w:lastRenderedPageBreak/>
        <w:t>IS renewal requests</w:t>
      </w:r>
    </w:p>
    <w:p w:rsidR="004900F4" w:rsidRPr="00F95A58" w:rsidRDefault="004900F4" w:rsidP="00921461">
      <w:pPr>
        <w:pStyle w:val="Heading1"/>
      </w:pPr>
      <w:r>
        <w:t>The Secretariat reviewed the terminal reports and requests for extension of IS funding for 36 countries against relevant decisions, including decision 74/51(c) on the funding level for IS projects, and decision 74/51(e) on the requirement to include specific performance indicators for planned activities. All requests were crosschecked against: previous IS reports; progress reports on the implementation of country programmes (CP); data reported under Article 7 of the Montreal Protocol; the latest reports on the implementation of HPMPs; bilateral and implementing agencies’ progress reports submitted to the 86</w:t>
      </w:r>
      <w:r w:rsidRPr="7B8DA115">
        <w:rPr>
          <w:vertAlign w:val="superscript"/>
        </w:rPr>
        <w:t>th</w:t>
      </w:r>
      <w:r>
        <w:t> meeting; and relevant decisions on compliance adopted by the Parties to the Montreal Protocol. All countries had 2019 CP implementation data, and 22 countries had submitted the 2020 data as at the submission date of their requests for extension. All countries reported that they had achieved all or a majority of the targets set for the specific performance indicators that were part of the progress report for the previous IS phase. The Secretariat recommended all IS projects submitted to the 87</w:t>
      </w:r>
      <w:r w:rsidRPr="7B8DA115">
        <w:rPr>
          <w:vertAlign w:val="superscript"/>
        </w:rPr>
        <w:t>th</w:t>
      </w:r>
      <w:r>
        <w:t xml:space="preserve"> meeting for blanket approval. </w:t>
      </w:r>
    </w:p>
    <w:p w:rsidR="004900F4" w:rsidRPr="00F95A58" w:rsidRDefault="004900F4" w:rsidP="006860E4">
      <w:pPr>
        <w:pStyle w:val="Heading1"/>
        <w:numPr>
          <w:ilvl w:val="0"/>
          <w:numId w:val="0"/>
        </w:numPr>
        <w:rPr>
          <w:i/>
          <w:szCs w:val="28"/>
        </w:rPr>
      </w:pPr>
      <w:r w:rsidRPr="00F95A58">
        <w:rPr>
          <w:i/>
          <w:szCs w:val="28"/>
        </w:rPr>
        <w:t>Funding withheld pending submission of verification reports or meeting specific conditions</w:t>
      </w:r>
    </w:p>
    <w:p w:rsidR="004900F4" w:rsidRPr="00AC085A" w:rsidRDefault="004900F4" w:rsidP="006860E4">
      <w:pPr>
        <w:pStyle w:val="Heading1"/>
      </w:pPr>
      <w:r w:rsidRPr="00AC085A">
        <w:t>No approved funds are currently being withheld by the Treasurer pending submission of a verification report or meeting a specific condition.</w:t>
      </w:r>
    </w:p>
    <w:p w:rsidR="004900F4" w:rsidRPr="00F95A58" w:rsidRDefault="004900F4" w:rsidP="388C376D">
      <w:pPr>
        <w:widowControl w:val="0"/>
        <w:rPr>
          <w:i/>
          <w:iCs/>
        </w:rPr>
      </w:pPr>
      <w:r w:rsidRPr="388C376D">
        <w:rPr>
          <w:i/>
          <w:iCs/>
        </w:rPr>
        <w:t>Summary of prices of the controlled substances and alternatives</w:t>
      </w:r>
    </w:p>
    <w:p w:rsidR="004900F4" w:rsidRPr="00F95A58" w:rsidRDefault="004900F4" w:rsidP="0020084E">
      <w:pPr>
        <w:widowControl w:val="0"/>
        <w:rPr>
          <w:u w:val="single"/>
        </w:rPr>
      </w:pPr>
    </w:p>
    <w:p w:rsidR="004900F4" w:rsidRPr="00F902CD" w:rsidRDefault="004900F4" w:rsidP="0020084E">
      <w:pPr>
        <w:pStyle w:val="Heading1"/>
        <w:widowControl w:val="0"/>
      </w:pPr>
      <w:r w:rsidRPr="00F95A58">
        <w:t>At its 79</w:t>
      </w:r>
      <w:r w:rsidRPr="00F95A58">
        <w:rPr>
          <w:vertAlign w:val="superscript"/>
        </w:rPr>
        <w:t>th</w:t>
      </w:r>
      <w:r w:rsidRPr="00F95A58">
        <w:t xml:space="preserve"> meeting,</w:t>
      </w:r>
      <w:r w:rsidRPr="00F95A58">
        <w:rPr>
          <w:rStyle w:val="FootnoteReference"/>
        </w:rPr>
        <w:footnoteReference w:id="2"/>
      </w:r>
      <w:r w:rsidRPr="00F95A58">
        <w:t xml:space="preserve"> the Executive Committee requested the Secretariat to include in this document a summary of the prices of the controlled substances and the alternatives to be phased in, as communicated by enterprises requesting funding in any new project proposal, including clarification of any differences between those and the </w:t>
      </w:r>
      <w:r w:rsidRPr="00F902CD">
        <w:t xml:space="preserve">prices reported in the CP data report. </w:t>
      </w:r>
    </w:p>
    <w:p w:rsidR="004900F4" w:rsidRPr="00F902CD" w:rsidRDefault="004900F4" w:rsidP="00006AEF">
      <w:pPr>
        <w:pStyle w:val="Heading1"/>
        <w:widowControl w:val="0"/>
      </w:pPr>
      <w:r w:rsidRPr="00F902CD">
        <w:t xml:space="preserve">One investment project for the conversion of a manufacturing line </w:t>
      </w:r>
      <w:r>
        <w:t xml:space="preserve">producing </w:t>
      </w:r>
      <w:r w:rsidRPr="00F902CD">
        <w:t>HFC</w:t>
      </w:r>
      <w:r>
        <w:noBreakHyphen/>
      </w:r>
      <w:r w:rsidRPr="00F902CD">
        <w:t>134a</w:t>
      </w:r>
      <w:r>
        <w:noBreakHyphen/>
      </w:r>
      <w:r w:rsidRPr="00F902CD">
        <w:t xml:space="preserve">based compressors to </w:t>
      </w:r>
      <w:r>
        <w:t xml:space="preserve">produce </w:t>
      </w:r>
      <w:r w:rsidRPr="00F902CD">
        <w:t>R-600-a-based compressors is being presented for consideration at the 87</w:t>
      </w:r>
      <w:r w:rsidRPr="00F902CD">
        <w:rPr>
          <w:vertAlign w:val="superscript"/>
        </w:rPr>
        <w:t>th</w:t>
      </w:r>
      <w:r w:rsidRPr="00F902CD">
        <w:t> meeting. The prices of HFC</w:t>
      </w:r>
      <w:r w:rsidRPr="00F902CD">
        <w:noBreakHyphen/>
        <w:t>134a and R-600-a are not relevant for the proposal as the enterprise does not consume controlled substances, but rather manufacture</w:t>
      </w:r>
      <w:r>
        <w:t>s</w:t>
      </w:r>
      <w:r w:rsidRPr="00F902CD">
        <w:t xml:space="preserve"> components </w:t>
      </w:r>
      <w:r>
        <w:t>for</w:t>
      </w:r>
      <w:r w:rsidRPr="00F902CD">
        <w:t xml:space="preserve"> other enterprises that use HFC</w:t>
      </w:r>
      <w:r>
        <w:noBreakHyphen/>
      </w:r>
      <w:r w:rsidRPr="00F902CD">
        <w:t xml:space="preserve">134a. The project is </w:t>
      </w:r>
      <w:r>
        <w:t>not</w:t>
      </w:r>
      <w:r w:rsidRPr="00F902CD">
        <w:t xml:space="preserve"> requesting funding for incremental operationa</w:t>
      </w:r>
      <w:r>
        <w:t>l</w:t>
      </w:r>
      <w:r w:rsidRPr="00F902CD">
        <w:t xml:space="preserve"> costs based on the difference of price between the baseline substance and the alternative. </w:t>
      </w:r>
    </w:p>
    <w:p w:rsidR="004900F4" w:rsidRPr="00F95A58" w:rsidRDefault="004900F4" w:rsidP="00006AEF">
      <w:pPr>
        <w:widowControl w:val="0"/>
        <w:rPr>
          <w:i/>
          <w:color w:val="000000"/>
        </w:rPr>
      </w:pPr>
      <w:r w:rsidRPr="00F95A58">
        <w:rPr>
          <w:i/>
          <w:color w:val="000000"/>
        </w:rPr>
        <w:t>Implementation of Montreal Protocol activities in Article 5 countries under COVID-19</w:t>
      </w:r>
    </w:p>
    <w:p w:rsidR="004900F4" w:rsidRPr="00F95A58" w:rsidRDefault="004900F4" w:rsidP="00006AEF">
      <w:pPr>
        <w:widowControl w:val="0"/>
        <w:rPr>
          <w:color w:val="000000"/>
        </w:rPr>
      </w:pPr>
    </w:p>
    <w:p w:rsidR="004900F4" w:rsidRDefault="004900F4" w:rsidP="00006AEF">
      <w:pPr>
        <w:pStyle w:val="Heading1"/>
        <w:widowControl w:val="0"/>
      </w:pPr>
      <w:r>
        <w:t>Further to the information reported at the 85</w:t>
      </w:r>
      <w:r w:rsidRPr="006075EB">
        <w:rPr>
          <w:vertAlign w:val="superscript"/>
        </w:rPr>
        <w:t>th</w:t>
      </w:r>
      <w:r>
        <w:t xml:space="preserve"> meeting on the implementation of activities in Article 5 countries amongst the COVID-19 pandemic,</w:t>
      </w:r>
      <w:r>
        <w:rPr>
          <w:rStyle w:val="FootnoteReference"/>
        </w:rPr>
        <w:footnoteReference w:id="3"/>
      </w:r>
      <w:r>
        <w:t xml:space="preserve"> during the project review process for the 86</w:t>
      </w:r>
      <w:r w:rsidRPr="006075EB">
        <w:rPr>
          <w:vertAlign w:val="superscript"/>
        </w:rPr>
        <w:t>th</w:t>
      </w:r>
      <w:r>
        <w:t> and 87</w:t>
      </w:r>
      <w:r w:rsidRPr="006075EB">
        <w:rPr>
          <w:vertAlign w:val="superscript"/>
        </w:rPr>
        <w:t>th</w:t>
      </w:r>
      <w:r>
        <w:t> meetings the Secretariat noted the efforts made by assisted Governments and bilateral and implementing agencies to ensure the continued implementation of activities supported by the Multilateral Fund. The extent to which the implementation of activities considered at this meeting has been affected is described in each project proposal submitted to the 87</w:t>
      </w:r>
      <w:r w:rsidRPr="006075EB">
        <w:rPr>
          <w:vertAlign w:val="superscript"/>
        </w:rPr>
        <w:t>th</w:t>
      </w:r>
      <w:r>
        <w:rPr>
          <w:vertAlign w:val="superscript"/>
        </w:rPr>
        <w:t> </w:t>
      </w:r>
      <w:r>
        <w:t>meeting.</w:t>
      </w:r>
    </w:p>
    <w:p w:rsidR="004900F4" w:rsidRPr="007A4B9D" w:rsidRDefault="004900F4" w:rsidP="388C376D">
      <w:pPr>
        <w:rPr>
          <w:b/>
          <w:bCs/>
        </w:rPr>
      </w:pPr>
      <w:r w:rsidRPr="007A4B9D">
        <w:rPr>
          <w:b/>
          <w:bCs/>
        </w:rPr>
        <w:t xml:space="preserve">Issues identified during project review </w:t>
      </w:r>
    </w:p>
    <w:p w:rsidR="004900F4" w:rsidRPr="007A4B9D" w:rsidRDefault="004900F4" w:rsidP="388C376D">
      <w:pPr>
        <w:rPr>
          <w:bCs/>
        </w:rPr>
      </w:pPr>
    </w:p>
    <w:p w:rsidR="004900F4" w:rsidRPr="007A4B9D" w:rsidRDefault="004900F4" w:rsidP="00DF06D4">
      <w:pPr>
        <w:widowControl w:val="0"/>
        <w:spacing w:after="240"/>
        <w:outlineLvl w:val="0"/>
        <w:rPr>
          <w:i/>
        </w:rPr>
      </w:pPr>
      <w:bookmarkStart w:id="4" w:name="_Toc232301385"/>
      <w:r w:rsidRPr="007A4B9D">
        <w:rPr>
          <w:i/>
          <w:lang w:val="en-GB"/>
        </w:rPr>
        <w:t>Requests for preparatory funding for HFC phase</w:t>
      </w:r>
      <w:r w:rsidRPr="007A4B9D">
        <w:rPr>
          <w:i/>
          <w:lang w:val="en-GB"/>
        </w:rPr>
        <w:noBreakHyphen/>
        <w:t>down plans included in the work programmes of UNDP, UNEP, UNIDO, World Bank and the Government of Germany</w:t>
      </w:r>
    </w:p>
    <w:p w:rsidR="004900F4" w:rsidRPr="007A4B9D" w:rsidRDefault="004900F4" w:rsidP="00DF06D4">
      <w:pPr>
        <w:numPr>
          <w:ilvl w:val="0"/>
          <w:numId w:val="1"/>
        </w:numPr>
        <w:spacing w:after="240"/>
        <w:outlineLvl w:val="0"/>
        <w:rPr>
          <w:snapToGrid w:val="0"/>
          <w:lang w:val="en-GB"/>
        </w:rPr>
      </w:pPr>
      <w:r w:rsidRPr="007A4B9D">
        <w:rPr>
          <w:snapToGrid w:val="0"/>
          <w:lang w:val="en-GB"/>
        </w:rPr>
        <w:t>At the 85</w:t>
      </w:r>
      <w:r w:rsidRPr="007A4B9D">
        <w:rPr>
          <w:snapToGrid w:val="0"/>
          <w:vertAlign w:val="superscript"/>
          <w:lang w:val="en-GB"/>
        </w:rPr>
        <w:t>th</w:t>
      </w:r>
      <w:r w:rsidRPr="007A4B9D">
        <w:rPr>
          <w:snapToGrid w:val="0"/>
          <w:lang w:val="en-GB"/>
        </w:rPr>
        <w:t xml:space="preserve"> meeting, UNDP, UNEP</w:t>
      </w:r>
      <w:r w:rsidRPr="007A4B9D">
        <w:rPr>
          <w:lang w:val="en-US"/>
        </w:rPr>
        <w:t xml:space="preserve"> </w:t>
      </w:r>
      <w:r w:rsidRPr="007A4B9D">
        <w:rPr>
          <w:snapToGrid w:val="0"/>
          <w:lang w:val="en-GB"/>
        </w:rPr>
        <w:t>and UNIDO included in their 2020 work programmes</w:t>
      </w:r>
      <w:r w:rsidRPr="007A4B9D">
        <w:rPr>
          <w:snapToGrid w:val="0"/>
          <w:vertAlign w:val="superscript"/>
          <w:lang w:val="en-GB"/>
        </w:rPr>
        <w:footnoteReference w:id="4"/>
      </w:r>
      <w:r w:rsidRPr="007A4B9D">
        <w:rPr>
          <w:snapToGrid w:val="0"/>
          <w:lang w:val="en-GB"/>
        </w:rPr>
        <w:t xml:space="preserve"> requests for funding for the preparation of HFC phase-down plans for five countries and at the 86</w:t>
      </w:r>
      <w:r w:rsidRPr="007A4B9D">
        <w:rPr>
          <w:snapToGrid w:val="0"/>
          <w:vertAlign w:val="superscript"/>
          <w:lang w:val="en-GB"/>
        </w:rPr>
        <w:t>th</w:t>
      </w:r>
      <w:r w:rsidRPr="007A4B9D">
        <w:rPr>
          <w:snapToGrid w:val="0"/>
          <w:lang w:val="en-GB"/>
        </w:rPr>
        <w:t xml:space="preserve"> meeting, </w:t>
      </w:r>
      <w:r w:rsidRPr="007A4B9D">
        <w:rPr>
          <w:snapToGrid w:val="0"/>
          <w:lang w:val="en-GB"/>
        </w:rPr>
        <w:lastRenderedPageBreak/>
        <w:t>the Government of Germany, UNDP, UNEP, UNIDO and the World Bank included in their 2020 work programme amendments,</w:t>
      </w:r>
      <w:r w:rsidRPr="007A4B9D">
        <w:rPr>
          <w:snapToGrid w:val="0"/>
          <w:vertAlign w:val="superscript"/>
          <w:lang w:val="en-GB"/>
        </w:rPr>
        <w:footnoteReference w:id="5"/>
      </w:r>
      <w:r w:rsidRPr="007A4B9D">
        <w:rPr>
          <w:snapToGrid w:val="0"/>
          <w:lang w:val="en-GB"/>
        </w:rPr>
        <w:t xml:space="preserve"> requests for funding for the preparation of HFC phase-down plans for 19 countries.</w:t>
      </w:r>
    </w:p>
    <w:p w:rsidR="004900F4" w:rsidRPr="007A4B9D" w:rsidRDefault="004900F4" w:rsidP="00DF06D4">
      <w:pPr>
        <w:numPr>
          <w:ilvl w:val="0"/>
          <w:numId w:val="1"/>
        </w:numPr>
        <w:spacing w:after="240"/>
        <w:outlineLvl w:val="0"/>
        <w:rPr>
          <w:snapToGrid w:val="0"/>
          <w:lang w:val="en-GB"/>
        </w:rPr>
      </w:pPr>
      <w:r w:rsidRPr="007A4B9D">
        <w:rPr>
          <w:snapToGrid w:val="0"/>
          <w:lang w:val="en-GB"/>
        </w:rPr>
        <w:t>These funding requests submitted for individual consideration were not considered at the 85</w:t>
      </w:r>
      <w:r w:rsidRPr="007A4B9D">
        <w:rPr>
          <w:snapToGrid w:val="0"/>
          <w:vertAlign w:val="superscript"/>
          <w:lang w:val="en-GB"/>
        </w:rPr>
        <w:t>th</w:t>
      </w:r>
      <w:r w:rsidRPr="007A4B9D">
        <w:rPr>
          <w:snapToGrid w:val="0"/>
          <w:lang w:val="en-GB"/>
        </w:rPr>
        <w:t> and 86</w:t>
      </w:r>
      <w:r w:rsidRPr="007A4B9D">
        <w:rPr>
          <w:snapToGrid w:val="0"/>
          <w:vertAlign w:val="superscript"/>
          <w:lang w:val="en-GB"/>
        </w:rPr>
        <w:t>th</w:t>
      </w:r>
      <w:r w:rsidRPr="007A4B9D">
        <w:rPr>
          <w:snapToGrid w:val="0"/>
          <w:lang w:val="en-GB"/>
        </w:rPr>
        <w:t> meetings, and were deferred to the 87</w:t>
      </w:r>
      <w:r w:rsidRPr="007A4B9D">
        <w:rPr>
          <w:snapToGrid w:val="0"/>
          <w:vertAlign w:val="superscript"/>
          <w:lang w:val="en-GB"/>
        </w:rPr>
        <w:t>th</w:t>
      </w:r>
      <w:r w:rsidRPr="007A4B9D">
        <w:rPr>
          <w:snapToGrid w:val="0"/>
          <w:lang w:val="en-GB"/>
        </w:rPr>
        <w:t xml:space="preserve"> meeting, in light of the discussion on the Draft guidelines for the preparation of HFC phase-down plans for Article 5 countries at the 86</w:t>
      </w:r>
      <w:r w:rsidRPr="007A4B9D">
        <w:rPr>
          <w:snapToGrid w:val="0"/>
          <w:vertAlign w:val="superscript"/>
          <w:lang w:val="en-GB"/>
        </w:rPr>
        <w:t>th</w:t>
      </w:r>
      <w:r w:rsidRPr="007A4B9D">
        <w:rPr>
          <w:snapToGrid w:val="0"/>
          <w:lang w:val="en-GB"/>
        </w:rPr>
        <w:t xml:space="preserve"> meeting,</w:t>
      </w:r>
      <w:r w:rsidRPr="007A4B9D">
        <w:rPr>
          <w:snapToGrid w:val="0"/>
          <w:vertAlign w:val="superscript"/>
          <w:lang w:val="en-GB"/>
        </w:rPr>
        <w:footnoteReference w:id="6"/>
      </w:r>
      <w:r w:rsidRPr="007A4B9D">
        <w:rPr>
          <w:snapToGrid w:val="0"/>
          <w:lang w:val="en-GB"/>
        </w:rPr>
        <w:t xml:space="preserve"> and in line with decision 86/93. Accordingly, the proposals submitted to the 85</w:t>
      </w:r>
      <w:r w:rsidRPr="007A4B9D">
        <w:rPr>
          <w:snapToGrid w:val="0"/>
          <w:vertAlign w:val="superscript"/>
          <w:lang w:val="en-GB"/>
        </w:rPr>
        <w:t>th</w:t>
      </w:r>
      <w:r w:rsidRPr="007A4B9D">
        <w:rPr>
          <w:snapToGrid w:val="0"/>
          <w:lang w:val="en-GB"/>
        </w:rPr>
        <w:t xml:space="preserve"> and 86</w:t>
      </w:r>
      <w:r w:rsidRPr="007A4B9D">
        <w:rPr>
          <w:snapToGrid w:val="0"/>
          <w:vertAlign w:val="superscript"/>
          <w:lang w:val="en-GB"/>
        </w:rPr>
        <w:t>th</w:t>
      </w:r>
      <w:r w:rsidRPr="007A4B9D">
        <w:rPr>
          <w:snapToGrid w:val="0"/>
          <w:lang w:val="en-GB"/>
        </w:rPr>
        <w:t xml:space="preserve"> meetings have been included in the present document.</w:t>
      </w:r>
    </w:p>
    <w:p w:rsidR="004900F4" w:rsidRPr="007A4B9D" w:rsidRDefault="004900F4" w:rsidP="00DF06D4">
      <w:pPr>
        <w:widowControl w:val="0"/>
        <w:numPr>
          <w:ilvl w:val="0"/>
          <w:numId w:val="1"/>
        </w:numPr>
        <w:spacing w:after="240"/>
        <w:outlineLvl w:val="0"/>
        <w:rPr>
          <w:snapToGrid w:val="0"/>
          <w:lang w:val="en-GB"/>
        </w:rPr>
      </w:pPr>
      <w:r w:rsidRPr="007A4B9D">
        <w:rPr>
          <w:snapToGrid w:val="0"/>
          <w:lang w:val="en-GB"/>
        </w:rPr>
        <w:t>Three implementing agencies and one bilateral agency submitted to the present meeting requests for project preparation for HFC phase</w:t>
      </w:r>
      <w:r w:rsidRPr="007A4B9D">
        <w:rPr>
          <w:snapToGrid w:val="0"/>
          <w:lang w:val="en-GB"/>
        </w:rPr>
        <w:noBreakHyphen/>
        <w:t>down plans for 12 countries</w:t>
      </w:r>
      <w:r w:rsidRPr="007A4B9D">
        <w:rPr>
          <w:vertAlign w:val="superscript"/>
          <w:lang w:val="en-US"/>
        </w:rPr>
        <w:footnoteReference w:id="7"/>
      </w:r>
      <w:r w:rsidRPr="007A4B9D">
        <w:rPr>
          <w:snapToGrid w:val="0"/>
          <w:lang w:val="en-GB"/>
        </w:rPr>
        <w:t xml:space="preserve"> as part of their bilateral cooperation and 2021 work programmes (the Government of Germany, UNDP, UNEP, UNIDO).</w:t>
      </w:r>
      <w:r w:rsidRPr="007A4B9D">
        <w:rPr>
          <w:snapToGrid w:val="0"/>
          <w:vertAlign w:val="superscript"/>
          <w:lang w:val="en-GB"/>
        </w:rPr>
        <w:footnoteReference w:id="8"/>
      </w:r>
      <w:r w:rsidRPr="007A4B9D">
        <w:rPr>
          <w:snapToGrid w:val="0"/>
          <w:lang w:val="en-GB"/>
        </w:rPr>
        <w:t xml:space="preserve"> Table 1 summarizes the requests submitted at the 85</w:t>
      </w:r>
      <w:r w:rsidRPr="007A4B9D">
        <w:rPr>
          <w:snapToGrid w:val="0"/>
          <w:vertAlign w:val="superscript"/>
          <w:lang w:val="en-GB"/>
        </w:rPr>
        <w:t>th</w:t>
      </w:r>
      <w:r w:rsidRPr="007A4B9D">
        <w:rPr>
          <w:snapToGrid w:val="0"/>
          <w:lang w:val="en-GB"/>
        </w:rPr>
        <w:t>, 86</w:t>
      </w:r>
      <w:r w:rsidRPr="007A4B9D">
        <w:rPr>
          <w:snapToGrid w:val="0"/>
          <w:vertAlign w:val="superscript"/>
          <w:lang w:val="en-GB"/>
        </w:rPr>
        <w:t>th</w:t>
      </w:r>
      <w:r w:rsidRPr="007A4B9D">
        <w:rPr>
          <w:snapToGrid w:val="0"/>
          <w:lang w:val="en-GB"/>
        </w:rPr>
        <w:t>, and 87</w:t>
      </w:r>
      <w:r w:rsidRPr="007A4B9D">
        <w:rPr>
          <w:snapToGrid w:val="0"/>
          <w:vertAlign w:val="superscript"/>
          <w:lang w:val="en-GB"/>
        </w:rPr>
        <w:t>th</w:t>
      </w:r>
      <w:r w:rsidRPr="007A4B9D">
        <w:rPr>
          <w:snapToGrid w:val="0"/>
          <w:lang w:val="en-GB"/>
        </w:rPr>
        <w:t xml:space="preserve"> meetings. The submissions were based on the format for funding for the preparation of stages of HPMPs. </w:t>
      </w:r>
    </w:p>
    <w:p w:rsidR="004900F4" w:rsidRPr="007A4B9D" w:rsidRDefault="004900F4" w:rsidP="00DF06D4">
      <w:pPr>
        <w:spacing w:after="40"/>
        <w:outlineLvl w:val="0"/>
        <w:rPr>
          <w:b/>
          <w:lang w:val="en-GB"/>
        </w:rPr>
      </w:pPr>
      <w:r w:rsidRPr="007A4B9D">
        <w:rPr>
          <w:b/>
          <w:lang w:val="en-GB"/>
        </w:rPr>
        <w:t>Table 1. Requests for HFC phase</w:t>
      </w:r>
      <w:r w:rsidRPr="007A4B9D">
        <w:rPr>
          <w:b/>
          <w:lang w:val="en-GB"/>
        </w:rPr>
        <w:noBreakHyphen/>
        <w:t>down projects submitted to the 85</w:t>
      </w:r>
      <w:r w:rsidRPr="007A4B9D">
        <w:rPr>
          <w:b/>
          <w:vertAlign w:val="superscript"/>
          <w:lang w:val="en-GB"/>
        </w:rPr>
        <w:t>th</w:t>
      </w:r>
      <w:r w:rsidRPr="007A4B9D">
        <w:rPr>
          <w:b/>
          <w:lang w:val="en-GB"/>
        </w:rPr>
        <w:t>, 86</w:t>
      </w:r>
      <w:r w:rsidRPr="007A4B9D">
        <w:rPr>
          <w:b/>
          <w:vertAlign w:val="superscript"/>
          <w:lang w:val="en-GB"/>
        </w:rPr>
        <w:t>th</w:t>
      </w:r>
      <w:r w:rsidRPr="007A4B9D">
        <w:rPr>
          <w:b/>
          <w:lang w:val="en-GB"/>
        </w:rPr>
        <w:t xml:space="preserve"> and 87</w:t>
      </w:r>
      <w:r w:rsidRPr="007A4B9D">
        <w:rPr>
          <w:b/>
          <w:vertAlign w:val="superscript"/>
          <w:lang w:val="en-GB"/>
        </w:rPr>
        <w:t>th</w:t>
      </w:r>
      <w:r w:rsidRPr="007A4B9D">
        <w:rPr>
          <w:b/>
          <w:lang w:val="en-GB"/>
        </w:rPr>
        <w:t xml:space="preserve"> meetings </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955"/>
        <w:gridCol w:w="3390"/>
        <w:gridCol w:w="1585"/>
        <w:gridCol w:w="1642"/>
      </w:tblGrid>
      <w:tr w:rsidR="004900F4" w:rsidRPr="007A4B9D" w:rsidTr="00B629C9">
        <w:trPr>
          <w:tblHeader/>
        </w:trPr>
        <w:tc>
          <w:tcPr>
            <w:tcW w:w="1684" w:type="dxa"/>
            <w:shd w:val="clear" w:color="auto" w:fill="auto"/>
          </w:tcPr>
          <w:p w:rsidR="004900F4" w:rsidRPr="007A4B9D" w:rsidRDefault="004900F4" w:rsidP="006860E4">
            <w:pPr>
              <w:jc w:val="center"/>
              <w:rPr>
                <w:b/>
                <w:color w:val="000000"/>
                <w:sz w:val="20"/>
                <w:szCs w:val="20"/>
                <w:lang w:val="en-US" w:eastAsia="en-GB"/>
              </w:rPr>
            </w:pPr>
            <w:r w:rsidRPr="007A4B9D">
              <w:rPr>
                <w:b/>
                <w:color w:val="000000"/>
                <w:sz w:val="20"/>
                <w:szCs w:val="20"/>
                <w:lang w:val="en-US" w:eastAsia="en-GB"/>
              </w:rPr>
              <w:t>Country</w:t>
            </w:r>
          </w:p>
        </w:tc>
        <w:tc>
          <w:tcPr>
            <w:tcW w:w="955" w:type="dxa"/>
            <w:shd w:val="clear" w:color="auto" w:fill="auto"/>
            <w:noWrap/>
          </w:tcPr>
          <w:p w:rsidR="004900F4" w:rsidRPr="007A4B9D" w:rsidRDefault="004900F4" w:rsidP="00DF06D4">
            <w:pPr>
              <w:jc w:val="center"/>
              <w:rPr>
                <w:b/>
                <w:color w:val="000000"/>
                <w:sz w:val="20"/>
                <w:szCs w:val="20"/>
                <w:lang w:val="en-US" w:eastAsia="en-GB"/>
              </w:rPr>
            </w:pPr>
            <w:r w:rsidRPr="007A4B9D">
              <w:rPr>
                <w:b/>
                <w:color w:val="000000"/>
                <w:sz w:val="20"/>
                <w:szCs w:val="20"/>
                <w:lang w:val="en-US" w:eastAsia="en-GB"/>
              </w:rPr>
              <w:t>Meeting</w:t>
            </w:r>
          </w:p>
        </w:tc>
        <w:tc>
          <w:tcPr>
            <w:tcW w:w="3390" w:type="dxa"/>
            <w:shd w:val="clear" w:color="auto" w:fill="auto"/>
          </w:tcPr>
          <w:p w:rsidR="004900F4" w:rsidRPr="007A4B9D" w:rsidRDefault="004900F4" w:rsidP="00DF06D4">
            <w:pPr>
              <w:jc w:val="center"/>
              <w:rPr>
                <w:b/>
                <w:color w:val="000000"/>
                <w:sz w:val="20"/>
                <w:szCs w:val="20"/>
                <w:lang w:val="en-US" w:eastAsia="en-GB"/>
              </w:rPr>
            </w:pPr>
            <w:r w:rsidRPr="007A4B9D">
              <w:rPr>
                <w:b/>
                <w:color w:val="000000"/>
                <w:sz w:val="20"/>
                <w:szCs w:val="20"/>
                <w:lang w:val="en-US" w:eastAsia="en-GB"/>
              </w:rPr>
              <w:t>Project title</w:t>
            </w:r>
          </w:p>
        </w:tc>
        <w:tc>
          <w:tcPr>
            <w:tcW w:w="1585" w:type="dxa"/>
            <w:shd w:val="clear" w:color="auto" w:fill="auto"/>
            <w:noWrap/>
          </w:tcPr>
          <w:p w:rsidR="004900F4" w:rsidRPr="007A4B9D" w:rsidRDefault="004900F4" w:rsidP="00DF06D4">
            <w:pPr>
              <w:jc w:val="center"/>
              <w:rPr>
                <w:b/>
                <w:color w:val="000000"/>
                <w:sz w:val="20"/>
                <w:szCs w:val="20"/>
                <w:lang w:val="en-US" w:eastAsia="en-GB"/>
              </w:rPr>
            </w:pPr>
            <w:r w:rsidRPr="007A4B9D">
              <w:rPr>
                <w:b/>
                <w:color w:val="000000"/>
                <w:sz w:val="20"/>
                <w:szCs w:val="20"/>
                <w:lang w:val="en-US" w:eastAsia="en-GB"/>
              </w:rPr>
              <w:t>Agency</w:t>
            </w:r>
          </w:p>
        </w:tc>
        <w:tc>
          <w:tcPr>
            <w:tcW w:w="1642" w:type="dxa"/>
            <w:shd w:val="clear" w:color="auto" w:fill="auto"/>
            <w:noWrap/>
          </w:tcPr>
          <w:p w:rsidR="004900F4" w:rsidRPr="007A4B9D" w:rsidRDefault="004900F4" w:rsidP="006860E4">
            <w:pPr>
              <w:jc w:val="center"/>
              <w:rPr>
                <w:b/>
                <w:color w:val="000000"/>
                <w:sz w:val="20"/>
                <w:szCs w:val="20"/>
                <w:lang w:val="en-US" w:eastAsia="en-GB"/>
              </w:rPr>
            </w:pPr>
            <w:r w:rsidRPr="007A4B9D">
              <w:rPr>
                <w:b/>
                <w:color w:val="000000"/>
                <w:sz w:val="20"/>
                <w:szCs w:val="20"/>
                <w:lang w:val="en-US" w:eastAsia="en-GB"/>
              </w:rPr>
              <w:t>Amount requested (US $)</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Albania</w:t>
            </w:r>
          </w:p>
        </w:tc>
        <w:tc>
          <w:tcPr>
            <w:tcW w:w="955" w:type="dxa"/>
            <w:shd w:val="clear" w:color="auto" w:fill="auto"/>
            <w:noWrap/>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85</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63,500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noWrap/>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85</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31,500</w:t>
            </w:r>
          </w:p>
        </w:tc>
      </w:tr>
      <w:tr w:rsidR="004900F4" w:rsidRPr="007A4B9D" w:rsidTr="00B629C9">
        <w:tc>
          <w:tcPr>
            <w:tcW w:w="1684"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Armenia</w:t>
            </w:r>
          </w:p>
        </w:tc>
        <w:tc>
          <w:tcPr>
            <w:tcW w:w="955" w:type="dxa"/>
            <w:shd w:val="clear" w:color="auto" w:fill="auto"/>
            <w:noWrap/>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Bhutan</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75,000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Bolivia (Plurinational State of)</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170,000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Burkina Faso</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sz w:val="20"/>
                <w:szCs w:val="20"/>
                <w:lang w:val="en-US" w:eastAsia="en-GB"/>
              </w:rPr>
            </w:pPr>
            <w:r w:rsidRPr="007A4B9D">
              <w:rPr>
                <w:sz w:val="20"/>
                <w:szCs w:val="20"/>
                <w:lang w:val="en-US" w:eastAsia="en-GB"/>
              </w:rPr>
              <w:t>Government of Germany</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Colombia</w:t>
            </w:r>
          </w:p>
        </w:tc>
        <w:tc>
          <w:tcPr>
            <w:tcW w:w="955" w:type="dxa"/>
            <w:shd w:val="clear" w:color="auto" w:fill="auto"/>
            <w:noWrap/>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205,000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Costa Rica</w:t>
            </w:r>
          </w:p>
        </w:tc>
        <w:tc>
          <w:tcPr>
            <w:tcW w:w="955" w:type="dxa"/>
            <w:shd w:val="clear" w:color="auto" w:fill="auto"/>
            <w:noWrap/>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85</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Cuba</w:t>
            </w:r>
          </w:p>
        </w:tc>
        <w:tc>
          <w:tcPr>
            <w:tcW w:w="955" w:type="dxa"/>
            <w:shd w:val="clear" w:color="auto" w:fill="auto"/>
            <w:noWrap/>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85</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Dominican Republic</w:t>
            </w:r>
          </w:p>
        </w:tc>
        <w:tc>
          <w:tcPr>
            <w:tcW w:w="955" w:type="dxa"/>
            <w:shd w:val="clear" w:color="auto" w:fill="auto"/>
            <w:noWrap/>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170,000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Ecuador</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190,000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Eswatini</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100,000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30,000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Ghana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105,000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45,000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Jordan</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85</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Kyrgyzstan</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60,000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25,000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Lao People’s Democratic Republic</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75,000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Lebanon</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Liberia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Government of Germany</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130,000</w:t>
            </w:r>
          </w:p>
        </w:tc>
      </w:tr>
      <w:tr w:rsidR="004900F4" w:rsidRPr="007A4B9D" w:rsidTr="00B629C9">
        <w:tc>
          <w:tcPr>
            <w:tcW w:w="1684"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lastRenderedPageBreak/>
              <w:t>Malaysia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W</w:t>
            </w:r>
            <w:r>
              <w:rPr>
                <w:color w:val="000000"/>
                <w:sz w:val="20"/>
                <w:szCs w:val="20"/>
                <w:lang w:val="en-US" w:eastAsia="en-GB"/>
              </w:rPr>
              <w:t>orld Bank</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250,000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Maldives</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75,000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Mauritius</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Government of Germany</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 xml:space="preserve">Mexico  </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125,000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35,000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90,000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Montenegro</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85,000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Nicaragua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170,000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Niger</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vMerge w:val="restart"/>
            <w:shd w:val="clear" w:color="auto" w:fill="auto"/>
            <w:hideMark/>
          </w:tcPr>
          <w:p w:rsidR="004900F4" w:rsidRPr="007A4B9D" w:rsidRDefault="004900F4" w:rsidP="00DF06D4">
            <w:pPr>
              <w:jc w:val="left"/>
              <w:rPr>
                <w:sz w:val="20"/>
                <w:szCs w:val="20"/>
                <w:lang w:val="en-US" w:eastAsia="en-GB"/>
              </w:rPr>
            </w:pPr>
            <w:r w:rsidRPr="007A4B9D">
              <w:rPr>
                <w:sz w:val="20"/>
                <w:szCs w:val="20"/>
                <w:lang w:val="en-US" w:eastAsia="en-GB"/>
              </w:rPr>
              <w:t>Nigeria</w:t>
            </w:r>
            <w:r w:rsidRPr="007A4B9D">
              <w:rPr>
                <w:bCs/>
                <w:sz w:val="20"/>
                <w:szCs w:val="20"/>
                <w:vertAlign w:val="superscript"/>
                <w:lang w:val="en-US"/>
              </w:rPr>
              <w:footnoteReference w:id="9"/>
            </w:r>
          </w:p>
        </w:tc>
        <w:tc>
          <w:tcPr>
            <w:tcW w:w="955" w:type="dxa"/>
            <w:shd w:val="clear" w:color="auto" w:fill="auto"/>
            <w:hideMark/>
          </w:tcPr>
          <w:p w:rsidR="004900F4" w:rsidRPr="007A4B9D" w:rsidRDefault="004900F4" w:rsidP="00DF06D4">
            <w:pPr>
              <w:jc w:val="center"/>
              <w:rPr>
                <w:sz w:val="20"/>
                <w:szCs w:val="20"/>
                <w:lang w:val="en-US" w:eastAsia="en-GB"/>
              </w:rPr>
            </w:pPr>
            <w:r w:rsidRPr="007A4B9D">
              <w:rPr>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sz w:val="20"/>
                <w:szCs w:val="20"/>
                <w:lang w:val="en-US" w:eastAsia="en-GB"/>
              </w:rPr>
            </w:pPr>
            <w:r w:rsidRPr="007A4B9D">
              <w:rPr>
                <w:sz w:val="20"/>
                <w:szCs w:val="20"/>
                <w:lang w:val="en-US" w:eastAsia="en-GB"/>
              </w:rPr>
              <w:t>UNDP</w:t>
            </w:r>
          </w:p>
        </w:tc>
        <w:tc>
          <w:tcPr>
            <w:tcW w:w="1642" w:type="dxa"/>
            <w:shd w:val="clear" w:color="auto" w:fill="auto"/>
            <w:noWrap/>
            <w:hideMark/>
          </w:tcPr>
          <w:p w:rsidR="004900F4" w:rsidRPr="007A4B9D" w:rsidRDefault="004900F4" w:rsidP="00DF06D4">
            <w:pPr>
              <w:jc w:val="right"/>
              <w:rPr>
                <w:sz w:val="20"/>
                <w:szCs w:val="20"/>
                <w:lang w:val="en-US" w:eastAsia="en-GB"/>
              </w:rPr>
            </w:pPr>
            <w:r w:rsidRPr="007A4B9D">
              <w:rPr>
                <w:sz w:val="20"/>
                <w:szCs w:val="20"/>
                <w:lang w:val="en-US" w:eastAsia="en-GB"/>
              </w:rPr>
              <w:t>137,000</w:t>
            </w:r>
          </w:p>
        </w:tc>
      </w:tr>
      <w:tr w:rsidR="004900F4" w:rsidRPr="007A4B9D" w:rsidTr="00B629C9">
        <w:tc>
          <w:tcPr>
            <w:tcW w:w="1684" w:type="dxa"/>
            <w:vMerge/>
            <w:shd w:val="clear" w:color="auto" w:fill="auto"/>
            <w:hideMark/>
          </w:tcPr>
          <w:p w:rsidR="004900F4" w:rsidRPr="007A4B9D" w:rsidRDefault="004900F4" w:rsidP="00DF06D4">
            <w:pPr>
              <w:jc w:val="left"/>
              <w:rPr>
                <w:sz w:val="20"/>
                <w:szCs w:val="20"/>
                <w:lang w:val="en-US" w:eastAsia="en-GB"/>
              </w:rPr>
            </w:pPr>
          </w:p>
        </w:tc>
        <w:tc>
          <w:tcPr>
            <w:tcW w:w="955" w:type="dxa"/>
            <w:shd w:val="clear" w:color="auto" w:fill="auto"/>
            <w:hideMark/>
          </w:tcPr>
          <w:p w:rsidR="004900F4" w:rsidRPr="007A4B9D" w:rsidRDefault="004900F4" w:rsidP="00DF06D4">
            <w:pPr>
              <w:jc w:val="center"/>
              <w:rPr>
                <w:sz w:val="20"/>
                <w:szCs w:val="20"/>
                <w:lang w:val="en-US" w:eastAsia="en-GB"/>
              </w:rPr>
            </w:pPr>
            <w:r w:rsidRPr="007A4B9D">
              <w:rPr>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sz w:val="20"/>
                <w:szCs w:val="20"/>
                <w:lang w:val="en-US" w:eastAsia="en-GB"/>
              </w:rPr>
            </w:pPr>
            <w:r w:rsidRPr="007A4B9D">
              <w:rPr>
                <w:sz w:val="20"/>
                <w:szCs w:val="20"/>
                <w:lang w:val="en-US" w:eastAsia="en-GB"/>
              </w:rPr>
              <w:t>UNIDO</w:t>
            </w:r>
          </w:p>
        </w:tc>
        <w:tc>
          <w:tcPr>
            <w:tcW w:w="1642" w:type="dxa"/>
            <w:shd w:val="clear" w:color="auto" w:fill="auto"/>
            <w:noWrap/>
            <w:hideMark/>
          </w:tcPr>
          <w:p w:rsidR="004900F4" w:rsidRPr="007A4B9D" w:rsidRDefault="004900F4" w:rsidP="00DF06D4">
            <w:pPr>
              <w:jc w:val="right"/>
              <w:rPr>
                <w:sz w:val="20"/>
                <w:szCs w:val="20"/>
                <w:lang w:val="en-US" w:eastAsia="en-GB"/>
              </w:rPr>
            </w:pPr>
            <w:r w:rsidRPr="007A4B9D">
              <w:rPr>
                <w:sz w:val="20"/>
                <w:szCs w:val="20"/>
                <w:lang w:val="en-US" w:eastAsia="en-GB"/>
              </w:rPr>
              <w:t>25,000</w:t>
            </w:r>
          </w:p>
        </w:tc>
      </w:tr>
      <w:tr w:rsidR="004900F4" w:rsidRPr="007A4B9D" w:rsidTr="00B629C9">
        <w:tc>
          <w:tcPr>
            <w:tcW w:w="1684" w:type="dxa"/>
            <w:vMerge/>
            <w:shd w:val="clear" w:color="auto" w:fill="auto"/>
            <w:hideMark/>
          </w:tcPr>
          <w:p w:rsidR="004900F4" w:rsidRPr="007A4B9D" w:rsidRDefault="004900F4" w:rsidP="00DF06D4">
            <w:pPr>
              <w:jc w:val="left"/>
              <w:rPr>
                <w:sz w:val="20"/>
                <w:szCs w:val="20"/>
                <w:lang w:val="en-US" w:eastAsia="en-GB"/>
              </w:rPr>
            </w:pPr>
          </w:p>
        </w:tc>
        <w:tc>
          <w:tcPr>
            <w:tcW w:w="955" w:type="dxa"/>
            <w:shd w:val="clear" w:color="auto" w:fill="auto"/>
            <w:hideMark/>
          </w:tcPr>
          <w:p w:rsidR="004900F4" w:rsidRPr="007A4B9D" w:rsidRDefault="004900F4" w:rsidP="00DF06D4">
            <w:pPr>
              <w:jc w:val="center"/>
              <w:rPr>
                <w:sz w:val="20"/>
                <w:szCs w:val="20"/>
                <w:lang w:val="en-US" w:eastAsia="en-GB"/>
              </w:rPr>
            </w:pPr>
            <w:r w:rsidRPr="007A4B9D">
              <w:rPr>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sz w:val="20"/>
                <w:szCs w:val="20"/>
                <w:lang w:val="en-US" w:eastAsia="en-GB"/>
              </w:rPr>
            </w:pPr>
            <w:r w:rsidRPr="007A4B9D">
              <w:rPr>
                <w:sz w:val="20"/>
                <w:szCs w:val="20"/>
                <w:lang w:val="en-US" w:eastAsia="en-GB"/>
              </w:rPr>
              <w:t>UNEP</w:t>
            </w:r>
          </w:p>
        </w:tc>
        <w:tc>
          <w:tcPr>
            <w:tcW w:w="1642" w:type="dxa"/>
            <w:shd w:val="clear" w:color="auto" w:fill="auto"/>
            <w:noWrap/>
            <w:hideMark/>
          </w:tcPr>
          <w:p w:rsidR="004900F4" w:rsidRPr="007A4B9D" w:rsidRDefault="004900F4" w:rsidP="00DF06D4">
            <w:pPr>
              <w:jc w:val="right"/>
              <w:rPr>
                <w:sz w:val="20"/>
                <w:szCs w:val="20"/>
                <w:lang w:val="en-US" w:eastAsia="en-GB"/>
              </w:rPr>
            </w:pPr>
            <w:r w:rsidRPr="007A4B9D">
              <w:rPr>
                <w:sz w:val="20"/>
                <w:szCs w:val="20"/>
                <w:lang w:val="en-US" w:eastAsia="en-GB"/>
              </w:rPr>
              <w:t>58,000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North Macedonia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85,000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Panama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190,000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Paraguay</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170,000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Peru</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Senegal</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60,000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25,000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South Africa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UNIDO</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100,000</w:t>
            </w:r>
          </w:p>
        </w:tc>
      </w:tr>
      <w:tr w:rsidR="004900F4" w:rsidRPr="007A4B9D" w:rsidTr="00B629C9">
        <w:tc>
          <w:tcPr>
            <w:tcW w:w="1684" w:type="dxa"/>
            <w:vMerge w:val="restart"/>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Sri Lanka</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135,000</w:t>
            </w:r>
          </w:p>
        </w:tc>
      </w:tr>
      <w:tr w:rsidR="004900F4" w:rsidRPr="007A4B9D" w:rsidTr="00B629C9">
        <w:tc>
          <w:tcPr>
            <w:tcW w:w="1684" w:type="dxa"/>
            <w:vMerge/>
            <w:shd w:val="clear" w:color="auto" w:fill="auto"/>
            <w:hideMark/>
          </w:tcPr>
          <w:p w:rsidR="004900F4" w:rsidRPr="007A4B9D" w:rsidRDefault="004900F4" w:rsidP="00DF06D4">
            <w:pPr>
              <w:jc w:val="left"/>
              <w:rPr>
                <w:color w:val="000000"/>
                <w:sz w:val="20"/>
                <w:szCs w:val="20"/>
                <w:lang w:val="en-US" w:eastAsia="en-GB"/>
              </w:rPr>
            </w:pP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25,000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Trinidad and Tobago</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87</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Turkmenistan</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86</w:t>
            </w:r>
          </w:p>
        </w:tc>
        <w:tc>
          <w:tcPr>
            <w:tcW w:w="3390" w:type="dxa"/>
            <w:shd w:val="clear" w:color="auto" w:fill="auto"/>
          </w:tcPr>
          <w:p w:rsidR="004900F4" w:rsidRPr="007A4B9D" w:rsidRDefault="004900F4" w:rsidP="00DF06D4">
            <w:pPr>
              <w:jc w:val="left"/>
              <w:rPr>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UNEP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r w:rsidR="004900F4" w:rsidRPr="007A4B9D" w:rsidTr="00B629C9">
        <w:tc>
          <w:tcPr>
            <w:tcW w:w="1684" w:type="dxa"/>
            <w:shd w:val="clear" w:color="auto" w:fill="auto"/>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Uruguay</w:t>
            </w:r>
          </w:p>
        </w:tc>
        <w:tc>
          <w:tcPr>
            <w:tcW w:w="955" w:type="dxa"/>
            <w:shd w:val="clear" w:color="auto" w:fill="auto"/>
            <w:hideMark/>
          </w:tcPr>
          <w:p w:rsidR="004900F4" w:rsidRPr="007A4B9D" w:rsidRDefault="004900F4" w:rsidP="00DF06D4">
            <w:pPr>
              <w:jc w:val="center"/>
              <w:rPr>
                <w:color w:val="000000"/>
                <w:sz w:val="20"/>
                <w:szCs w:val="20"/>
                <w:lang w:val="en-US" w:eastAsia="en-GB"/>
              </w:rPr>
            </w:pPr>
            <w:r w:rsidRPr="007A4B9D">
              <w:rPr>
                <w:color w:val="000000"/>
                <w:sz w:val="20"/>
                <w:szCs w:val="20"/>
                <w:lang w:val="en-US" w:eastAsia="en-GB"/>
              </w:rPr>
              <w:t>85</w:t>
            </w:r>
          </w:p>
        </w:tc>
        <w:tc>
          <w:tcPr>
            <w:tcW w:w="3390" w:type="dxa"/>
            <w:shd w:val="clear" w:color="auto" w:fill="auto"/>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Preparation of HFC phase-down plan</w:t>
            </w:r>
          </w:p>
        </w:tc>
        <w:tc>
          <w:tcPr>
            <w:tcW w:w="1585" w:type="dxa"/>
            <w:shd w:val="clear" w:color="auto" w:fill="auto"/>
            <w:noWrap/>
            <w:hideMark/>
          </w:tcPr>
          <w:p w:rsidR="004900F4" w:rsidRPr="007A4B9D" w:rsidRDefault="004900F4" w:rsidP="00DF06D4">
            <w:pPr>
              <w:jc w:val="left"/>
              <w:rPr>
                <w:color w:val="000000"/>
                <w:sz w:val="20"/>
                <w:szCs w:val="20"/>
                <w:lang w:val="en-US" w:eastAsia="en-GB"/>
              </w:rPr>
            </w:pPr>
            <w:r w:rsidRPr="007A4B9D">
              <w:rPr>
                <w:color w:val="000000"/>
                <w:sz w:val="20"/>
                <w:szCs w:val="20"/>
                <w:lang w:val="en-US" w:eastAsia="en-GB"/>
              </w:rPr>
              <w:t>UNDP</w:t>
            </w:r>
          </w:p>
        </w:tc>
        <w:tc>
          <w:tcPr>
            <w:tcW w:w="1642" w:type="dxa"/>
            <w:shd w:val="clear" w:color="auto" w:fill="auto"/>
            <w:noWrap/>
            <w:hideMark/>
          </w:tcPr>
          <w:p w:rsidR="004900F4" w:rsidRPr="007A4B9D" w:rsidRDefault="004900F4" w:rsidP="00DF06D4">
            <w:pPr>
              <w:jc w:val="right"/>
              <w:rPr>
                <w:color w:val="000000"/>
                <w:sz w:val="20"/>
                <w:szCs w:val="20"/>
                <w:lang w:val="en-US" w:eastAsia="en-GB"/>
              </w:rPr>
            </w:pPr>
            <w:r w:rsidRPr="007A4B9D">
              <w:rPr>
                <w:color w:val="000000"/>
                <w:sz w:val="20"/>
                <w:szCs w:val="20"/>
                <w:lang w:val="en-US" w:eastAsia="en-GB"/>
              </w:rPr>
              <w:t>150,000</w:t>
            </w:r>
          </w:p>
        </w:tc>
      </w:tr>
    </w:tbl>
    <w:p w:rsidR="004900F4" w:rsidRPr="007A4B9D" w:rsidRDefault="004900F4" w:rsidP="00DF06D4">
      <w:pPr>
        <w:outlineLvl w:val="0"/>
        <w:rPr>
          <w:b/>
          <w:snapToGrid w:val="0"/>
          <w:lang w:val="en-GB"/>
        </w:rPr>
      </w:pPr>
    </w:p>
    <w:p w:rsidR="004900F4" w:rsidRPr="007A4B9D" w:rsidRDefault="004900F4" w:rsidP="00DF06D4">
      <w:pPr>
        <w:numPr>
          <w:ilvl w:val="0"/>
          <w:numId w:val="1"/>
        </w:numPr>
        <w:spacing w:after="240"/>
        <w:outlineLvl w:val="0"/>
        <w:rPr>
          <w:lang w:val="en-GB"/>
        </w:rPr>
      </w:pPr>
      <w:r w:rsidRPr="007A4B9D">
        <w:rPr>
          <w:lang w:val="en-GB"/>
        </w:rPr>
        <w:t xml:space="preserve">Each lead agency provided a description of the activities required for the preparation of the overarching strategy for HFC phase-down which comprised various activities including </w:t>
      </w:r>
      <w:r w:rsidRPr="007A4B9D">
        <w:rPr>
          <w:i/>
          <w:lang w:val="en-GB"/>
        </w:rPr>
        <w:t>inter alia</w:t>
      </w:r>
      <w:r w:rsidRPr="007A4B9D">
        <w:rPr>
          <w:lang w:val="en-GB"/>
        </w:rPr>
        <w:t xml:space="preserve"> stakeholder consultations, communication plans, sectoral analysis of HFC consumption, </w:t>
      </w:r>
      <w:r w:rsidRPr="007A4B9D">
        <w:rPr>
          <w:lang w:val="en-US"/>
        </w:rPr>
        <w:t xml:space="preserve">strategy development, needs assessments </w:t>
      </w:r>
      <w:r w:rsidRPr="007A4B9D">
        <w:rPr>
          <w:lang w:val="en-GB"/>
        </w:rPr>
        <w:t>and capacity</w:t>
      </w:r>
      <w:r w:rsidRPr="007A4B9D">
        <w:rPr>
          <w:lang w:val="en-GB"/>
        </w:rPr>
        <w:noBreakHyphen/>
        <w:t xml:space="preserve">building activities. The submissions also included estimated imports of HFCs and HFC blends. </w:t>
      </w:r>
      <w:r w:rsidRPr="007A4B9D">
        <w:rPr>
          <w:snapToGrid w:val="0"/>
          <w:lang w:val="en-US"/>
        </w:rPr>
        <w:t>The funding requested at the present meeting is based on the proposed Draft guidelines for the preparation of HFC phase-down plans,</w:t>
      </w:r>
      <w:r w:rsidRPr="007A4B9D">
        <w:rPr>
          <w:snapToGrid w:val="0"/>
          <w:vertAlign w:val="superscript"/>
          <w:lang w:val="en-US"/>
        </w:rPr>
        <w:footnoteReference w:id="10"/>
      </w:r>
      <w:r w:rsidRPr="007A4B9D">
        <w:rPr>
          <w:snapToGrid w:val="0"/>
          <w:lang w:val="en-US"/>
        </w:rPr>
        <w:t xml:space="preserve"> which were submitted to the 86</w:t>
      </w:r>
      <w:r w:rsidRPr="007A4B9D">
        <w:rPr>
          <w:snapToGrid w:val="0"/>
          <w:vertAlign w:val="superscript"/>
          <w:lang w:val="en-US"/>
        </w:rPr>
        <w:t>th</w:t>
      </w:r>
      <w:r w:rsidRPr="007A4B9D">
        <w:rPr>
          <w:snapToGrid w:val="0"/>
          <w:lang w:val="en-US"/>
        </w:rPr>
        <w:t> meeting and deferred to the 87</w:t>
      </w:r>
      <w:r w:rsidRPr="007A4B9D">
        <w:rPr>
          <w:snapToGrid w:val="0"/>
          <w:vertAlign w:val="superscript"/>
          <w:lang w:val="en-US"/>
        </w:rPr>
        <w:t>th</w:t>
      </w:r>
      <w:r w:rsidRPr="007A4B9D">
        <w:rPr>
          <w:snapToGrid w:val="0"/>
          <w:lang w:val="en-US"/>
        </w:rPr>
        <w:t xml:space="preserve"> meeting for further discussion.</w:t>
      </w:r>
    </w:p>
    <w:p w:rsidR="004900F4" w:rsidRPr="007A4B9D" w:rsidRDefault="004900F4" w:rsidP="00DF06D4">
      <w:pPr>
        <w:numPr>
          <w:ilvl w:val="0"/>
          <w:numId w:val="1"/>
        </w:numPr>
        <w:spacing w:after="240"/>
        <w:outlineLvl w:val="0"/>
        <w:rPr>
          <w:color w:val="000000" w:themeColor="text1"/>
          <w:lang w:val="en-US"/>
        </w:rPr>
      </w:pPr>
      <w:r w:rsidRPr="007A4B9D">
        <w:rPr>
          <w:lang w:val="en-US"/>
        </w:rPr>
        <w:t>The funding amount for the preparation of the project proposals requested at the 85</w:t>
      </w:r>
      <w:r w:rsidRPr="007A4B9D">
        <w:rPr>
          <w:vertAlign w:val="superscript"/>
          <w:lang w:val="en-US"/>
        </w:rPr>
        <w:t>th</w:t>
      </w:r>
      <w:r w:rsidRPr="007A4B9D">
        <w:rPr>
          <w:lang w:val="en-US"/>
        </w:rPr>
        <w:t xml:space="preserve"> meeting</w:t>
      </w:r>
      <w:r w:rsidRPr="007A4B9D">
        <w:rPr>
          <w:color w:val="000000" w:themeColor="text1"/>
          <w:lang w:val="en-US"/>
        </w:rPr>
        <w:t xml:space="preserve"> was based on the funding for enabling activities (contained in decision 79/46(c)); however, the funding requested </w:t>
      </w:r>
      <w:r w:rsidRPr="007A4B9D">
        <w:rPr>
          <w:lang w:val="en-US"/>
        </w:rPr>
        <w:t>at the 86</w:t>
      </w:r>
      <w:r w:rsidRPr="007A4B9D">
        <w:rPr>
          <w:vertAlign w:val="superscript"/>
          <w:lang w:val="en-US"/>
        </w:rPr>
        <w:t>th</w:t>
      </w:r>
      <w:r w:rsidRPr="007A4B9D">
        <w:rPr>
          <w:lang w:val="en-US"/>
        </w:rPr>
        <w:t xml:space="preserve"> meeting was based on the funding for project preparation for stage I of HPMPs (contained in decision 56/16</w:t>
      </w:r>
      <w:r w:rsidRPr="007A4B9D">
        <w:rPr>
          <w:color w:val="000000" w:themeColor="text1"/>
          <w:lang w:val="en-US"/>
        </w:rPr>
        <w:t>(c)),</w:t>
      </w:r>
      <w:r w:rsidRPr="007A4B9D">
        <w:rPr>
          <w:lang w:val="en-US"/>
        </w:rPr>
        <w:t xml:space="preserve"> as this funding was used by bilateral and implementing agencies in preparing their 2021</w:t>
      </w:r>
      <w:r w:rsidRPr="007A4B9D">
        <w:rPr>
          <w:lang w:val="en-US"/>
        </w:rPr>
        <w:noBreakHyphen/>
        <w:t>2023 business plans that were submitted to the 86</w:t>
      </w:r>
      <w:r w:rsidRPr="007A4B9D">
        <w:rPr>
          <w:vertAlign w:val="superscript"/>
          <w:lang w:val="en-US"/>
        </w:rPr>
        <w:t>th</w:t>
      </w:r>
      <w:r w:rsidRPr="007A4B9D">
        <w:rPr>
          <w:lang w:val="en-US"/>
        </w:rPr>
        <w:t xml:space="preserve"> meeting. The Secretariat notes that the funding amounts for project preparation requests are indicative, as the actual amounts will be decided when the Executive Committee </w:t>
      </w:r>
      <w:r w:rsidRPr="007A4B9D">
        <w:rPr>
          <w:color w:val="000000" w:themeColor="text1"/>
          <w:lang w:val="en-US"/>
        </w:rPr>
        <w:t xml:space="preserve">concludes its consideration of the Draft guidelines for the preparation of HFC phase-down plans for Article 5 </w:t>
      </w:r>
      <w:r w:rsidRPr="004900F4">
        <w:rPr>
          <w:color w:val="000000" w:themeColor="text1"/>
          <w:lang w:val="en-US"/>
        </w:rPr>
        <w:t>countries (decision 86/93).</w:t>
      </w:r>
      <w:r w:rsidRPr="004900F4">
        <w:rPr>
          <w:rStyle w:val="FootnoteReference"/>
          <w:color w:val="000000" w:themeColor="text1"/>
          <w:lang w:val="en-US"/>
        </w:rPr>
        <w:footnoteReference w:id="11"/>
      </w:r>
      <w:r w:rsidRPr="007A4B9D">
        <w:rPr>
          <w:color w:val="000000" w:themeColor="text1"/>
          <w:lang w:val="en-US"/>
        </w:rPr>
        <w:t xml:space="preserve"> </w:t>
      </w:r>
    </w:p>
    <w:p w:rsidR="004900F4" w:rsidRPr="007A4B9D" w:rsidRDefault="004900F4" w:rsidP="00DF06D4">
      <w:pPr>
        <w:widowControl w:val="0"/>
        <w:numPr>
          <w:ilvl w:val="0"/>
          <w:numId w:val="1"/>
        </w:numPr>
        <w:spacing w:after="240"/>
        <w:outlineLvl w:val="0"/>
        <w:rPr>
          <w:color w:val="000000" w:themeColor="text1"/>
          <w:lang w:val="en-US"/>
        </w:rPr>
      </w:pPr>
      <w:r w:rsidRPr="007A4B9D">
        <w:rPr>
          <w:color w:val="000000" w:themeColor="text1"/>
          <w:lang w:val="en-US"/>
        </w:rPr>
        <w:t xml:space="preserve">The Secretariat reviewed the submissions based on the experience of reviewing requests for preparation of HPMPs, and taking into account guidance provided and decisions adopted by the Executive Committee for such projects. </w:t>
      </w:r>
    </w:p>
    <w:p w:rsidR="004900F4" w:rsidRPr="007A4B9D" w:rsidRDefault="004900F4" w:rsidP="006860E4">
      <w:pPr>
        <w:widowControl w:val="0"/>
        <w:numPr>
          <w:ilvl w:val="0"/>
          <w:numId w:val="1"/>
        </w:numPr>
        <w:spacing w:after="240"/>
        <w:outlineLvl w:val="0"/>
        <w:rPr>
          <w:snapToGrid w:val="0"/>
          <w:lang w:val="en-GB"/>
        </w:rPr>
      </w:pPr>
      <w:r w:rsidRPr="007A4B9D">
        <w:rPr>
          <w:snapToGrid w:val="0"/>
          <w:lang w:val="en-GB"/>
        </w:rPr>
        <w:lastRenderedPageBreak/>
        <w:t xml:space="preserve">The </w:t>
      </w:r>
      <w:r w:rsidRPr="007A4B9D">
        <w:rPr>
          <w:lang w:val="en-GB"/>
        </w:rPr>
        <w:t>Executive</w:t>
      </w:r>
      <w:r w:rsidRPr="007A4B9D">
        <w:rPr>
          <w:snapToGrid w:val="0"/>
          <w:lang w:val="en-GB"/>
        </w:rPr>
        <w:t xml:space="preserve"> Committee </w:t>
      </w:r>
      <w:r w:rsidRPr="007A4B9D">
        <w:rPr>
          <w:snapToGrid w:val="0"/>
          <w:u w:val="single"/>
          <w:lang w:val="en-GB"/>
        </w:rPr>
        <w:t>may wish</w:t>
      </w:r>
      <w:r w:rsidRPr="007A4B9D">
        <w:rPr>
          <w:snapToGrid w:val="0"/>
          <w:lang w:val="en-GB"/>
        </w:rPr>
        <w:t xml:space="preserve"> to consider the requests for the preparation of HFC phase</w:t>
      </w:r>
      <w:r w:rsidRPr="007A4B9D">
        <w:rPr>
          <w:snapToGrid w:val="0"/>
          <w:lang w:val="en-GB"/>
        </w:rPr>
        <w:noBreakHyphen/>
        <w:t xml:space="preserve">down management plans for the 35 countries listed in Table 1, once the guidelines for funding the preparation of HFC phase-down management plans have been agreed, in line with decision 84/54(a)(iii) in the context of the bilateral cooperation and the work programmes submitted by each relevant bilateral and implementing agencies. </w:t>
      </w:r>
    </w:p>
    <w:p w:rsidR="004900F4" w:rsidRPr="00006AEF" w:rsidRDefault="004900F4" w:rsidP="000D647D">
      <w:pPr>
        <w:keepNext/>
        <w:keepLines/>
        <w:rPr>
          <w:b/>
          <w:bCs/>
        </w:rPr>
      </w:pPr>
      <w:r w:rsidRPr="00006AEF">
        <w:rPr>
          <w:b/>
          <w:bCs/>
        </w:rPr>
        <w:t>Projects and activities submitted for blanket approval</w:t>
      </w:r>
    </w:p>
    <w:p w:rsidR="004900F4" w:rsidRPr="00006AEF" w:rsidRDefault="004900F4" w:rsidP="000D647D">
      <w:pPr>
        <w:keepNext/>
        <w:keepLines/>
        <w:rPr>
          <w:b/>
          <w:bCs/>
        </w:rPr>
      </w:pPr>
    </w:p>
    <w:p w:rsidR="004900F4" w:rsidRPr="00006AEF" w:rsidRDefault="004900F4" w:rsidP="000D647D">
      <w:pPr>
        <w:keepNext/>
        <w:keepLines/>
        <w:spacing w:after="240"/>
        <w:rPr>
          <w:szCs w:val="28"/>
        </w:rPr>
      </w:pPr>
      <w:r w:rsidRPr="00006AEF">
        <w:rPr>
          <w:szCs w:val="28"/>
          <w:u w:val="single"/>
        </w:rPr>
        <w:t>Verification reports of LVC countries’ compliance with their HPMP agreements</w:t>
      </w:r>
    </w:p>
    <w:p w:rsidR="004900F4" w:rsidRPr="007A4B9D" w:rsidRDefault="004900F4" w:rsidP="000D647D">
      <w:pPr>
        <w:pStyle w:val="Heading1"/>
        <w:keepNext/>
        <w:keepLines/>
      </w:pPr>
      <w:r w:rsidRPr="00006AEF">
        <w:t>In line with decision 61/46(c),</w:t>
      </w:r>
      <w:r w:rsidRPr="00006AEF">
        <w:rPr>
          <w:rStyle w:val="FootnoteReference"/>
        </w:rPr>
        <w:footnoteReference w:id="12"/>
      </w:r>
      <w:r w:rsidRPr="00006AEF">
        <w:t xml:space="preserve"> the Secretariat selected a sample of 17 Article 5 countries for the purpose of verifying compliance with the HPMP agreement, as shown in </w:t>
      </w:r>
      <w:r w:rsidRPr="007A4B9D">
        <w:t>Table 2.</w:t>
      </w:r>
      <w:r w:rsidRPr="00006AEF">
        <w:t xml:space="preserve"> The main criteria used to select the countries for verification were the proximity of the next tranche of their HPMP (2022 or 2023), that their previous verification should have </w:t>
      </w:r>
      <w:r w:rsidRPr="007A4B9D">
        <w:t>been approved at least two years prior to the 88</w:t>
      </w:r>
      <w:r w:rsidRPr="007A4B9D">
        <w:rPr>
          <w:vertAlign w:val="superscript"/>
        </w:rPr>
        <w:t>th</w:t>
      </w:r>
      <w:r w:rsidRPr="007A4B9D">
        <w:t xml:space="preserve"> meeting and that it was completed, in addition to the criteria of geographic distribution, level of consumption, and distribution among bilateral and implementing agencies. The countries selected (seven in Africa, four in Asia, three in Latin America and the Caribbean, and three in Europe) are listed in Table 2.</w:t>
      </w:r>
    </w:p>
    <w:p w:rsidR="004900F4" w:rsidRPr="007A4B9D" w:rsidRDefault="004900F4" w:rsidP="2FACCF69">
      <w:pPr>
        <w:keepNext/>
        <w:contextualSpacing/>
        <w:rPr>
          <w:b/>
          <w:bCs/>
        </w:rPr>
      </w:pPr>
      <w:r w:rsidRPr="007A4B9D">
        <w:rPr>
          <w:b/>
          <w:bCs/>
          <w:lang w:val="en-US"/>
        </w:rPr>
        <w:t xml:space="preserve">Table 2. Sample of Article 5 countries </w:t>
      </w:r>
      <w:r w:rsidRPr="007A4B9D">
        <w:rPr>
          <w:b/>
          <w:bCs/>
        </w:rPr>
        <w:t>for verification of compliance with their HPMP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381"/>
        <w:gridCol w:w="3215"/>
        <w:gridCol w:w="1743"/>
        <w:gridCol w:w="2276"/>
        <w:gridCol w:w="1735"/>
      </w:tblGrid>
      <w:tr w:rsidR="004900F4" w:rsidRPr="00D8157C" w:rsidTr="0007413D">
        <w:trPr>
          <w:tblHeader/>
        </w:trPr>
        <w:tc>
          <w:tcPr>
            <w:tcW w:w="204" w:type="pct"/>
            <w:shd w:val="clear" w:color="auto" w:fill="auto"/>
            <w:noWrap/>
            <w:tcMar>
              <w:left w:w="43" w:type="dxa"/>
              <w:right w:w="43" w:type="dxa"/>
            </w:tcMar>
            <w:hideMark/>
          </w:tcPr>
          <w:p w:rsidR="004900F4" w:rsidRPr="007A4B9D" w:rsidRDefault="004900F4" w:rsidP="006860E4">
            <w:pPr>
              <w:keepNext/>
              <w:jc w:val="center"/>
              <w:rPr>
                <w:b/>
                <w:sz w:val="20"/>
                <w:szCs w:val="20"/>
                <w:lang w:val="en-US"/>
              </w:rPr>
            </w:pPr>
            <w:r w:rsidRPr="007A4B9D">
              <w:rPr>
                <w:b/>
                <w:sz w:val="20"/>
                <w:szCs w:val="20"/>
                <w:lang w:val="en-US"/>
              </w:rPr>
              <w:t>No.</w:t>
            </w:r>
          </w:p>
        </w:tc>
        <w:tc>
          <w:tcPr>
            <w:tcW w:w="1719" w:type="pct"/>
            <w:shd w:val="clear" w:color="auto" w:fill="auto"/>
            <w:noWrap/>
            <w:tcMar>
              <w:left w:w="43" w:type="dxa"/>
              <w:right w:w="43" w:type="dxa"/>
            </w:tcMar>
            <w:hideMark/>
          </w:tcPr>
          <w:p w:rsidR="004900F4" w:rsidRPr="007A4B9D" w:rsidRDefault="004900F4" w:rsidP="006860E4">
            <w:pPr>
              <w:keepNext/>
              <w:jc w:val="center"/>
              <w:rPr>
                <w:b/>
                <w:sz w:val="20"/>
                <w:szCs w:val="20"/>
                <w:lang w:val="en-US"/>
              </w:rPr>
            </w:pPr>
            <w:r w:rsidRPr="007A4B9D">
              <w:rPr>
                <w:b/>
                <w:sz w:val="20"/>
                <w:szCs w:val="20"/>
                <w:lang w:val="en-US"/>
              </w:rPr>
              <w:t>Country</w:t>
            </w:r>
          </w:p>
        </w:tc>
        <w:tc>
          <w:tcPr>
            <w:tcW w:w="932" w:type="pct"/>
            <w:tcMar>
              <w:left w:w="43" w:type="dxa"/>
              <w:right w:w="43" w:type="dxa"/>
            </w:tcMar>
          </w:tcPr>
          <w:p w:rsidR="004900F4" w:rsidRPr="007A4B9D" w:rsidRDefault="004900F4" w:rsidP="006860E4">
            <w:pPr>
              <w:keepNext/>
              <w:jc w:val="center"/>
              <w:rPr>
                <w:b/>
                <w:sz w:val="20"/>
                <w:szCs w:val="20"/>
                <w:lang w:val="en-US"/>
              </w:rPr>
            </w:pPr>
            <w:r w:rsidRPr="007A4B9D">
              <w:rPr>
                <w:b/>
                <w:sz w:val="20"/>
                <w:szCs w:val="20"/>
                <w:lang w:val="en-US"/>
              </w:rPr>
              <w:t>HCFC baseline (mt)</w:t>
            </w:r>
          </w:p>
        </w:tc>
        <w:tc>
          <w:tcPr>
            <w:tcW w:w="1217" w:type="pct"/>
            <w:shd w:val="clear" w:color="auto" w:fill="auto"/>
            <w:noWrap/>
            <w:tcMar>
              <w:left w:w="43" w:type="dxa"/>
              <w:right w:w="43" w:type="dxa"/>
            </w:tcMar>
            <w:hideMark/>
          </w:tcPr>
          <w:p w:rsidR="004900F4" w:rsidRPr="007A4B9D" w:rsidRDefault="004900F4" w:rsidP="006860E4">
            <w:pPr>
              <w:keepNext/>
              <w:jc w:val="center"/>
              <w:rPr>
                <w:b/>
                <w:sz w:val="20"/>
                <w:szCs w:val="20"/>
                <w:lang w:val="en-US"/>
              </w:rPr>
            </w:pPr>
            <w:r w:rsidRPr="007A4B9D">
              <w:rPr>
                <w:b/>
                <w:sz w:val="20"/>
                <w:szCs w:val="20"/>
                <w:lang w:val="en-US"/>
              </w:rPr>
              <w:t>Lead/ cooperating agency</w:t>
            </w:r>
          </w:p>
        </w:tc>
        <w:tc>
          <w:tcPr>
            <w:tcW w:w="928" w:type="pct"/>
            <w:tcMar>
              <w:left w:w="43" w:type="dxa"/>
              <w:right w:w="43" w:type="dxa"/>
            </w:tcMar>
          </w:tcPr>
          <w:p w:rsidR="004900F4" w:rsidRPr="00D8157C" w:rsidRDefault="004900F4" w:rsidP="006860E4">
            <w:pPr>
              <w:keepNext/>
              <w:jc w:val="center"/>
              <w:rPr>
                <w:b/>
                <w:sz w:val="20"/>
                <w:szCs w:val="20"/>
                <w:lang w:val="en-US"/>
              </w:rPr>
            </w:pPr>
            <w:r w:rsidRPr="007A4B9D">
              <w:rPr>
                <w:b/>
                <w:sz w:val="20"/>
                <w:szCs w:val="20"/>
                <w:lang w:val="en-US"/>
              </w:rPr>
              <w:t>Next tranche request</w:t>
            </w:r>
          </w:p>
        </w:tc>
      </w:tr>
      <w:tr w:rsidR="004900F4" w:rsidRPr="00D8157C" w:rsidTr="0007413D">
        <w:tc>
          <w:tcPr>
            <w:tcW w:w="204" w:type="pct"/>
            <w:shd w:val="clear" w:color="auto" w:fill="auto"/>
            <w:noWrap/>
            <w:tcMar>
              <w:left w:w="43" w:type="dxa"/>
              <w:right w:w="43" w:type="dxa"/>
            </w:tcMar>
          </w:tcPr>
          <w:p w:rsidR="004900F4" w:rsidRPr="00D8157C" w:rsidRDefault="004900F4" w:rsidP="006860E4">
            <w:pPr>
              <w:jc w:val="left"/>
              <w:rPr>
                <w:sz w:val="20"/>
                <w:szCs w:val="20"/>
                <w:lang w:val="es-CO"/>
              </w:rPr>
            </w:pPr>
            <w:r w:rsidRPr="00D8157C">
              <w:rPr>
                <w:sz w:val="20"/>
                <w:szCs w:val="20"/>
                <w:lang w:val="es-CO"/>
              </w:rPr>
              <w:t>1</w:t>
            </w:r>
          </w:p>
        </w:tc>
        <w:tc>
          <w:tcPr>
            <w:tcW w:w="1719" w:type="pct"/>
            <w:noWrap/>
            <w:tcMar>
              <w:left w:w="43" w:type="dxa"/>
              <w:right w:w="43" w:type="dxa"/>
            </w:tcMar>
          </w:tcPr>
          <w:p w:rsidR="004900F4" w:rsidRPr="00D8157C" w:rsidRDefault="004900F4" w:rsidP="006860E4">
            <w:pPr>
              <w:pStyle w:val="Heading1"/>
              <w:numPr>
                <w:ilvl w:val="0"/>
                <w:numId w:val="0"/>
              </w:numPr>
              <w:spacing w:before="100" w:beforeAutospacing="1" w:after="100" w:afterAutospacing="1"/>
              <w:contextualSpacing/>
              <w:jc w:val="left"/>
              <w:rPr>
                <w:sz w:val="20"/>
                <w:szCs w:val="20"/>
              </w:rPr>
            </w:pPr>
            <w:r w:rsidRPr="00D8157C">
              <w:rPr>
                <w:sz w:val="20"/>
                <w:szCs w:val="20"/>
              </w:rPr>
              <w:t>Albania</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107.31</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UNIDO/UNEP</w:t>
            </w:r>
          </w:p>
        </w:tc>
        <w:tc>
          <w:tcPr>
            <w:tcW w:w="928" w:type="pct"/>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78"/>
              <w:contextualSpacing/>
              <w:jc w:val="left"/>
              <w:rPr>
                <w:sz w:val="20"/>
                <w:szCs w:val="20"/>
              </w:rPr>
            </w:pPr>
            <w:r w:rsidRPr="00D8157C">
              <w:rPr>
                <w:sz w:val="20"/>
                <w:szCs w:val="20"/>
              </w:rPr>
              <w:t xml:space="preserve">2022 </w:t>
            </w:r>
          </w:p>
        </w:tc>
      </w:tr>
      <w:tr w:rsidR="004900F4" w:rsidRPr="00D8157C" w:rsidTr="0007413D">
        <w:tc>
          <w:tcPr>
            <w:tcW w:w="204" w:type="pct"/>
            <w:shd w:val="clear" w:color="auto" w:fill="auto"/>
            <w:noWrap/>
            <w:tcMar>
              <w:left w:w="43" w:type="dxa"/>
              <w:right w:w="43" w:type="dxa"/>
            </w:tcMar>
          </w:tcPr>
          <w:p w:rsidR="004900F4" w:rsidRPr="00D8157C" w:rsidRDefault="004900F4" w:rsidP="006860E4">
            <w:pPr>
              <w:jc w:val="left"/>
              <w:rPr>
                <w:sz w:val="20"/>
                <w:szCs w:val="20"/>
                <w:lang w:val="es-CO"/>
              </w:rPr>
            </w:pPr>
            <w:r w:rsidRPr="00D8157C">
              <w:rPr>
                <w:sz w:val="20"/>
                <w:szCs w:val="20"/>
                <w:lang w:val="es-CO"/>
              </w:rPr>
              <w:t>2</w:t>
            </w:r>
          </w:p>
        </w:tc>
        <w:tc>
          <w:tcPr>
            <w:tcW w:w="1719" w:type="pct"/>
            <w:noWrap/>
            <w:tcMar>
              <w:left w:w="43" w:type="dxa"/>
              <w:right w:w="43" w:type="dxa"/>
            </w:tcMar>
          </w:tcPr>
          <w:p w:rsidR="004900F4" w:rsidRPr="00D8157C" w:rsidRDefault="004900F4" w:rsidP="006860E4">
            <w:pPr>
              <w:pStyle w:val="Heading1"/>
              <w:numPr>
                <w:ilvl w:val="0"/>
                <w:numId w:val="0"/>
              </w:numPr>
              <w:spacing w:before="100" w:beforeAutospacing="1" w:after="100" w:afterAutospacing="1"/>
              <w:contextualSpacing/>
              <w:jc w:val="left"/>
              <w:rPr>
                <w:sz w:val="20"/>
                <w:szCs w:val="20"/>
              </w:rPr>
            </w:pPr>
            <w:r w:rsidRPr="00D8157C">
              <w:rPr>
                <w:sz w:val="20"/>
                <w:szCs w:val="20"/>
              </w:rPr>
              <w:t>Botswana</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200.10</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UNEP/UNIDO</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6860E4">
            <w:pPr>
              <w:jc w:val="left"/>
              <w:rPr>
                <w:sz w:val="20"/>
                <w:szCs w:val="20"/>
                <w:lang w:val="es-CO"/>
              </w:rPr>
            </w:pPr>
            <w:r w:rsidRPr="00D8157C">
              <w:rPr>
                <w:sz w:val="20"/>
                <w:szCs w:val="20"/>
                <w:lang w:val="es-CO"/>
              </w:rPr>
              <w:t>3</w:t>
            </w:r>
          </w:p>
        </w:tc>
        <w:tc>
          <w:tcPr>
            <w:tcW w:w="1719" w:type="pct"/>
            <w:noWrap/>
            <w:tcMar>
              <w:left w:w="43" w:type="dxa"/>
              <w:right w:w="43" w:type="dxa"/>
            </w:tcMar>
          </w:tcPr>
          <w:p w:rsidR="004900F4" w:rsidRPr="00D8157C" w:rsidRDefault="004900F4" w:rsidP="006860E4">
            <w:pPr>
              <w:pStyle w:val="Heading1"/>
              <w:numPr>
                <w:ilvl w:val="0"/>
                <w:numId w:val="0"/>
              </w:numPr>
              <w:spacing w:before="100" w:beforeAutospacing="1" w:after="100" w:afterAutospacing="1"/>
              <w:contextualSpacing/>
              <w:jc w:val="left"/>
              <w:rPr>
                <w:sz w:val="20"/>
                <w:szCs w:val="20"/>
              </w:rPr>
            </w:pPr>
            <w:r w:rsidRPr="00D8157C">
              <w:rPr>
                <w:sz w:val="20"/>
                <w:szCs w:val="20"/>
              </w:rPr>
              <w:t>Cuba</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283.62</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UNDP</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6860E4">
            <w:pPr>
              <w:jc w:val="left"/>
              <w:rPr>
                <w:sz w:val="20"/>
                <w:szCs w:val="20"/>
                <w:lang w:val="en-US"/>
              </w:rPr>
            </w:pPr>
            <w:r w:rsidRPr="00D8157C">
              <w:rPr>
                <w:sz w:val="20"/>
                <w:szCs w:val="20"/>
                <w:lang w:val="en-US"/>
              </w:rPr>
              <w:t>4</w:t>
            </w:r>
          </w:p>
        </w:tc>
        <w:tc>
          <w:tcPr>
            <w:tcW w:w="1719" w:type="pct"/>
            <w:noWrap/>
            <w:tcMar>
              <w:left w:w="43" w:type="dxa"/>
              <w:right w:w="43" w:type="dxa"/>
            </w:tcMar>
          </w:tcPr>
          <w:p w:rsidR="004900F4" w:rsidRPr="00D8157C" w:rsidRDefault="004900F4" w:rsidP="006D3C67">
            <w:pPr>
              <w:pStyle w:val="Heading1"/>
              <w:numPr>
                <w:ilvl w:val="0"/>
                <w:numId w:val="0"/>
              </w:numPr>
              <w:spacing w:before="100" w:beforeAutospacing="1" w:after="100" w:afterAutospacing="1"/>
              <w:contextualSpacing/>
              <w:jc w:val="left"/>
              <w:rPr>
                <w:sz w:val="20"/>
                <w:szCs w:val="20"/>
              </w:rPr>
            </w:pPr>
            <w:r w:rsidRPr="00D8157C">
              <w:rPr>
                <w:sz w:val="20"/>
                <w:szCs w:val="20"/>
              </w:rPr>
              <w:t>Djibouti</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11.73</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2022 (new stage)</w:t>
            </w:r>
          </w:p>
        </w:tc>
      </w:tr>
      <w:tr w:rsidR="004900F4" w:rsidRPr="00D8157C" w:rsidTr="0007413D">
        <w:tc>
          <w:tcPr>
            <w:tcW w:w="204" w:type="pct"/>
            <w:shd w:val="clear" w:color="auto" w:fill="auto"/>
            <w:noWrap/>
            <w:tcMar>
              <w:left w:w="43" w:type="dxa"/>
              <w:right w:w="43" w:type="dxa"/>
            </w:tcMar>
          </w:tcPr>
          <w:p w:rsidR="004900F4" w:rsidRPr="00D8157C" w:rsidRDefault="004900F4" w:rsidP="006860E4">
            <w:pPr>
              <w:jc w:val="left"/>
              <w:rPr>
                <w:sz w:val="20"/>
                <w:szCs w:val="20"/>
                <w:lang w:val="en-US"/>
              </w:rPr>
            </w:pPr>
            <w:r w:rsidRPr="00D8157C">
              <w:rPr>
                <w:sz w:val="20"/>
                <w:szCs w:val="20"/>
                <w:lang w:val="en-US"/>
              </w:rPr>
              <w:t>5</w:t>
            </w:r>
          </w:p>
        </w:tc>
        <w:tc>
          <w:tcPr>
            <w:tcW w:w="1719" w:type="pct"/>
            <w:noWrap/>
            <w:tcMar>
              <w:left w:w="43" w:type="dxa"/>
              <w:right w:w="43" w:type="dxa"/>
            </w:tcMar>
          </w:tcPr>
          <w:p w:rsidR="004900F4" w:rsidRPr="00D8157C" w:rsidRDefault="004900F4" w:rsidP="006860E4">
            <w:pPr>
              <w:pStyle w:val="Heading1"/>
              <w:numPr>
                <w:ilvl w:val="0"/>
                <w:numId w:val="0"/>
              </w:numPr>
              <w:spacing w:before="100" w:beforeAutospacing="1" w:after="100" w:afterAutospacing="1"/>
              <w:contextualSpacing/>
              <w:jc w:val="left"/>
              <w:rPr>
                <w:sz w:val="20"/>
                <w:szCs w:val="20"/>
              </w:rPr>
            </w:pPr>
            <w:r w:rsidRPr="00D8157C">
              <w:rPr>
                <w:sz w:val="20"/>
                <w:szCs w:val="20"/>
              </w:rPr>
              <w:t>Gambia (the)</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25.70</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603515">
            <w:pPr>
              <w:jc w:val="left"/>
              <w:rPr>
                <w:sz w:val="20"/>
                <w:szCs w:val="20"/>
                <w:lang w:val="en-US"/>
              </w:rPr>
            </w:pPr>
            <w:r w:rsidRPr="00D8157C">
              <w:rPr>
                <w:sz w:val="20"/>
                <w:szCs w:val="20"/>
                <w:lang w:val="en-US"/>
              </w:rPr>
              <w:t>6</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Guinea-Bissau</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26.00</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UNEP/UNIDO</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2022 (new stage)</w:t>
            </w:r>
          </w:p>
        </w:tc>
      </w:tr>
      <w:tr w:rsidR="004900F4" w:rsidRPr="00D8157C" w:rsidTr="0007413D">
        <w:tc>
          <w:tcPr>
            <w:tcW w:w="204" w:type="pct"/>
            <w:shd w:val="clear" w:color="auto" w:fill="auto"/>
            <w:noWrap/>
            <w:tcMar>
              <w:left w:w="43" w:type="dxa"/>
              <w:right w:w="43" w:type="dxa"/>
            </w:tcMar>
          </w:tcPr>
          <w:p w:rsidR="004900F4" w:rsidRPr="00D8157C" w:rsidRDefault="004900F4" w:rsidP="00603515">
            <w:pPr>
              <w:jc w:val="left"/>
              <w:rPr>
                <w:sz w:val="20"/>
                <w:szCs w:val="20"/>
                <w:lang w:val="en-US"/>
              </w:rPr>
            </w:pPr>
            <w:r w:rsidRPr="00D8157C">
              <w:rPr>
                <w:sz w:val="20"/>
                <w:szCs w:val="20"/>
                <w:lang w:val="en-US"/>
              </w:rPr>
              <w:t>7</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Honduras</w:t>
            </w:r>
            <w:r>
              <w:rPr>
                <w:sz w:val="20"/>
                <w:szCs w:val="20"/>
              </w:rPr>
              <w:t xml:space="preserve"> </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344.65</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UNIDO</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603515">
            <w:pPr>
              <w:jc w:val="left"/>
              <w:rPr>
                <w:sz w:val="20"/>
                <w:szCs w:val="20"/>
                <w:lang w:val="en-US"/>
              </w:rPr>
            </w:pPr>
            <w:r w:rsidRPr="00D8157C">
              <w:rPr>
                <w:sz w:val="20"/>
                <w:szCs w:val="20"/>
                <w:lang w:val="en-US"/>
              </w:rPr>
              <w:t>8</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Lao People’s Democratic Republic</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41.93</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UNEP/UNDP</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603515">
            <w:pPr>
              <w:jc w:val="left"/>
              <w:rPr>
                <w:sz w:val="20"/>
                <w:szCs w:val="20"/>
                <w:lang w:val="en-US"/>
              </w:rPr>
            </w:pPr>
            <w:r w:rsidRPr="00D8157C">
              <w:rPr>
                <w:sz w:val="20"/>
                <w:szCs w:val="20"/>
                <w:lang w:val="en-US"/>
              </w:rPr>
              <w:t>9</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Mauritius</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144.98</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Germany</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D8157C">
            <w:pPr>
              <w:jc w:val="left"/>
              <w:rPr>
                <w:sz w:val="20"/>
                <w:szCs w:val="20"/>
                <w:lang w:val="en-US"/>
              </w:rPr>
            </w:pPr>
            <w:r w:rsidRPr="00D8157C">
              <w:rPr>
                <w:sz w:val="20"/>
                <w:szCs w:val="20"/>
                <w:lang w:val="en-US"/>
              </w:rPr>
              <w:t>10</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Mongolia</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23.73</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UNEP/Japan</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6860E4">
        <w:tc>
          <w:tcPr>
            <w:tcW w:w="204" w:type="pct"/>
            <w:shd w:val="clear" w:color="auto" w:fill="auto"/>
            <w:noWrap/>
            <w:tcMar>
              <w:left w:w="43" w:type="dxa"/>
              <w:right w:w="43" w:type="dxa"/>
            </w:tcMar>
          </w:tcPr>
          <w:p w:rsidR="004900F4" w:rsidRPr="00D8157C" w:rsidRDefault="004900F4" w:rsidP="00D8157C">
            <w:pPr>
              <w:jc w:val="left"/>
              <w:rPr>
                <w:sz w:val="20"/>
                <w:szCs w:val="20"/>
                <w:lang w:val="en-US"/>
              </w:rPr>
            </w:pPr>
            <w:r w:rsidRPr="00D8157C">
              <w:rPr>
                <w:sz w:val="20"/>
                <w:szCs w:val="20"/>
                <w:lang w:val="en-US"/>
              </w:rPr>
              <w:t>11</w:t>
            </w:r>
          </w:p>
        </w:tc>
        <w:tc>
          <w:tcPr>
            <w:tcW w:w="1719" w:type="pct"/>
            <w:noWrap/>
            <w:tcMar>
              <w:left w:w="43" w:type="dxa"/>
              <w:right w:w="43" w:type="dxa"/>
            </w:tcMar>
          </w:tcPr>
          <w:p w:rsidR="004900F4" w:rsidRPr="00D8157C" w:rsidRDefault="004900F4" w:rsidP="006860E4">
            <w:pPr>
              <w:pStyle w:val="Heading1"/>
              <w:numPr>
                <w:ilvl w:val="0"/>
                <w:numId w:val="0"/>
              </w:numPr>
              <w:spacing w:before="100" w:beforeAutospacing="1" w:after="100" w:afterAutospacing="1"/>
              <w:contextualSpacing/>
              <w:jc w:val="left"/>
              <w:rPr>
                <w:sz w:val="20"/>
                <w:szCs w:val="20"/>
              </w:rPr>
            </w:pPr>
            <w:r w:rsidRPr="00D8157C">
              <w:rPr>
                <w:sz w:val="20"/>
                <w:szCs w:val="20"/>
              </w:rPr>
              <w:t>Montenegro</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13.88</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UNIDO</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2022</w:t>
            </w:r>
          </w:p>
        </w:tc>
      </w:tr>
      <w:tr w:rsidR="004900F4" w:rsidRPr="00D8157C" w:rsidTr="0007413D">
        <w:tc>
          <w:tcPr>
            <w:tcW w:w="204" w:type="pct"/>
            <w:shd w:val="clear" w:color="auto" w:fill="auto"/>
            <w:noWrap/>
            <w:tcMar>
              <w:left w:w="43" w:type="dxa"/>
              <w:right w:w="43" w:type="dxa"/>
            </w:tcMar>
          </w:tcPr>
          <w:p w:rsidR="004900F4" w:rsidRPr="00D8157C" w:rsidRDefault="004900F4" w:rsidP="00D8157C">
            <w:pPr>
              <w:jc w:val="left"/>
              <w:rPr>
                <w:sz w:val="20"/>
                <w:szCs w:val="20"/>
                <w:lang w:val="en-US"/>
              </w:rPr>
            </w:pPr>
            <w:r w:rsidRPr="00D8157C">
              <w:rPr>
                <w:sz w:val="20"/>
                <w:szCs w:val="20"/>
                <w:lang w:val="en-US"/>
              </w:rPr>
              <w:t>12</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Nepal</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20.00</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UNEP/UNDP</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D8157C">
            <w:pPr>
              <w:jc w:val="left"/>
              <w:rPr>
                <w:sz w:val="20"/>
                <w:szCs w:val="20"/>
                <w:lang w:val="en-US"/>
              </w:rPr>
            </w:pPr>
            <w:r w:rsidRPr="00D8157C">
              <w:rPr>
                <w:sz w:val="20"/>
                <w:szCs w:val="20"/>
                <w:lang w:val="en-US"/>
              </w:rPr>
              <w:t>13</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Nicaragua</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118.36</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UNEP/UNIDO</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r w:rsidR="004900F4" w:rsidRPr="00D8157C" w:rsidTr="0007413D">
        <w:tc>
          <w:tcPr>
            <w:tcW w:w="204" w:type="pct"/>
            <w:shd w:val="clear" w:color="auto" w:fill="auto"/>
            <w:noWrap/>
            <w:tcMar>
              <w:left w:w="43" w:type="dxa"/>
              <w:right w:w="43" w:type="dxa"/>
            </w:tcMar>
          </w:tcPr>
          <w:p w:rsidR="004900F4" w:rsidRPr="00D8157C" w:rsidRDefault="004900F4" w:rsidP="00D8157C">
            <w:pPr>
              <w:jc w:val="left"/>
              <w:rPr>
                <w:sz w:val="20"/>
                <w:szCs w:val="20"/>
                <w:lang w:val="en-US"/>
              </w:rPr>
            </w:pPr>
            <w:r w:rsidRPr="00D8157C">
              <w:rPr>
                <w:sz w:val="20"/>
                <w:szCs w:val="20"/>
                <w:lang w:val="en-US"/>
              </w:rPr>
              <w:t>14</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Sao Tome and Principe</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39.00</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UNEP/UNIDO</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2022 (new stage)</w:t>
            </w:r>
          </w:p>
        </w:tc>
      </w:tr>
      <w:tr w:rsidR="004900F4" w:rsidRPr="00D8157C" w:rsidTr="0007413D">
        <w:tc>
          <w:tcPr>
            <w:tcW w:w="204" w:type="pct"/>
            <w:shd w:val="clear" w:color="auto" w:fill="auto"/>
            <w:noWrap/>
            <w:tcMar>
              <w:left w:w="43" w:type="dxa"/>
              <w:right w:w="43" w:type="dxa"/>
            </w:tcMar>
          </w:tcPr>
          <w:p w:rsidR="004900F4" w:rsidRPr="00D8157C" w:rsidRDefault="004900F4" w:rsidP="00D8157C">
            <w:pPr>
              <w:jc w:val="left"/>
              <w:rPr>
                <w:sz w:val="20"/>
                <w:szCs w:val="20"/>
                <w:lang w:val="en-US"/>
              </w:rPr>
            </w:pPr>
            <w:r w:rsidRPr="00D8157C">
              <w:rPr>
                <w:sz w:val="20"/>
                <w:szCs w:val="20"/>
                <w:lang w:val="en-US"/>
              </w:rPr>
              <w:t>15</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Serbia</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151.11</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UNIDO/UNEP</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2022</w:t>
            </w:r>
          </w:p>
        </w:tc>
      </w:tr>
      <w:tr w:rsidR="004900F4" w:rsidRPr="00D8157C" w:rsidTr="0007413D">
        <w:tc>
          <w:tcPr>
            <w:tcW w:w="204" w:type="pct"/>
            <w:shd w:val="clear" w:color="auto" w:fill="auto"/>
            <w:noWrap/>
            <w:tcMar>
              <w:left w:w="43" w:type="dxa"/>
              <w:right w:w="43" w:type="dxa"/>
            </w:tcMar>
          </w:tcPr>
          <w:p w:rsidR="004900F4" w:rsidRPr="00D8157C" w:rsidRDefault="004900F4" w:rsidP="0007413D">
            <w:pPr>
              <w:jc w:val="left"/>
              <w:rPr>
                <w:sz w:val="20"/>
                <w:szCs w:val="20"/>
                <w:lang w:val="en-US"/>
              </w:rPr>
            </w:pPr>
            <w:r w:rsidRPr="00D8157C">
              <w:rPr>
                <w:sz w:val="20"/>
                <w:szCs w:val="20"/>
                <w:lang w:val="en-US"/>
              </w:rPr>
              <w:t>16</w:t>
            </w:r>
          </w:p>
        </w:tc>
        <w:tc>
          <w:tcPr>
            <w:tcW w:w="1719" w:type="pct"/>
            <w:noWrap/>
            <w:tcMar>
              <w:left w:w="43" w:type="dxa"/>
              <w:right w:w="43" w:type="dxa"/>
            </w:tcMar>
          </w:tcPr>
          <w:p w:rsidR="004900F4" w:rsidRPr="00D8157C" w:rsidRDefault="004900F4" w:rsidP="00603515">
            <w:pPr>
              <w:pStyle w:val="Heading1"/>
              <w:numPr>
                <w:ilvl w:val="0"/>
                <w:numId w:val="0"/>
              </w:numPr>
              <w:spacing w:before="100" w:beforeAutospacing="1" w:after="100" w:afterAutospacing="1"/>
              <w:contextualSpacing/>
              <w:jc w:val="left"/>
              <w:rPr>
                <w:sz w:val="20"/>
                <w:szCs w:val="20"/>
              </w:rPr>
            </w:pPr>
            <w:r w:rsidRPr="00D8157C">
              <w:rPr>
                <w:sz w:val="20"/>
                <w:szCs w:val="20"/>
              </w:rPr>
              <w:t>Turkmenistan</w:t>
            </w:r>
          </w:p>
        </w:tc>
        <w:tc>
          <w:tcPr>
            <w:tcW w:w="932" w:type="pct"/>
            <w:tcMar>
              <w:left w:w="43" w:type="dxa"/>
              <w:right w:w="86" w:type="dxa"/>
            </w:tcMar>
            <w:vAlign w:val="cente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124.10</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UNIDO</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2022</w:t>
            </w:r>
          </w:p>
        </w:tc>
      </w:tr>
      <w:tr w:rsidR="004900F4" w:rsidRPr="00D8157C" w:rsidTr="0007413D">
        <w:tc>
          <w:tcPr>
            <w:tcW w:w="204" w:type="pct"/>
            <w:shd w:val="clear" w:color="auto" w:fill="auto"/>
            <w:noWrap/>
            <w:tcMar>
              <w:left w:w="43" w:type="dxa"/>
              <w:right w:w="43" w:type="dxa"/>
            </w:tcMar>
          </w:tcPr>
          <w:p w:rsidR="004900F4" w:rsidRPr="00D8157C" w:rsidRDefault="004900F4" w:rsidP="0007413D">
            <w:pPr>
              <w:jc w:val="left"/>
              <w:rPr>
                <w:sz w:val="20"/>
                <w:szCs w:val="20"/>
                <w:lang w:val="en-US"/>
              </w:rPr>
            </w:pPr>
            <w:r w:rsidRPr="00D8157C">
              <w:rPr>
                <w:sz w:val="20"/>
                <w:szCs w:val="20"/>
                <w:lang w:val="en-US"/>
              </w:rPr>
              <w:t>17</w:t>
            </w:r>
          </w:p>
        </w:tc>
        <w:tc>
          <w:tcPr>
            <w:tcW w:w="1719" w:type="pct"/>
            <w:noWrap/>
            <w:tcMar>
              <w:left w:w="43" w:type="dxa"/>
              <w:right w:w="43" w:type="dxa"/>
            </w:tcMar>
          </w:tcPr>
          <w:p w:rsidR="004900F4" w:rsidRPr="00D8157C" w:rsidRDefault="004900F4" w:rsidP="00603515">
            <w:pPr>
              <w:pStyle w:val="Heading1"/>
              <w:numPr>
                <w:ilvl w:val="0"/>
                <w:numId w:val="0"/>
              </w:numPr>
              <w:spacing w:after="0"/>
              <w:contextualSpacing/>
              <w:jc w:val="left"/>
              <w:rPr>
                <w:sz w:val="20"/>
                <w:szCs w:val="20"/>
              </w:rPr>
            </w:pPr>
            <w:r w:rsidRPr="00D8157C">
              <w:rPr>
                <w:sz w:val="20"/>
                <w:szCs w:val="20"/>
              </w:rPr>
              <w:t>Zimbabwe</w:t>
            </w:r>
          </w:p>
        </w:tc>
        <w:tc>
          <w:tcPr>
            <w:tcW w:w="932" w:type="pct"/>
            <w:tcMar>
              <w:left w:w="43" w:type="dxa"/>
              <w:right w:w="86" w:type="dxa"/>
            </w:tcMar>
          </w:tcPr>
          <w:p w:rsidR="004900F4" w:rsidRPr="00D8157C" w:rsidRDefault="004900F4" w:rsidP="00B629C9">
            <w:pPr>
              <w:pStyle w:val="Heading1"/>
              <w:numPr>
                <w:ilvl w:val="0"/>
                <w:numId w:val="0"/>
              </w:numPr>
              <w:spacing w:before="100" w:beforeAutospacing="1" w:after="100" w:afterAutospacing="1"/>
              <w:ind w:right="304"/>
              <w:contextualSpacing/>
              <w:jc w:val="right"/>
              <w:rPr>
                <w:sz w:val="20"/>
                <w:szCs w:val="20"/>
              </w:rPr>
            </w:pPr>
            <w:r w:rsidRPr="00D8157C">
              <w:rPr>
                <w:sz w:val="20"/>
                <w:szCs w:val="20"/>
              </w:rPr>
              <w:t>314.94</w:t>
            </w:r>
          </w:p>
        </w:tc>
        <w:tc>
          <w:tcPr>
            <w:tcW w:w="1217" w:type="pct"/>
            <w:noWrap/>
            <w:tcMar>
              <w:left w:w="43" w:type="dxa"/>
              <w:right w:w="43" w:type="dxa"/>
            </w:tcMar>
            <w:vAlign w:val="center"/>
          </w:tcPr>
          <w:p w:rsidR="004900F4" w:rsidRPr="00D8157C" w:rsidRDefault="004900F4" w:rsidP="00B629C9">
            <w:pPr>
              <w:pStyle w:val="Heading1"/>
              <w:numPr>
                <w:ilvl w:val="0"/>
                <w:numId w:val="0"/>
              </w:numPr>
              <w:spacing w:before="100" w:beforeAutospacing="1" w:after="100" w:afterAutospacing="1"/>
              <w:ind w:left="18"/>
              <w:contextualSpacing/>
              <w:jc w:val="left"/>
              <w:rPr>
                <w:sz w:val="20"/>
                <w:szCs w:val="20"/>
              </w:rPr>
            </w:pPr>
            <w:r w:rsidRPr="00D8157C">
              <w:rPr>
                <w:sz w:val="20"/>
                <w:szCs w:val="20"/>
              </w:rPr>
              <w:t>UNEP/UNDP</w:t>
            </w:r>
          </w:p>
        </w:tc>
        <w:tc>
          <w:tcPr>
            <w:tcW w:w="928" w:type="pct"/>
            <w:tcMar>
              <w:left w:w="43" w:type="dxa"/>
              <w:right w:w="43" w:type="dxa"/>
            </w:tcMar>
            <w:vAlign w:val="center"/>
          </w:tcPr>
          <w:p w:rsidR="004900F4" w:rsidRPr="00D8157C" w:rsidRDefault="004900F4" w:rsidP="00B629C9">
            <w:pPr>
              <w:ind w:left="78"/>
              <w:jc w:val="left"/>
              <w:rPr>
                <w:sz w:val="20"/>
              </w:rPr>
            </w:pPr>
            <w:r w:rsidRPr="00D8157C">
              <w:rPr>
                <w:sz w:val="20"/>
              </w:rPr>
              <w:t>2023</w:t>
            </w:r>
          </w:p>
        </w:tc>
      </w:tr>
    </w:tbl>
    <w:p w:rsidR="004900F4" w:rsidRDefault="004900F4" w:rsidP="00960EB4"/>
    <w:p w:rsidR="004900F4" w:rsidRPr="00F95A58" w:rsidRDefault="004900F4" w:rsidP="006860E4">
      <w:pPr>
        <w:widowControl w:val="0"/>
        <w:spacing w:after="240"/>
        <w:rPr>
          <w:i/>
          <w:szCs w:val="28"/>
        </w:rPr>
      </w:pPr>
      <w:r w:rsidRPr="00F95A58">
        <w:rPr>
          <w:i/>
          <w:szCs w:val="28"/>
        </w:rPr>
        <w:t>Secretariat’s recommendation</w:t>
      </w:r>
    </w:p>
    <w:p w:rsidR="004900F4" w:rsidRPr="00960EB4" w:rsidRDefault="004900F4" w:rsidP="006860E4">
      <w:pPr>
        <w:pStyle w:val="Heading1"/>
      </w:pPr>
      <w:r>
        <w:t>The Executive Committee may wish to request relevant bilateral and implementing agencies to include in their amendments to their respective work programmes, due for submission to the 88</w:t>
      </w:r>
      <w:r w:rsidRPr="00A1717A">
        <w:rPr>
          <w:vertAlign w:val="superscript"/>
        </w:rPr>
        <w:t>th</w:t>
      </w:r>
      <w:r>
        <w:t> meeting, funding in the amount of US $30,000 plus agency support costs for verification reports for stage II or stage III of the HPMPs for Albania, Botswana, Cuba, Djibouti, Gambia (the), Guinea-Bissau, Honduras, Lao People’s Democratic Republic, Mauritius, Mongolia, Montenegro, Nepal, Nicaragua, Sao Tome and Principe, Serbia, Turkmenistan and Zimbabwe.</w:t>
      </w:r>
    </w:p>
    <w:bookmarkEnd w:id="4"/>
    <w:p w:rsidR="004900F4" w:rsidRPr="00F95A58" w:rsidRDefault="004900F4" w:rsidP="00B16D42">
      <w:pPr>
        <w:pStyle w:val="Heading1"/>
        <w:keepNext/>
        <w:keepLines/>
        <w:numPr>
          <w:ilvl w:val="0"/>
          <w:numId w:val="0"/>
        </w:numPr>
        <w:rPr>
          <w:u w:val="single"/>
        </w:rPr>
      </w:pPr>
      <w:r w:rsidRPr="00F95A58">
        <w:rPr>
          <w:u w:val="single"/>
        </w:rPr>
        <w:lastRenderedPageBreak/>
        <w:t>Projects and activities recommended for blanket approval</w:t>
      </w:r>
    </w:p>
    <w:p w:rsidR="004900F4" w:rsidRPr="00F95A58" w:rsidRDefault="004900F4" w:rsidP="00B16D42">
      <w:pPr>
        <w:pStyle w:val="Heading1"/>
        <w:keepNext/>
        <w:keepLines/>
        <w:widowControl w:val="0"/>
        <w:rPr>
          <w:u w:val="single"/>
        </w:rPr>
      </w:pPr>
      <w:r w:rsidRPr="00F95A58">
        <w:t xml:space="preserve">Annex I to the present document lists </w:t>
      </w:r>
      <w:r>
        <w:t>63</w:t>
      </w:r>
      <w:r w:rsidRPr="00F95A58">
        <w:t xml:space="preserve"> funding requests for projects and activities totalling </w:t>
      </w:r>
      <w:r>
        <w:t>US $9,804,811</w:t>
      </w:r>
      <w:r w:rsidRPr="00F95A58">
        <w:t xml:space="preserve">, including agency support costs, that are recommended for blanket approval. </w:t>
      </w:r>
      <w:r w:rsidRPr="00F95A58">
        <w:rPr>
          <w:snapToGrid w:val="0"/>
        </w:rPr>
        <w:t>The approval of these projects would include the relevant conditions or provisions in the corresponding project evaluation sheets, as well as the approval of implementation programmes associated with the relevant tranches of multi</w:t>
      </w:r>
      <w:r>
        <w:rPr>
          <w:snapToGrid w:val="0"/>
        </w:rPr>
        <w:noBreakHyphen/>
      </w:r>
      <w:r w:rsidRPr="00F95A58">
        <w:rPr>
          <w:snapToGrid w:val="0"/>
        </w:rPr>
        <w:t>year projects.</w:t>
      </w:r>
    </w:p>
    <w:p w:rsidR="004900F4" w:rsidRPr="007A4B9D" w:rsidRDefault="004900F4" w:rsidP="00B16D42">
      <w:pPr>
        <w:widowControl w:val="0"/>
        <w:spacing w:after="240"/>
        <w:outlineLvl w:val="0"/>
        <w:rPr>
          <w:b/>
          <w:bCs/>
          <w:szCs w:val="28"/>
        </w:rPr>
      </w:pPr>
      <w:r w:rsidRPr="00F95A58">
        <w:rPr>
          <w:b/>
          <w:bCs/>
          <w:szCs w:val="28"/>
        </w:rPr>
        <w:t xml:space="preserve">Investment projects for individual </w:t>
      </w:r>
      <w:r w:rsidRPr="007A4B9D">
        <w:rPr>
          <w:b/>
          <w:bCs/>
          <w:szCs w:val="28"/>
        </w:rPr>
        <w:t>consideration</w:t>
      </w:r>
    </w:p>
    <w:p w:rsidR="004900F4" w:rsidRPr="007A4B9D" w:rsidRDefault="004900F4" w:rsidP="00B16D42">
      <w:pPr>
        <w:pStyle w:val="Heading1"/>
        <w:widowControl w:val="0"/>
      </w:pPr>
      <w:r w:rsidRPr="007A4B9D">
        <w:t>After review by the Secretariat, 74</w:t>
      </w:r>
      <w:r w:rsidRPr="007A4B9D">
        <w:rPr>
          <w:snapToGrid w:val="0"/>
        </w:rPr>
        <w:t xml:space="preserve"> funding requests for projects/activities totalling US $12,237,486, including agency support costs, are proposed for individual consideration.</w:t>
      </w:r>
    </w:p>
    <w:p w:rsidR="004900F4" w:rsidRPr="007A4B9D" w:rsidRDefault="004900F4" w:rsidP="00B16D42">
      <w:pPr>
        <w:pStyle w:val="Heading1"/>
        <w:widowControl w:val="0"/>
        <w:rPr>
          <w:strike/>
        </w:rPr>
      </w:pPr>
      <w:r w:rsidRPr="007A4B9D">
        <w:rPr>
          <w:snapToGrid w:val="0"/>
        </w:rPr>
        <w:t>To facilitate the Executive Committee’s consideration of the investment projects for individual consideration, the Secretariat has classified the projects by sector and has grouped them by issue, as shown in Table 3.</w:t>
      </w:r>
    </w:p>
    <w:p w:rsidR="004900F4" w:rsidRPr="00F95A58" w:rsidRDefault="004900F4" w:rsidP="00B16D42">
      <w:pPr>
        <w:pStyle w:val="Heading1"/>
        <w:widowControl w:val="0"/>
        <w:numPr>
          <w:ilvl w:val="0"/>
          <w:numId w:val="0"/>
        </w:numPr>
        <w:spacing w:after="0"/>
        <w:rPr>
          <w:b/>
          <w:snapToGrid w:val="0"/>
        </w:rPr>
      </w:pPr>
      <w:r w:rsidRPr="007A4B9D">
        <w:rPr>
          <w:b/>
          <w:snapToGrid w:val="0"/>
        </w:rPr>
        <w:t>Table 3. Investment projects submitted for individual</w:t>
      </w:r>
      <w:r w:rsidRPr="00F95A58">
        <w:rPr>
          <w:b/>
          <w:snapToGrid w:val="0"/>
        </w:rPr>
        <w:t xml:space="preserve"> consideration</w:t>
      </w:r>
    </w:p>
    <w:tbl>
      <w:tblPr>
        <w:tblStyle w:val="TableGrid"/>
        <w:tblpPr w:leftFromText="180" w:rightFromText="180" w:vertAnchor="text" w:tblpX="-5" w:tblpY="1"/>
        <w:tblOverlap w:val="never"/>
        <w:tblW w:w="9360" w:type="dxa"/>
        <w:tblLayout w:type="fixed"/>
        <w:tblCellMar>
          <w:right w:w="57" w:type="dxa"/>
        </w:tblCellMar>
        <w:tblLook w:val="04A0" w:firstRow="1" w:lastRow="0" w:firstColumn="1" w:lastColumn="0" w:noHBand="0" w:noVBand="1"/>
      </w:tblPr>
      <w:tblGrid>
        <w:gridCol w:w="1980"/>
        <w:gridCol w:w="2430"/>
        <w:gridCol w:w="900"/>
        <w:gridCol w:w="1080"/>
        <w:gridCol w:w="2970"/>
      </w:tblGrid>
      <w:tr w:rsidR="004900F4" w:rsidRPr="00F95A58" w:rsidTr="004900F4">
        <w:trPr>
          <w:tblHeader/>
        </w:trPr>
        <w:tc>
          <w:tcPr>
            <w:tcW w:w="1980" w:type="dxa"/>
            <w:vAlign w:val="center"/>
          </w:tcPr>
          <w:p w:rsidR="004900F4" w:rsidRPr="003906F5" w:rsidRDefault="004900F4" w:rsidP="004900F4">
            <w:pPr>
              <w:widowControl w:val="0"/>
              <w:jc w:val="center"/>
              <w:rPr>
                <w:b/>
                <w:sz w:val="20"/>
                <w:szCs w:val="20"/>
              </w:rPr>
            </w:pPr>
            <w:r w:rsidRPr="003906F5">
              <w:rPr>
                <w:b/>
                <w:sz w:val="20"/>
                <w:szCs w:val="20"/>
              </w:rPr>
              <w:t>Country</w:t>
            </w:r>
          </w:p>
        </w:tc>
        <w:tc>
          <w:tcPr>
            <w:tcW w:w="2430" w:type="dxa"/>
            <w:vAlign w:val="center"/>
          </w:tcPr>
          <w:p w:rsidR="004900F4" w:rsidRPr="003906F5" w:rsidRDefault="004900F4" w:rsidP="004900F4">
            <w:pPr>
              <w:widowControl w:val="0"/>
              <w:jc w:val="center"/>
              <w:rPr>
                <w:b/>
                <w:sz w:val="20"/>
                <w:szCs w:val="20"/>
              </w:rPr>
            </w:pPr>
            <w:r w:rsidRPr="003906F5">
              <w:rPr>
                <w:b/>
                <w:sz w:val="20"/>
                <w:szCs w:val="20"/>
              </w:rPr>
              <w:t>Project</w:t>
            </w:r>
          </w:p>
        </w:tc>
        <w:tc>
          <w:tcPr>
            <w:tcW w:w="900" w:type="dxa"/>
            <w:vAlign w:val="center"/>
          </w:tcPr>
          <w:p w:rsidR="004900F4" w:rsidRPr="003906F5" w:rsidRDefault="004900F4" w:rsidP="004900F4">
            <w:pPr>
              <w:widowControl w:val="0"/>
              <w:jc w:val="center"/>
              <w:rPr>
                <w:b/>
                <w:sz w:val="20"/>
                <w:szCs w:val="20"/>
              </w:rPr>
            </w:pPr>
            <w:r w:rsidRPr="003906F5">
              <w:rPr>
                <w:b/>
                <w:sz w:val="20"/>
                <w:szCs w:val="20"/>
              </w:rPr>
              <w:t>Agency</w:t>
            </w:r>
          </w:p>
        </w:tc>
        <w:tc>
          <w:tcPr>
            <w:tcW w:w="1080" w:type="dxa"/>
            <w:vAlign w:val="center"/>
          </w:tcPr>
          <w:p w:rsidR="004900F4" w:rsidRPr="003906F5" w:rsidRDefault="004900F4" w:rsidP="004900F4">
            <w:pPr>
              <w:widowControl w:val="0"/>
              <w:jc w:val="center"/>
              <w:rPr>
                <w:b/>
                <w:sz w:val="20"/>
                <w:szCs w:val="20"/>
              </w:rPr>
            </w:pPr>
            <w:r w:rsidRPr="003906F5">
              <w:rPr>
                <w:b/>
                <w:sz w:val="20"/>
                <w:szCs w:val="20"/>
              </w:rPr>
              <w:t xml:space="preserve">ExCom document </w:t>
            </w:r>
          </w:p>
        </w:tc>
        <w:tc>
          <w:tcPr>
            <w:tcW w:w="2970" w:type="dxa"/>
            <w:vAlign w:val="center"/>
          </w:tcPr>
          <w:p w:rsidR="004900F4" w:rsidRPr="003906F5" w:rsidRDefault="004900F4" w:rsidP="004900F4">
            <w:pPr>
              <w:widowControl w:val="0"/>
              <w:jc w:val="center"/>
              <w:rPr>
                <w:b/>
                <w:sz w:val="20"/>
                <w:szCs w:val="20"/>
              </w:rPr>
            </w:pPr>
            <w:r w:rsidRPr="003906F5">
              <w:rPr>
                <w:b/>
                <w:sz w:val="20"/>
                <w:szCs w:val="20"/>
              </w:rPr>
              <w:t>Issue</w:t>
            </w:r>
          </w:p>
        </w:tc>
      </w:tr>
      <w:tr w:rsidR="004900F4" w:rsidRPr="00F95A58" w:rsidTr="004900F4">
        <w:tc>
          <w:tcPr>
            <w:tcW w:w="9360" w:type="dxa"/>
            <w:gridSpan w:val="5"/>
            <w:vAlign w:val="center"/>
          </w:tcPr>
          <w:p w:rsidR="004900F4" w:rsidRPr="002C04F7" w:rsidRDefault="004900F4" w:rsidP="004900F4">
            <w:pPr>
              <w:widowControl w:val="0"/>
              <w:jc w:val="left"/>
              <w:rPr>
                <w:b/>
                <w:sz w:val="20"/>
                <w:szCs w:val="20"/>
              </w:rPr>
            </w:pPr>
            <w:r w:rsidRPr="00917A8D">
              <w:rPr>
                <w:b/>
                <w:sz w:val="20"/>
                <w:szCs w:val="20"/>
              </w:rPr>
              <w:t>Stages II and III</w:t>
            </w:r>
            <w:r>
              <w:rPr>
                <w:b/>
                <w:sz w:val="20"/>
                <w:szCs w:val="20"/>
              </w:rPr>
              <w:t xml:space="preserve"> of</w:t>
            </w:r>
            <w:r w:rsidRPr="00917A8D">
              <w:rPr>
                <w:b/>
                <w:sz w:val="20"/>
                <w:szCs w:val="20"/>
              </w:rPr>
              <w:t xml:space="preserve"> HPMP</w:t>
            </w:r>
            <w:r>
              <w:rPr>
                <w:b/>
                <w:sz w:val="20"/>
                <w:szCs w:val="20"/>
              </w:rPr>
              <w:t>s</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Belize</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UNDP/ UNEP</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87/19</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900F4" w:rsidRPr="006E6787" w:rsidRDefault="004900F4" w:rsidP="004900F4">
            <w:pPr>
              <w:widowControl w:val="0"/>
              <w:jc w:val="left"/>
              <w:rPr>
                <w:sz w:val="20"/>
                <w:szCs w:val="20"/>
              </w:rPr>
            </w:pPr>
            <w:r w:rsidRPr="006E6787">
              <w:rPr>
                <w:rFonts w:eastAsia="Calibri"/>
                <w:sz w:val="20"/>
                <w:szCs w:val="20"/>
              </w:rPr>
              <w:t>All technical and cost issues resolved</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Bolivia (Plurinational State of)</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UNEP/ 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87/21</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900F4" w:rsidRPr="006E6787" w:rsidRDefault="004900F4" w:rsidP="004900F4">
            <w:pPr>
              <w:widowControl w:val="0"/>
              <w:jc w:val="left"/>
              <w:rPr>
                <w:sz w:val="20"/>
                <w:szCs w:val="20"/>
              </w:rPr>
            </w:pPr>
            <w:r w:rsidRPr="006E6787">
              <w:rPr>
                <w:rFonts w:eastAsia="Calibri"/>
                <w:sz w:val="20"/>
                <w:szCs w:val="20"/>
              </w:rPr>
              <w:t>All technical and cost issues resolved</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Bosnia and Herzegovina</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87/22</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900F4" w:rsidRPr="006E6787" w:rsidRDefault="004900F4" w:rsidP="004900F4">
            <w:pPr>
              <w:widowControl w:val="0"/>
              <w:jc w:val="left"/>
              <w:rPr>
                <w:sz w:val="20"/>
                <w:szCs w:val="20"/>
              </w:rPr>
            </w:pPr>
            <w:r w:rsidRPr="006E6787">
              <w:rPr>
                <w:rFonts w:eastAsia="Calibri"/>
                <w:sz w:val="20"/>
                <w:szCs w:val="20"/>
              </w:rPr>
              <w:t>All technical and cost issues resolved. Extension of stage I of the HPMP</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El Salvador</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UNDP/ UNEP</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87/26</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900F4" w:rsidRPr="006E6787" w:rsidRDefault="004900F4" w:rsidP="004900F4">
            <w:pPr>
              <w:widowControl w:val="0"/>
              <w:jc w:val="left"/>
              <w:rPr>
                <w:sz w:val="20"/>
                <w:szCs w:val="20"/>
              </w:rPr>
            </w:pPr>
            <w:r w:rsidRPr="006E6787">
              <w:rPr>
                <w:sz w:val="20"/>
                <w:szCs w:val="20"/>
              </w:rPr>
              <w:t>All technical and cost issues resolved</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Ghana</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UNDP/ UNEP</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87/28</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900F4" w:rsidRPr="006E6787" w:rsidRDefault="004900F4" w:rsidP="004900F4">
            <w:pPr>
              <w:widowControl w:val="0"/>
              <w:jc w:val="left"/>
              <w:rPr>
                <w:sz w:val="20"/>
                <w:szCs w:val="20"/>
              </w:rPr>
            </w:pPr>
            <w:r w:rsidRPr="006E6787">
              <w:rPr>
                <w:rFonts w:eastAsia="Calibri"/>
                <w:sz w:val="20"/>
                <w:szCs w:val="20"/>
              </w:rPr>
              <w:t>All technical and cost issues resolved. Extension of stage I of the HPMP</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Iraq</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UNEP/ 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87/30</w:t>
            </w:r>
          </w:p>
        </w:tc>
        <w:tc>
          <w:tcPr>
            <w:tcW w:w="297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Pr>
                <w:sz w:val="20"/>
                <w:szCs w:val="20"/>
              </w:rPr>
              <w:t>All technical and cost issues resolved. Delays in completion of stage I</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Lesotho</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Germany</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87/31</w:t>
            </w:r>
          </w:p>
        </w:tc>
        <w:tc>
          <w:tcPr>
            <w:tcW w:w="297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All technical and cost i</w:t>
            </w:r>
            <w:r>
              <w:rPr>
                <w:sz w:val="20"/>
                <w:szCs w:val="20"/>
              </w:rPr>
              <w:t>ssues re</w:t>
            </w:r>
            <w:r w:rsidRPr="003906F5">
              <w:rPr>
                <w:sz w:val="20"/>
                <w:szCs w:val="20"/>
              </w:rPr>
              <w:t>solved</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Paraguay</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UNDP/ UNEP</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87/33</w:t>
            </w:r>
          </w:p>
        </w:tc>
        <w:tc>
          <w:tcPr>
            <w:tcW w:w="297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All technical and cost i</w:t>
            </w:r>
            <w:r>
              <w:rPr>
                <w:sz w:val="20"/>
                <w:szCs w:val="20"/>
              </w:rPr>
              <w:t>ssues re</w:t>
            </w:r>
            <w:r w:rsidRPr="003906F5">
              <w:rPr>
                <w:sz w:val="20"/>
                <w:szCs w:val="20"/>
              </w:rPr>
              <w:t>solved</w:t>
            </w:r>
            <w:r>
              <w:rPr>
                <w:sz w:val="20"/>
                <w:szCs w:val="20"/>
              </w:rPr>
              <w:t>. Extension of stage I of the HPMP</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Qatar</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UNIDO/ UNEP</w:t>
            </w:r>
          </w:p>
        </w:tc>
        <w:tc>
          <w:tcPr>
            <w:tcW w:w="1080" w:type="dxa"/>
            <w:tcBorders>
              <w:top w:val="single" w:sz="4" w:space="0" w:color="auto"/>
              <w:left w:val="single" w:sz="4" w:space="0" w:color="auto"/>
              <w:bottom w:val="single" w:sz="4" w:space="0" w:color="auto"/>
              <w:right w:val="single" w:sz="4" w:space="0" w:color="auto"/>
            </w:tcBorders>
          </w:tcPr>
          <w:p w:rsidR="004900F4" w:rsidRPr="00DF06D4" w:rsidRDefault="004900F4" w:rsidP="004900F4">
            <w:pPr>
              <w:jc w:val="center"/>
              <w:rPr>
                <w:sz w:val="20"/>
                <w:szCs w:val="20"/>
              </w:rPr>
            </w:pPr>
            <w:r w:rsidRPr="00DF06D4">
              <w:rPr>
                <w:sz w:val="20"/>
                <w:szCs w:val="20"/>
              </w:rPr>
              <w:t>87/34</w:t>
            </w:r>
          </w:p>
        </w:tc>
        <w:tc>
          <w:tcPr>
            <w:tcW w:w="2970" w:type="dxa"/>
            <w:tcBorders>
              <w:top w:val="single" w:sz="4" w:space="0" w:color="auto"/>
              <w:left w:val="single" w:sz="4" w:space="0" w:color="auto"/>
              <w:bottom w:val="single" w:sz="4" w:space="0" w:color="auto"/>
              <w:right w:val="single" w:sz="4" w:space="0" w:color="auto"/>
            </w:tcBorders>
          </w:tcPr>
          <w:p w:rsidR="004900F4" w:rsidRPr="00DF06D4" w:rsidRDefault="004900F4" w:rsidP="004900F4">
            <w:pPr>
              <w:widowControl w:val="0"/>
              <w:jc w:val="left"/>
              <w:rPr>
                <w:sz w:val="20"/>
                <w:szCs w:val="20"/>
              </w:rPr>
            </w:pPr>
            <w:r w:rsidRPr="00DF06D4">
              <w:rPr>
                <w:sz w:val="20"/>
                <w:szCs w:val="20"/>
              </w:rPr>
              <w:t>All technical and cost issues resolved</w:t>
            </w:r>
          </w:p>
        </w:tc>
      </w:tr>
      <w:tr w:rsidR="004900F4"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left"/>
              <w:rPr>
                <w:sz w:val="20"/>
                <w:szCs w:val="20"/>
              </w:rPr>
            </w:pPr>
            <w:r w:rsidRPr="003906F5">
              <w:rPr>
                <w:sz w:val="20"/>
                <w:szCs w:val="20"/>
              </w:rPr>
              <w:t>Republic of Moldova</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left"/>
              <w:rPr>
                <w:sz w:val="20"/>
                <w:szCs w:val="20"/>
              </w:rPr>
            </w:pPr>
            <w:r w:rsidRPr="003906F5">
              <w:rPr>
                <w:sz w:val="20"/>
                <w:szCs w:val="20"/>
              </w:rPr>
              <w:t>HCFC phase-out management plan (stage</w:t>
            </w:r>
            <w:r>
              <w:rPr>
                <w:sz w:val="20"/>
                <w:szCs w:val="20"/>
              </w:rPr>
              <w:t> </w:t>
            </w:r>
            <w:r w:rsidRPr="003906F5">
              <w:rPr>
                <w:sz w:val="20"/>
                <w:szCs w:val="20"/>
              </w:rPr>
              <w:t>III)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jc w:val="left"/>
              <w:rPr>
                <w:sz w:val="20"/>
                <w:szCs w:val="20"/>
              </w:rPr>
            </w:pPr>
            <w:r w:rsidRPr="003906F5">
              <w:rPr>
                <w:sz w:val="20"/>
                <w:szCs w:val="20"/>
              </w:rPr>
              <w:t>UNDP/</w:t>
            </w:r>
            <w:r>
              <w:rPr>
                <w:sz w:val="20"/>
                <w:szCs w:val="20"/>
              </w:rPr>
              <w:t xml:space="preserve"> </w:t>
            </w:r>
            <w:r w:rsidRPr="003906F5">
              <w:rPr>
                <w:sz w:val="20"/>
                <w:szCs w:val="20"/>
              </w:rPr>
              <w:t>UNEP</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87/35</w:t>
            </w:r>
          </w:p>
        </w:tc>
        <w:tc>
          <w:tcPr>
            <w:tcW w:w="297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left"/>
              <w:rPr>
                <w:sz w:val="20"/>
                <w:szCs w:val="20"/>
              </w:rPr>
            </w:pPr>
            <w:r w:rsidRPr="003906F5">
              <w:rPr>
                <w:sz w:val="20"/>
                <w:szCs w:val="20"/>
              </w:rPr>
              <w:t xml:space="preserve">All technical and cost issues </w:t>
            </w:r>
            <w:r>
              <w:rPr>
                <w:sz w:val="20"/>
                <w:szCs w:val="20"/>
              </w:rPr>
              <w:t>resolved</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Saint Lucia</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UNEP/ 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87/36</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4900F4" w:rsidRPr="009E5960" w:rsidRDefault="004900F4" w:rsidP="004900F4">
            <w:pPr>
              <w:widowControl w:val="0"/>
              <w:jc w:val="left"/>
              <w:rPr>
                <w:sz w:val="20"/>
                <w:szCs w:val="20"/>
              </w:rPr>
            </w:pPr>
            <w:r w:rsidRPr="009E5960">
              <w:rPr>
                <w:sz w:val="20"/>
                <w:szCs w:val="20"/>
              </w:rPr>
              <w:t xml:space="preserve">All technical and cost issues </w:t>
            </w:r>
            <w:r>
              <w:rPr>
                <w:sz w:val="20"/>
                <w:szCs w:val="20"/>
              </w:rPr>
              <w:t>resolved</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Sierra Leone</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UNEP/ 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87/37</w:t>
            </w:r>
          </w:p>
        </w:tc>
        <w:tc>
          <w:tcPr>
            <w:tcW w:w="297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 xml:space="preserve">All technical and costs issues </w:t>
            </w:r>
            <w:r>
              <w:rPr>
                <w:sz w:val="20"/>
                <w:szCs w:val="20"/>
              </w:rPr>
              <w:t>resolved</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United Republic of Tanzania (the)</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HCFC phase-out management plan (stage II)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lang w:eastAsia="en-CA"/>
              </w:rPr>
            </w:pPr>
            <w:r w:rsidRPr="003906F5">
              <w:rPr>
                <w:sz w:val="20"/>
                <w:szCs w:val="20"/>
                <w:lang w:eastAsia="en-CA"/>
              </w:rPr>
              <w:t>UNEP/ 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87/39</w:t>
            </w:r>
          </w:p>
        </w:tc>
        <w:tc>
          <w:tcPr>
            <w:tcW w:w="297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 xml:space="preserve">All technical and costs issues </w:t>
            </w:r>
            <w:r>
              <w:rPr>
                <w:sz w:val="20"/>
                <w:szCs w:val="20"/>
              </w:rPr>
              <w:t>resolved.</w:t>
            </w:r>
            <w:r w:rsidRPr="003906F5">
              <w:rPr>
                <w:sz w:val="20"/>
                <w:szCs w:val="20"/>
              </w:rPr>
              <w:t xml:space="preserve"> </w:t>
            </w:r>
            <w:r>
              <w:rPr>
                <w:sz w:val="20"/>
                <w:szCs w:val="20"/>
              </w:rPr>
              <w:t>Extension of stage I of the HPMP</w:t>
            </w:r>
            <w:r w:rsidRPr="003906F5">
              <w:rPr>
                <w:sz w:val="20"/>
                <w:szCs w:val="20"/>
              </w:rPr>
              <w:t xml:space="preserve"> </w:t>
            </w:r>
          </w:p>
        </w:tc>
      </w:tr>
      <w:tr w:rsidR="004900F4" w:rsidRPr="00F95A58" w:rsidTr="004900F4">
        <w:tc>
          <w:tcPr>
            <w:tcW w:w="9360" w:type="dxa"/>
            <w:gridSpan w:val="5"/>
            <w:shd w:val="clear" w:color="auto" w:fill="auto"/>
          </w:tcPr>
          <w:p w:rsidR="004900F4" w:rsidRPr="003906F5" w:rsidRDefault="004900F4" w:rsidP="004900F4">
            <w:pPr>
              <w:keepNext/>
              <w:jc w:val="left"/>
              <w:rPr>
                <w:sz w:val="20"/>
                <w:szCs w:val="20"/>
              </w:rPr>
            </w:pPr>
            <w:r w:rsidRPr="003906F5">
              <w:rPr>
                <w:b/>
                <w:sz w:val="20"/>
                <w:szCs w:val="20"/>
              </w:rPr>
              <w:t>HFC investment projects (decision 78/3(g)</w:t>
            </w:r>
          </w:p>
        </w:tc>
      </w:tr>
      <w:tr w:rsidR="004900F4" w:rsidRPr="00F95A58" w:rsidTr="004900F4">
        <w:trPr>
          <w:trHeight w:val="716"/>
        </w:trPr>
        <w:tc>
          <w:tcPr>
            <w:tcW w:w="1980" w:type="dxa"/>
            <w:tcBorders>
              <w:top w:val="single" w:sz="4" w:space="0" w:color="auto"/>
              <w:left w:val="single" w:sz="4" w:space="0" w:color="auto"/>
              <w:bottom w:val="single" w:sz="4" w:space="0" w:color="auto"/>
              <w:right w:val="single" w:sz="4" w:space="0" w:color="auto"/>
            </w:tcBorders>
          </w:tcPr>
          <w:p w:rsidR="004900F4" w:rsidRPr="007A4B9D" w:rsidRDefault="004900F4" w:rsidP="004900F4">
            <w:pPr>
              <w:widowControl w:val="0"/>
              <w:jc w:val="left"/>
              <w:rPr>
                <w:sz w:val="20"/>
                <w:szCs w:val="20"/>
              </w:rPr>
            </w:pPr>
            <w:r w:rsidRPr="007A4B9D">
              <w:rPr>
                <w:sz w:val="20"/>
                <w:szCs w:val="20"/>
              </w:rPr>
              <w:t>Egypt</w:t>
            </w:r>
          </w:p>
        </w:tc>
        <w:tc>
          <w:tcPr>
            <w:tcW w:w="2430" w:type="dxa"/>
            <w:tcBorders>
              <w:top w:val="single" w:sz="4" w:space="0" w:color="auto"/>
              <w:left w:val="single" w:sz="4" w:space="0" w:color="auto"/>
              <w:bottom w:val="single" w:sz="4" w:space="0" w:color="auto"/>
              <w:right w:val="single" w:sz="4" w:space="0" w:color="auto"/>
            </w:tcBorders>
          </w:tcPr>
          <w:p w:rsidR="004900F4" w:rsidRPr="007A4B9D" w:rsidRDefault="004900F4" w:rsidP="004900F4">
            <w:pPr>
              <w:widowControl w:val="0"/>
              <w:jc w:val="left"/>
              <w:rPr>
                <w:sz w:val="20"/>
                <w:szCs w:val="20"/>
              </w:rPr>
            </w:pPr>
            <w:r w:rsidRPr="007A4B9D">
              <w:rPr>
                <w:sz w:val="20"/>
                <w:szCs w:val="20"/>
              </w:rPr>
              <w:t>Conversion of compressor manufacturing enterprise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7A4B9D" w:rsidRDefault="004900F4" w:rsidP="004900F4">
            <w:pPr>
              <w:widowControl w:val="0"/>
              <w:jc w:val="left"/>
              <w:rPr>
                <w:sz w:val="20"/>
                <w:szCs w:val="20"/>
                <w:lang w:eastAsia="en-CA"/>
              </w:rPr>
            </w:pPr>
            <w:r w:rsidRPr="007A4B9D">
              <w:rPr>
                <w:sz w:val="20"/>
                <w:szCs w:val="20"/>
                <w:lang w:eastAsia="en-CA"/>
              </w:rPr>
              <w:t>UNIDO/ UNEP</w:t>
            </w:r>
          </w:p>
        </w:tc>
        <w:tc>
          <w:tcPr>
            <w:tcW w:w="1080" w:type="dxa"/>
            <w:tcBorders>
              <w:top w:val="single" w:sz="4" w:space="0" w:color="auto"/>
              <w:left w:val="single" w:sz="4" w:space="0" w:color="auto"/>
              <w:bottom w:val="single" w:sz="4" w:space="0" w:color="auto"/>
              <w:right w:val="single" w:sz="4" w:space="0" w:color="auto"/>
            </w:tcBorders>
          </w:tcPr>
          <w:p w:rsidR="004900F4" w:rsidRPr="007A4B9D" w:rsidRDefault="004900F4" w:rsidP="004900F4">
            <w:pPr>
              <w:jc w:val="center"/>
              <w:rPr>
                <w:sz w:val="20"/>
                <w:szCs w:val="20"/>
              </w:rPr>
            </w:pPr>
            <w:r w:rsidRPr="007A4B9D">
              <w:rPr>
                <w:sz w:val="20"/>
                <w:szCs w:val="20"/>
              </w:rPr>
              <w:t>87/25</w:t>
            </w:r>
          </w:p>
        </w:tc>
        <w:tc>
          <w:tcPr>
            <w:tcW w:w="2970" w:type="dxa"/>
            <w:tcBorders>
              <w:top w:val="single" w:sz="4" w:space="0" w:color="auto"/>
              <w:left w:val="nil"/>
              <w:bottom w:val="single" w:sz="4" w:space="0" w:color="auto"/>
              <w:right w:val="single" w:sz="4" w:space="0" w:color="auto"/>
            </w:tcBorders>
          </w:tcPr>
          <w:p w:rsidR="004900F4" w:rsidRPr="007A4B9D" w:rsidRDefault="004900F4" w:rsidP="004900F4">
            <w:pPr>
              <w:widowControl w:val="0"/>
              <w:jc w:val="left"/>
              <w:rPr>
                <w:sz w:val="20"/>
                <w:szCs w:val="20"/>
              </w:rPr>
            </w:pPr>
            <w:r w:rsidRPr="007A4B9D">
              <w:rPr>
                <w:sz w:val="20"/>
                <w:szCs w:val="20"/>
              </w:rPr>
              <w:t>Conversion of component manufacturing</w:t>
            </w:r>
          </w:p>
        </w:tc>
      </w:tr>
      <w:tr w:rsidR="004900F4" w:rsidRPr="00F95A58" w:rsidTr="004900F4">
        <w:tc>
          <w:tcPr>
            <w:tcW w:w="9360" w:type="dxa"/>
            <w:gridSpan w:val="5"/>
            <w:shd w:val="clear" w:color="auto" w:fill="auto"/>
          </w:tcPr>
          <w:p w:rsidR="004900F4" w:rsidRPr="007A4B9D" w:rsidRDefault="004900F4" w:rsidP="004900F4">
            <w:pPr>
              <w:keepNext/>
              <w:jc w:val="left"/>
              <w:rPr>
                <w:sz w:val="20"/>
                <w:szCs w:val="20"/>
              </w:rPr>
            </w:pPr>
            <w:r w:rsidRPr="007A4B9D">
              <w:rPr>
                <w:b/>
                <w:sz w:val="20"/>
                <w:szCs w:val="20"/>
              </w:rPr>
              <w:lastRenderedPageBreak/>
              <w:t xml:space="preserve">HFC-23 by product emissions </w:t>
            </w:r>
          </w:p>
        </w:tc>
      </w:tr>
      <w:tr w:rsidR="004900F4" w:rsidRPr="00F95A58"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Argentina</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HFC-23 by-product emission control</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rPr>
            </w:pPr>
            <w:r w:rsidRPr="003906F5">
              <w:rPr>
                <w:sz w:val="20"/>
                <w:szCs w:val="20"/>
              </w:rPr>
              <w:t>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87/53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900F4" w:rsidRPr="003906F5" w:rsidRDefault="004900F4" w:rsidP="004900F4">
            <w:pPr>
              <w:widowControl w:val="0"/>
              <w:jc w:val="left"/>
              <w:rPr>
                <w:sz w:val="20"/>
                <w:szCs w:val="20"/>
              </w:rPr>
            </w:pPr>
            <w:r w:rsidRPr="003906F5">
              <w:rPr>
                <w:sz w:val="20"/>
                <w:szCs w:val="20"/>
              </w:rPr>
              <w:t>One policy issue may affect agreed cost</w:t>
            </w:r>
          </w:p>
        </w:tc>
      </w:tr>
      <w:tr w:rsidR="004900F4" w:rsidRPr="005672AD" w:rsidTr="004900F4">
        <w:tc>
          <w:tcPr>
            <w:tcW w:w="19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Mexico</w:t>
            </w:r>
          </w:p>
        </w:tc>
        <w:tc>
          <w:tcPr>
            <w:tcW w:w="243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widowControl w:val="0"/>
              <w:jc w:val="left"/>
              <w:rPr>
                <w:sz w:val="20"/>
                <w:szCs w:val="20"/>
              </w:rPr>
            </w:pPr>
            <w:r w:rsidRPr="003906F5">
              <w:rPr>
                <w:sz w:val="20"/>
                <w:szCs w:val="20"/>
              </w:rPr>
              <w:t>HFC-23 by-product emission control</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4900F4" w:rsidRPr="003906F5" w:rsidRDefault="004900F4" w:rsidP="004900F4">
            <w:pPr>
              <w:widowControl w:val="0"/>
              <w:jc w:val="left"/>
              <w:rPr>
                <w:sz w:val="20"/>
                <w:szCs w:val="20"/>
              </w:rPr>
            </w:pPr>
            <w:r w:rsidRPr="003906F5">
              <w:rPr>
                <w:sz w:val="20"/>
                <w:szCs w:val="20"/>
              </w:rPr>
              <w:t>UNIDO</w:t>
            </w:r>
          </w:p>
        </w:tc>
        <w:tc>
          <w:tcPr>
            <w:tcW w:w="1080" w:type="dxa"/>
            <w:tcBorders>
              <w:top w:val="single" w:sz="4" w:space="0" w:color="auto"/>
              <w:left w:val="single" w:sz="4" w:space="0" w:color="auto"/>
              <w:bottom w:val="single" w:sz="4" w:space="0" w:color="auto"/>
              <w:right w:val="single" w:sz="4" w:space="0" w:color="auto"/>
            </w:tcBorders>
          </w:tcPr>
          <w:p w:rsidR="004900F4" w:rsidRPr="003906F5" w:rsidRDefault="004900F4" w:rsidP="004900F4">
            <w:pPr>
              <w:jc w:val="center"/>
              <w:rPr>
                <w:sz w:val="20"/>
                <w:szCs w:val="20"/>
              </w:rPr>
            </w:pPr>
            <w:r>
              <w:rPr>
                <w:sz w:val="20"/>
                <w:szCs w:val="20"/>
              </w:rPr>
              <w:t>87/54</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4900F4" w:rsidRPr="003906F5" w:rsidRDefault="004900F4" w:rsidP="004900F4">
            <w:pPr>
              <w:widowControl w:val="0"/>
              <w:jc w:val="left"/>
              <w:rPr>
                <w:sz w:val="20"/>
                <w:szCs w:val="20"/>
              </w:rPr>
            </w:pPr>
            <w:r w:rsidRPr="003906F5">
              <w:rPr>
                <w:sz w:val="20"/>
                <w:szCs w:val="20"/>
              </w:rPr>
              <w:t>Draft Agreement</w:t>
            </w:r>
          </w:p>
        </w:tc>
      </w:tr>
    </w:tbl>
    <w:p w:rsidR="004900F4" w:rsidRPr="00B04161" w:rsidRDefault="004900F4" w:rsidP="004E7F9C">
      <w:r>
        <w:br w:type="textWrapping" w:clear="all"/>
      </w:r>
    </w:p>
    <w:p w:rsidR="004900F4" w:rsidRDefault="004900F4" w:rsidP="000D647D"/>
    <w:p w:rsidR="004900F4" w:rsidRDefault="004900F4" w:rsidP="000D647D"/>
    <w:p w:rsidR="00E85409" w:rsidRPr="009B0D30" w:rsidRDefault="00E85409" w:rsidP="004E7F9C"/>
    <w:p w:rsidR="00E85409" w:rsidRPr="009B0D30" w:rsidRDefault="00E85409" w:rsidP="004E7F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B0D30" w:rsidTr="00FB077C">
        <w:tc>
          <w:tcPr>
            <w:tcW w:w="1915" w:type="dxa"/>
          </w:tcPr>
          <w:p w:rsidR="00E85409" w:rsidRPr="009B0D30" w:rsidRDefault="00E85409" w:rsidP="00FB077C"/>
        </w:tc>
        <w:tc>
          <w:tcPr>
            <w:tcW w:w="1915" w:type="dxa"/>
          </w:tcPr>
          <w:p w:rsidR="00E85409" w:rsidRPr="009B0D30" w:rsidRDefault="00E85409" w:rsidP="00FB077C"/>
        </w:tc>
        <w:tc>
          <w:tcPr>
            <w:tcW w:w="1915" w:type="dxa"/>
            <w:tcBorders>
              <w:bottom w:val="single" w:sz="4" w:space="0" w:color="auto"/>
            </w:tcBorders>
          </w:tcPr>
          <w:p w:rsidR="00E85409" w:rsidRPr="009B0D30" w:rsidRDefault="00E85409" w:rsidP="00FB077C"/>
        </w:tc>
        <w:tc>
          <w:tcPr>
            <w:tcW w:w="1915" w:type="dxa"/>
          </w:tcPr>
          <w:p w:rsidR="00E85409" w:rsidRPr="009B0D30" w:rsidRDefault="00E85409" w:rsidP="00FB077C"/>
        </w:tc>
        <w:tc>
          <w:tcPr>
            <w:tcW w:w="1916" w:type="dxa"/>
          </w:tcPr>
          <w:p w:rsidR="00E85409" w:rsidRPr="009B0D30" w:rsidRDefault="00E85409" w:rsidP="00FB077C"/>
        </w:tc>
      </w:tr>
    </w:tbl>
    <w:p w:rsidR="00E85409" w:rsidRPr="009B0D30" w:rsidRDefault="00E85409" w:rsidP="004E7F9C"/>
    <w:sectPr w:rsidR="00E85409"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34" w:rsidRDefault="00375034" w:rsidP="004A504B">
      <w:r>
        <w:separator/>
      </w:r>
    </w:p>
  </w:endnote>
  <w:endnote w:type="continuationSeparator" w:id="0">
    <w:p w:rsidR="00375034" w:rsidRDefault="0037503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527674">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527674">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34" w:rsidRDefault="00375034" w:rsidP="004A504B">
      <w:r>
        <w:separator/>
      </w:r>
    </w:p>
  </w:footnote>
  <w:footnote w:type="continuationSeparator" w:id="0">
    <w:p w:rsidR="00375034" w:rsidRDefault="00375034" w:rsidP="004A504B">
      <w:r>
        <w:continuationSeparator/>
      </w:r>
    </w:p>
  </w:footnote>
  <w:footnote w:id="1">
    <w:p w:rsidR="004900F4" w:rsidRPr="00303B98" w:rsidRDefault="004900F4">
      <w:pPr>
        <w:pStyle w:val="FootnoteText"/>
        <w:rPr>
          <w:lang w:val="en-US"/>
        </w:rPr>
      </w:pPr>
      <w:r>
        <w:rPr>
          <w:rStyle w:val="FootnoteReference"/>
        </w:rPr>
        <w:footnoteRef/>
      </w:r>
      <w:r>
        <w:t xml:space="preserve"> </w:t>
      </w:r>
      <w:r w:rsidRPr="00660453">
        <w:t>Online meetings and an intersessional approval process will be held in June and July 2021 due to coronavirus disease</w:t>
      </w:r>
      <w:r w:rsidRPr="00692D14">
        <w:t xml:space="preserve"> (COVID-19)</w:t>
      </w:r>
    </w:p>
  </w:footnote>
  <w:footnote w:id="2">
    <w:p w:rsidR="004900F4" w:rsidRPr="00915068" w:rsidRDefault="004900F4" w:rsidP="006860E4">
      <w:pPr>
        <w:pStyle w:val="FootnoteText"/>
      </w:pPr>
      <w:r>
        <w:rPr>
          <w:rStyle w:val="FootnoteReference"/>
        </w:rPr>
        <w:footnoteRef/>
      </w:r>
      <w:r>
        <w:t xml:space="preserve"> Decision 79/4(c)</w:t>
      </w:r>
    </w:p>
  </w:footnote>
  <w:footnote w:id="3">
    <w:p w:rsidR="004900F4" w:rsidRPr="006075EB" w:rsidRDefault="004900F4">
      <w:pPr>
        <w:pStyle w:val="FootnoteText"/>
        <w:rPr>
          <w:lang w:val="en-US"/>
        </w:rPr>
      </w:pPr>
      <w:r>
        <w:rPr>
          <w:rStyle w:val="FootnoteReference"/>
        </w:rPr>
        <w:footnoteRef/>
      </w:r>
      <w:r>
        <w:t xml:space="preserve"> </w:t>
      </w:r>
      <w:r>
        <w:rPr>
          <w:lang w:val="en-US"/>
        </w:rPr>
        <w:t>UNEP/OzL.Pro/ExCom/85/13</w:t>
      </w:r>
    </w:p>
  </w:footnote>
  <w:footnote w:id="4">
    <w:p w:rsidR="004900F4" w:rsidRPr="00626275" w:rsidRDefault="004900F4" w:rsidP="00DF06D4">
      <w:pPr>
        <w:pStyle w:val="FootnoteText"/>
        <w:rPr>
          <w:lang w:val="en-US"/>
        </w:rPr>
      </w:pPr>
      <w:r>
        <w:rPr>
          <w:rStyle w:val="FootnoteReference"/>
        </w:rPr>
        <w:footnoteRef/>
      </w:r>
      <w:r>
        <w:t xml:space="preserve"> </w:t>
      </w:r>
      <w:r w:rsidRPr="00626275">
        <w:t>UNEP/OzL.Pro/ExCom/85/15</w:t>
      </w:r>
      <w:r>
        <w:t xml:space="preserve">, </w:t>
      </w:r>
      <w:r w:rsidRPr="00626275">
        <w:t>UNEP/OzL.Pro/ExCom/85/16</w:t>
      </w:r>
      <w:r>
        <w:t xml:space="preserve">, and </w:t>
      </w:r>
      <w:r w:rsidRPr="00626275">
        <w:t>UNEP/OzL.Pro/ExCom/85/17</w:t>
      </w:r>
      <w:r>
        <w:t>, respectively.</w:t>
      </w:r>
    </w:p>
  </w:footnote>
  <w:footnote w:id="5">
    <w:p w:rsidR="004900F4" w:rsidRPr="00626275" w:rsidRDefault="004900F4" w:rsidP="006860E4">
      <w:pPr>
        <w:pStyle w:val="FootnoteText"/>
        <w:jc w:val="left"/>
        <w:rPr>
          <w:lang w:val="en-US"/>
        </w:rPr>
      </w:pPr>
      <w:r>
        <w:rPr>
          <w:rStyle w:val="FootnoteReference"/>
        </w:rPr>
        <w:footnoteRef/>
      </w:r>
      <w:r>
        <w:t xml:space="preserve"> </w:t>
      </w:r>
      <w:r w:rsidRPr="00C85B49">
        <w:t>UNEP/OzL.Pro/ExCom/86/32</w:t>
      </w:r>
      <w:r>
        <w:t>,</w:t>
      </w:r>
      <w:r w:rsidRPr="00C85B49">
        <w:t xml:space="preserve"> UNEP/OzL.Pro/ExCom/86/33</w:t>
      </w:r>
      <w:r>
        <w:t xml:space="preserve">, UNEP/OzL.Pro/ExCom/86/34, </w:t>
      </w:r>
      <w:r w:rsidRPr="00C85B49">
        <w:t>UNEP/OzL.Pro/ExCom/86/35</w:t>
      </w:r>
      <w:r>
        <w:t xml:space="preserve">, and </w:t>
      </w:r>
      <w:r w:rsidRPr="00C85B49">
        <w:t>UNEP/OzL.Pro/ExCom/86/99</w:t>
      </w:r>
      <w:r>
        <w:t xml:space="preserve">, respectively. </w:t>
      </w:r>
    </w:p>
  </w:footnote>
  <w:footnote w:id="6">
    <w:p w:rsidR="004900F4" w:rsidRPr="00626275" w:rsidRDefault="004900F4" w:rsidP="00DF06D4">
      <w:pPr>
        <w:pStyle w:val="FootnoteText"/>
        <w:rPr>
          <w:lang w:val="en-US"/>
        </w:rPr>
      </w:pPr>
      <w:r>
        <w:rPr>
          <w:rStyle w:val="FootnoteReference"/>
        </w:rPr>
        <w:footnoteRef/>
      </w:r>
      <w:r>
        <w:t xml:space="preserve"> </w:t>
      </w:r>
      <w:r w:rsidRPr="000F6805">
        <w:rPr>
          <w:color w:val="000000" w:themeColor="text1"/>
        </w:rPr>
        <w:t>UNEP/OzL.Pro/ExCom/86/88</w:t>
      </w:r>
    </w:p>
  </w:footnote>
  <w:footnote w:id="7">
    <w:p w:rsidR="004900F4" w:rsidRPr="00B06B20" w:rsidRDefault="004900F4" w:rsidP="00DF06D4">
      <w:pPr>
        <w:pStyle w:val="FootnoteText"/>
      </w:pPr>
      <w:r>
        <w:rPr>
          <w:rStyle w:val="FootnoteReference"/>
        </w:rPr>
        <w:footnoteRef/>
      </w:r>
      <w:r>
        <w:t xml:space="preserve"> Including Nigeria,</w:t>
      </w:r>
      <w:r w:rsidRPr="0001595E">
        <w:t xml:space="preserve"> </w:t>
      </w:r>
      <w:r>
        <w:t>resubmitted to 87</w:t>
      </w:r>
      <w:r w:rsidRPr="00893B2A">
        <w:rPr>
          <w:vertAlign w:val="superscript"/>
        </w:rPr>
        <w:t>th</w:t>
      </w:r>
      <w:r>
        <w:t xml:space="preserve"> meeting to include UNIDO as well as UNEP as cooperating agencies.</w:t>
      </w:r>
    </w:p>
  </w:footnote>
  <w:footnote w:id="8">
    <w:p w:rsidR="004900F4" w:rsidRPr="002B08B0" w:rsidRDefault="004900F4" w:rsidP="006860E4">
      <w:pPr>
        <w:pStyle w:val="FootnoteText"/>
        <w:jc w:val="left"/>
        <w:rPr>
          <w:lang w:val="en-US"/>
        </w:rPr>
      </w:pPr>
      <w:r>
        <w:rPr>
          <w:rStyle w:val="FootnoteReference"/>
        </w:rPr>
        <w:footnoteRef/>
      </w:r>
      <w:r>
        <w:t xml:space="preserve"> </w:t>
      </w:r>
      <w:r w:rsidRPr="00646540">
        <w:t>UNEP/OzL.Pro/ExCom/8</w:t>
      </w:r>
      <w:r>
        <w:t>7</w:t>
      </w:r>
      <w:r w:rsidRPr="00646540">
        <w:t>/</w:t>
      </w:r>
      <w:r>
        <w:t xml:space="preserve">14, </w:t>
      </w:r>
      <w:r w:rsidRPr="00646540">
        <w:t>UNEP/OzL.Pro/ExCom/8</w:t>
      </w:r>
      <w:r>
        <w:t>7</w:t>
      </w:r>
      <w:r w:rsidRPr="00646540">
        <w:t>/</w:t>
      </w:r>
      <w:r>
        <w:t xml:space="preserve">15, </w:t>
      </w:r>
      <w:r w:rsidRPr="00646540">
        <w:t>UNEP/OzL.Pro/ExCom/8</w:t>
      </w:r>
      <w:r>
        <w:t>7</w:t>
      </w:r>
      <w:r w:rsidRPr="00646540">
        <w:t>/</w:t>
      </w:r>
      <w:r>
        <w:t xml:space="preserve">16, and </w:t>
      </w:r>
      <w:r w:rsidRPr="00646540">
        <w:t>UNEP/OzL.Pro/ExCom/8</w:t>
      </w:r>
      <w:r>
        <w:t>7</w:t>
      </w:r>
      <w:r w:rsidRPr="00646540">
        <w:t>/</w:t>
      </w:r>
      <w:r>
        <w:t>17, respectively.</w:t>
      </w:r>
    </w:p>
  </w:footnote>
  <w:footnote w:id="9">
    <w:p w:rsidR="004900F4" w:rsidRPr="00A53F5C" w:rsidRDefault="004900F4" w:rsidP="00DF06D4">
      <w:pPr>
        <w:pStyle w:val="FootnoteText"/>
      </w:pPr>
      <w:r w:rsidRPr="00A53F5C">
        <w:rPr>
          <w:rStyle w:val="FootnoteReference"/>
        </w:rPr>
        <w:footnoteRef/>
      </w:r>
      <w:r w:rsidRPr="00A53F5C">
        <w:t xml:space="preserve"> Resubmitted to 87</w:t>
      </w:r>
      <w:r w:rsidRPr="00A53F5C">
        <w:rPr>
          <w:vertAlign w:val="superscript"/>
        </w:rPr>
        <w:t>th</w:t>
      </w:r>
      <w:r w:rsidRPr="00A53F5C">
        <w:t xml:space="preserve"> meeting to include UNIDO as well as UNEP as cooperating agencies.</w:t>
      </w:r>
    </w:p>
  </w:footnote>
  <w:footnote w:id="10">
    <w:p w:rsidR="004900F4" w:rsidRPr="00A53F5C" w:rsidRDefault="004900F4" w:rsidP="00DF06D4">
      <w:pPr>
        <w:pStyle w:val="FootnoteText"/>
        <w:rPr>
          <w:lang w:val="en-US"/>
        </w:rPr>
      </w:pPr>
      <w:r w:rsidRPr="00A53F5C">
        <w:rPr>
          <w:rStyle w:val="FootnoteReference"/>
        </w:rPr>
        <w:footnoteRef/>
      </w:r>
      <w:r w:rsidRPr="00A53F5C">
        <w:t xml:space="preserve"> </w:t>
      </w:r>
      <w:r w:rsidRPr="00A53F5C">
        <w:rPr>
          <w:color w:val="000000" w:themeColor="text1"/>
        </w:rPr>
        <w:t>UNEP/OzL.Pro/ExCom/86/88</w:t>
      </w:r>
    </w:p>
  </w:footnote>
  <w:footnote w:id="11">
    <w:p w:rsidR="004900F4" w:rsidRPr="0023755E" w:rsidRDefault="004900F4">
      <w:pPr>
        <w:pStyle w:val="FootnoteText"/>
        <w:rPr>
          <w:lang w:val="en-US"/>
        </w:rPr>
      </w:pPr>
      <w:r w:rsidRPr="00A53F5C">
        <w:rPr>
          <w:rStyle w:val="FootnoteReference"/>
        </w:rPr>
        <w:footnoteRef/>
      </w:r>
      <w:r w:rsidRPr="00A53F5C">
        <w:t xml:space="preserve"> </w:t>
      </w:r>
      <w:r w:rsidRPr="00A53F5C">
        <w:rPr>
          <w:lang w:val="en-US"/>
        </w:rPr>
        <w:t>UNEP/</w:t>
      </w:r>
      <w:proofErr w:type="spellStart"/>
      <w:r w:rsidRPr="00A53F5C">
        <w:rPr>
          <w:lang w:val="en-US"/>
        </w:rPr>
        <w:t>OzL.Pro</w:t>
      </w:r>
      <w:proofErr w:type="spellEnd"/>
      <w:r w:rsidRPr="00A53F5C">
        <w:rPr>
          <w:lang w:val="en-US"/>
        </w:rPr>
        <w:t>/</w:t>
      </w:r>
      <w:proofErr w:type="spellStart"/>
      <w:r w:rsidRPr="00A53F5C">
        <w:rPr>
          <w:lang w:val="en-US"/>
        </w:rPr>
        <w:t>ExCom</w:t>
      </w:r>
      <w:proofErr w:type="spellEnd"/>
      <w:r w:rsidRPr="00A53F5C">
        <w:rPr>
          <w:lang w:val="en-US"/>
        </w:rPr>
        <w:t>//87/46</w:t>
      </w:r>
    </w:p>
  </w:footnote>
  <w:footnote w:id="12">
    <w:p w:rsidR="004900F4" w:rsidRPr="003A4439" w:rsidRDefault="004900F4" w:rsidP="006860E4">
      <w:pPr>
        <w:pStyle w:val="FootnoteText"/>
      </w:pPr>
      <w:r>
        <w:rPr>
          <w:rStyle w:val="FootnoteReference"/>
        </w:rPr>
        <w:footnoteRef/>
      </w:r>
      <w:r>
        <w:t xml:space="preserve"> T</w:t>
      </w:r>
      <w:r w:rsidRPr="003A4439">
        <w:t>he Secretariat was requested to provide</w:t>
      </w:r>
      <w:r>
        <w:t>,</w:t>
      </w:r>
      <w:r w:rsidRPr="003A4439">
        <w:t xml:space="preserve"> at the first meeting of each year, a list representing 20</w:t>
      </w:r>
      <w:r>
        <w:t> </w:t>
      </w:r>
      <w:r w:rsidRPr="003A4439">
        <w:t>per</w:t>
      </w:r>
      <w:r>
        <w:t> </w:t>
      </w:r>
      <w:r w:rsidRPr="003A4439">
        <w:t>cent of countries with an HCFC consumption baseline of up to 360</w:t>
      </w:r>
      <w:r>
        <w:t> </w:t>
      </w:r>
      <w:r w:rsidRPr="003A4439">
        <w:t>metric</w:t>
      </w:r>
      <w:r>
        <w:t> </w:t>
      </w:r>
      <w:r w:rsidRPr="003A4439">
        <w:t>tonnes (</w:t>
      </w:r>
      <w:proofErr w:type="spellStart"/>
      <w:r w:rsidRPr="003A4439">
        <w:t>mt</w:t>
      </w:r>
      <w:proofErr w:type="spellEnd"/>
      <w:r w:rsidRPr="003A4439">
        <w:t>)</w:t>
      </w:r>
      <w:r>
        <w:t>,</w:t>
      </w:r>
      <w:r w:rsidRPr="003A4439">
        <w:t xml:space="preserve"> and </w:t>
      </w:r>
      <w:r>
        <w:t>with</w:t>
      </w:r>
      <w:r w:rsidRPr="003A4439">
        <w:t xml:space="preserve"> an approved HPMP, to approve funding for them for the purposes of verification of that country’s compliance with the HPMP agreement for that year.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FA5722">
    <w:r>
      <w:fldChar w:fldCharType="begin"/>
    </w:r>
    <w:r>
      <w:instrText xml:space="preserve"> DOCPROPERTY "Document number"  \* MERGEFORMAT </w:instrText>
    </w:r>
    <w:r>
      <w:fldChar w:fldCharType="separate"/>
    </w:r>
    <w:r w:rsidR="004900F4">
      <w:t>UNEP/</w:t>
    </w:r>
    <w:proofErr w:type="spellStart"/>
    <w:r w:rsidR="004900F4">
      <w:t>OzL.Pro</w:t>
    </w:r>
    <w:proofErr w:type="spellEnd"/>
    <w:r w:rsidR="004900F4">
      <w:t>/</w:t>
    </w:r>
    <w:proofErr w:type="spellStart"/>
    <w:r w:rsidR="004900F4">
      <w:t>ExCom</w:t>
    </w:r>
    <w:proofErr w:type="spellEnd"/>
    <w:r w:rsidR="004900F4">
      <w:t>/87/13</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FA5722">
    <w:pPr>
      <w:jc w:val="right"/>
    </w:pPr>
    <w:r>
      <w:fldChar w:fldCharType="begin"/>
    </w:r>
    <w:r>
      <w:instrText xml:space="preserve"> DOCPROPERTY "Document number"  \* MERGEFORMAT </w:instrText>
    </w:r>
    <w:r>
      <w:fldChar w:fldCharType="separate"/>
    </w:r>
    <w:r w:rsidR="004900F4">
      <w:t>UNEP/</w:t>
    </w:r>
    <w:proofErr w:type="spellStart"/>
    <w:r w:rsidR="004900F4">
      <w:t>OzL.Pro</w:t>
    </w:r>
    <w:proofErr w:type="spellEnd"/>
    <w:r w:rsidR="004900F4">
      <w:t>/</w:t>
    </w:r>
    <w:proofErr w:type="spellStart"/>
    <w:r w:rsidR="004900F4">
      <w:t>ExCom</w:t>
    </w:r>
    <w:proofErr w:type="spellEnd"/>
    <w:r w:rsidR="004900F4">
      <w:t>/87/13</w:t>
    </w:r>
    <w:r>
      <w:fldChar w:fldCharType="end"/>
    </w:r>
  </w:p>
  <w:p w:rsidR="00DC6A10" w:rsidRPr="0033525D" w:rsidRDefault="00DC6A10" w:rsidP="004900F4">
    <w:pPr>
      <w:jc w:val="right"/>
    </w:pPr>
  </w:p>
  <w:p w:rsidR="00DC6A10" w:rsidRPr="0033525D" w:rsidRDefault="00DC6A10" w:rsidP="004900F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772BECC"/>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375034"/>
    <w:rsid w:val="00000FED"/>
    <w:rsid w:val="0000434E"/>
    <w:rsid w:val="000211A9"/>
    <w:rsid w:val="00031260"/>
    <w:rsid w:val="0003681A"/>
    <w:rsid w:val="000372B7"/>
    <w:rsid w:val="00050F6E"/>
    <w:rsid w:val="00061EC2"/>
    <w:rsid w:val="00066CE8"/>
    <w:rsid w:val="00080ED0"/>
    <w:rsid w:val="00085B8F"/>
    <w:rsid w:val="00090481"/>
    <w:rsid w:val="000A3826"/>
    <w:rsid w:val="000A6C26"/>
    <w:rsid w:val="000D52A4"/>
    <w:rsid w:val="000E07BC"/>
    <w:rsid w:val="000F1CD4"/>
    <w:rsid w:val="000F4103"/>
    <w:rsid w:val="000F70A7"/>
    <w:rsid w:val="00113CCA"/>
    <w:rsid w:val="00122F25"/>
    <w:rsid w:val="00135980"/>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61E5"/>
    <w:rsid w:val="001F2159"/>
    <w:rsid w:val="00210B8B"/>
    <w:rsid w:val="00214863"/>
    <w:rsid w:val="002156B4"/>
    <w:rsid w:val="00224FCD"/>
    <w:rsid w:val="00253222"/>
    <w:rsid w:val="00262847"/>
    <w:rsid w:val="00281BB2"/>
    <w:rsid w:val="002B254E"/>
    <w:rsid w:val="002B72E9"/>
    <w:rsid w:val="002C7998"/>
    <w:rsid w:val="002F1E53"/>
    <w:rsid w:val="002F2CAA"/>
    <w:rsid w:val="0030052C"/>
    <w:rsid w:val="003306E1"/>
    <w:rsid w:val="003320E4"/>
    <w:rsid w:val="0033525D"/>
    <w:rsid w:val="003414F3"/>
    <w:rsid w:val="0035613E"/>
    <w:rsid w:val="00363EE9"/>
    <w:rsid w:val="00375034"/>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7906"/>
    <w:rsid w:val="003F3C50"/>
    <w:rsid w:val="00406A6A"/>
    <w:rsid w:val="00406B22"/>
    <w:rsid w:val="004328A7"/>
    <w:rsid w:val="00434C74"/>
    <w:rsid w:val="00456EB4"/>
    <w:rsid w:val="004718F3"/>
    <w:rsid w:val="00475040"/>
    <w:rsid w:val="004900F4"/>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220ED"/>
    <w:rsid w:val="00527674"/>
    <w:rsid w:val="00533796"/>
    <w:rsid w:val="00537343"/>
    <w:rsid w:val="00555D75"/>
    <w:rsid w:val="00560DF0"/>
    <w:rsid w:val="0056759C"/>
    <w:rsid w:val="0059513E"/>
    <w:rsid w:val="005A6AA4"/>
    <w:rsid w:val="005A6D9F"/>
    <w:rsid w:val="005B48FF"/>
    <w:rsid w:val="005D363F"/>
    <w:rsid w:val="00604C15"/>
    <w:rsid w:val="006158D5"/>
    <w:rsid w:val="00625D83"/>
    <w:rsid w:val="006623E7"/>
    <w:rsid w:val="00662B80"/>
    <w:rsid w:val="00670F6C"/>
    <w:rsid w:val="006852C7"/>
    <w:rsid w:val="006852CE"/>
    <w:rsid w:val="00692D14"/>
    <w:rsid w:val="006B65C7"/>
    <w:rsid w:val="006C1727"/>
    <w:rsid w:val="006C32FD"/>
    <w:rsid w:val="006C39CE"/>
    <w:rsid w:val="006D0FCC"/>
    <w:rsid w:val="006D21F5"/>
    <w:rsid w:val="006E126D"/>
    <w:rsid w:val="006E1FC3"/>
    <w:rsid w:val="00704CE9"/>
    <w:rsid w:val="0070616B"/>
    <w:rsid w:val="00706295"/>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7BA9"/>
    <w:rsid w:val="008F0F81"/>
    <w:rsid w:val="008F27BF"/>
    <w:rsid w:val="009142EC"/>
    <w:rsid w:val="009154C3"/>
    <w:rsid w:val="00923540"/>
    <w:rsid w:val="00926767"/>
    <w:rsid w:val="009361D5"/>
    <w:rsid w:val="009428A4"/>
    <w:rsid w:val="009659F4"/>
    <w:rsid w:val="00970D60"/>
    <w:rsid w:val="0099390E"/>
    <w:rsid w:val="009960E5"/>
    <w:rsid w:val="009A7ADC"/>
    <w:rsid w:val="009B0D30"/>
    <w:rsid w:val="009C19B7"/>
    <w:rsid w:val="009C5ABB"/>
    <w:rsid w:val="009D7C51"/>
    <w:rsid w:val="009E196C"/>
    <w:rsid w:val="009F36BF"/>
    <w:rsid w:val="00A111B6"/>
    <w:rsid w:val="00A14301"/>
    <w:rsid w:val="00A26D27"/>
    <w:rsid w:val="00A376EE"/>
    <w:rsid w:val="00A42A99"/>
    <w:rsid w:val="00A5151A"/>
    <w:rsid w:val="00A57E0A"/>
    <w:rsid w:val="00A823F6"/>
    <w:rsid w:val="00A8719E"/>
    <w:rsid w:val="00AA0A89"/>
    <w:rsid w:val="00AA6429"/>
    <w:rsid w:val="00AC01AA"/>
    <w:rsid w:val="00AC4F72"/>
    <w:rsid w:val="00AF741A"/>
    <w:rsid w:val="00B01ADB"/>
    <w:rsid w:val="00B04161"/>
    <w:rsid w:val="00B056F9"/>
    <w:rsid w:val="00B11E3D"/>
    <w:rsid w:val="00B17E82"/>
    <w:rsid w:val="00B4575A"/>
    <w:rsid w:val="00B575BA"/>
    <w:rsid w:val="00B71608"/>
    <w:rsid w:val="00B76429"/>
    <w:rsid w:val="00B956D4"/>
    <w:rsid w:val="00B97446"/>
    <w:rsid w:val="00BA7432"/>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15C77"/>
    <w:rsid w:val="00E250F1"/>
    <w:rsid w:val="00E3550D"/>
    <w:rsid w:val="00E52838"/>
    <w:rsid w:val="00E614E0"/>
    <w:rsid w:val="00E73F7F"/>
    <w:rsid w:val="00E85409"/>
    <w:rsid w:val="00EA429F"/>
    <w:rsid w:val="00EA4F9E"/>
    <w:rsid w:val="00EA63CA"/>
    <w:rsid w:val="00EA6D3B"/>
    <w:rsid w:val="00EB00AD"/>
    <w:rsid w:val="00EB136C"/>
    <w:rsid w:val="00EB480E"/>
    <w:rsid w:val="00EB5EC6"/>
    <w:rsid w:val="00EB7FC9"/>
    <w:rsid w:val="00ED27E8"/>
    <w:rsid w:val="00ED7137"/>
    <w:rsid w:val="00EF06EA"/>
    <w:rsid w:val="00F21088"/>
    <w:rsid w:val="00F327E7"/>
    <w:rsid w:val="00F35746"/>
    <w:rsid w:val="00F447C7"/>
    <w:rsid w:val="00F459B4"/>
    <w:rsid w:val="00F5211B"/>
    <w:rsid w:val="00F554A9"/>
    <w:rsid w:val="00F716FD"/>
    <w:rsid w:val="00F80355"/>
    <w:rsid w:val="00F87C43"/>
    <w:rsid w:val="00FA5722"/>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E471"/>
  <w15:docId w15:val="{86FFDF5B-6E66-4940-80D6-AF50ABD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FOOTNOTES,fn,single space,Footnote,Footnote Text Char1 Char,Footnote Text Char Char Char,Footnote Text Char1 Char Char Char,Footnote Text Char Char Char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Char1 Char, Char1 Char Char Char,Fußnotentextf Char,FOOTNOTES Char,fn Char,single space Char,Footnote Char,Footnote Text Char1 Char Char,Footnote Text Char Char Char Char"/>
    <w:basedOn w:val="DefaultParagraphFont"/>
    <w:link w:val="FootnoteText"/>
    <w:uiPriority w:val="99"/>
    <w:rsid w:val="006E126D"/>
    <w:rPr>
      <w:lang w:val="en-GB"/>
    </w:rPr>
  </w:style>
  <w:style w:type="character" w:styleId="FootnoteReference">
    <w:name w:val="footnote reference"/>
    <w:aliases w:val="ftref,Footnote Text1,Footnote Text2,Footnote text"/>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900F4"/>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UNEP/OzL.Pro/ExCom/87/13</Document_x0020_Number>
    <DocumentType xmlns="64e33b30-101d-41de-b951-961aab25ea29">Pre-session</DocumentType>
  </documentManagement>
</p:properties>
</file>

<file path=customXml/itemProps1.xml><?xml version="1.0" encoding="utf-8"?>
<ds:datastoreItem xmlns:ds="http://schemas.openxmlformats.org/officeDocument/2006/customXml" ds:itemID="{C36AE72A-59F9-4BFA-9A80-DE96C70A1F3A}"/>
</file>

<file path=customXml/itemProps2.xml><?xml version="1.0" encoding="utf-8"?>
<ds:datastoreItem xmlns:ds="http://schemas.openxmlformats.org/officeDocument/2006/customXml" ds:itemID="{8F81E034-5DBE-4CEB-AB6F-9D3BD674A03C}"/>
</file>

<file path=customXml/itemProps3.xml><?xml version="1.0" encoding="utf-8"?>
<ds:datastoreItem xmlns:ds="http://schemas.openxmlformats.org/officeDocument/2006/customXml" ds:itemID="{169DCDA1-6C4B-454F-B5E7-68A8F742EC5E}"/>
</file>

<file path=customXml/itemProps4.xml><?xml version="1.0" encoding="utf-8"?>
<ds:datastoreItem xmlns:ds="http://schemas.openxmlformats.org/officeDocument/2006/customXml" ds:itemID="{59C1BFD9-A0EA-4DF1-8D8C-A44495DDBEC0}"/>
</file>

<file path=docProps/app.xml><?xml version="1.0" encoding="utf-8"?>
<Properties xmlns="http://schemas.openxmlformats.org/officeDocument/2006/extended-properties" xmlns:vt="http://schemas.openxmlformats.org/officeDocument/2006/docPropsVTypes">
  <Template>Eec87G</Template>
  <TotalTime>1</TotalTime>
  <Pages>8</Pages>
  <Words>3040</Words>
  <Characters>17152</Characters>
  <Application>Microsoft Office Word</Application>
  <DocSecurity>0</DocSecurity>
  <Lines>714</Lines>
  <Paragraphs>560</Paragraphs>
  <ScaleCrop>false</ScaleCrop>
  <HeadingPairs>
    <vt:vector size="2" baseType="variant">
      <vt:variant>
        <vt:lpstr>Title</vt:lpstr>
      </vt:variant>
      <vt:variant>
        <vt:i4>1</vt:i4>
      </vt:variant>
    </vt:vector>
  </HeadingPairs>
  <TitlesOfParts>
    <vt:vector size="1" baseType="lpstr">
      <vt:lpstr>Overview of issues identified during project review</vt:lpstr>
    </vt:vector>
  </TitlesOfParts>
  <Company>UNMFS</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issues identified during project review</dc:title>
  <dc:creator>Dominika Anna Suwik</dc:creator>
  <cp:lastModifiedBy>Dominika Anna Suwik</cp:lastModifiedBy>
  <cp:revision>2</cp:revision>
  <cp:lastPrinted>2001-05-26T16:40:00Z</cp:lastPrinted>
  <dcterms:created xsi:type="dcterms:W3CDTF">2021-06-19T00:19:00Z</dcterms:created>
  <dcterms:modified xsi:type="dcterms:W3CDTF">2021-06-19T00:19:00Z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UNEP/OzL.Pro/ExCom/87/13</vt:lpwstr>
  </property>
  <property fmtid="{D5CDD505-2E9C-101B-9397-08002B2CF9AE}" pid="3" name="Revision date">
    <vt:lpwstr>6/18/2021</vt:lpwstr>
  </property>
  <property fmtid="{D5CDD505-2E9C-101B-9397-08002B2CF9AE}" pid="4" name="ContentTypeId">
    <vt:lpwstr>0x010100656C6B23EE95AB4DB098A66C463B3437</vt:lpwstr>
  </property>
</Properties>
</file>