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AD34F3" w:rsidRPr="00D225DB" w14:paraId="557D88D7" w14:textId="77777777" w:rsidTr="00C03032">
        <w:trPr>
          <w:trHeight w:val="720"/>
        </w:trPr>
        <w:tc>
          <w:tcPr>
            <w:tcW w:w="7061" w:type="dxa"/>
            <w:gridSpan w:val="2"/>
            <w:tcBorders>
              <w:bottom w:val="single" w:sz="18" w:space="0" w:color="auto"/>
            </w:tcBorders>
          </w:tcPr>
          <w:p w14:paraId="046E8C27" w14:textId="1340F88E" w:rsidR="00AD34F3" w:rsidRPr="00D225DB" w:rsidRDefault="00AD34F3" w:rsidP="00C03032">
            <w:pPr>
              <w:tabs>
                <w:tab w:val="left" w:pos="604"/>
                <w:tab w:val="left" w:pos="1029"/>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sidRPr="00D225DB">
              <w:rPr>
                <w:rFonts w:ascii="Univers" w:hAnsi="Univers"/>
                <w:b/>
                <w:sz w:val="28"/>
                <w:szCs w:val="28"/>
              </w:rPr>
              <w:t>NATIONS</w:t>
            </w:r>
          </w:p>
          <w:p w14:paraId="2003792E" w14:textId="77777777" w:rsidR="00AD34F3" w:rsidRPr="00D225DB" w:rsidRDefault="00AD34F3" w:rsidP="00C0303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D225DB">
              <w:rPr>
                <w:rFonts w:ascii="Univers" w:hAnsi="Univers"/>
                <w:b/>
                <w:sz w:val="28"/>
                <w:szCs w:val="28"/>
              </w:rPr>
              <w:t xml:space="preserve">UNIES </w:t>
            </w:r>
          </w:p>
        </w:tc>
        <w:tc>
          <w:tcPr>
            <w:tcW w:w="3544" w:type="dxa"/>
            <w:tcBorders>
              <w:bottom w:val="single" w:sz="18" w:space="0" w:color="auto"/>
            </w:tcBorders>
          </w:tcPr>
          <w:p w14:paraId="404C985A" w14:textId="77777777" w:rsidR="00AD34F3" w:rsidRPr="00D225DB" w:rsidRDefault="00AD34F3" w:rsidP="00C03032">
            <w:pPr>
              <w:tabs>
                <w:tab w:val="left" w:pos="3010"/>
              </w:tabs>
              <w:jc w:val="center"/>
              <w:rPr>
                <w:sz w:val="52"/>
                <w:szCs w:val="52"/>
              </w:rPr>
            </w:pPr>
            <w:r w:rsidRPr="00D225DB">
              <w:rPr>
                <w:rFonts w:ascii="Univers Bold" w:hAnsi="Univers Bold"/>
                <w:b/>
                <w:sz w:val="72"/>
              </w:rPr>
              <w:t xml:space="preserve">          EP</w:t>
            </w:r>
          </w:p>
        </w:tc>
      </w:tr>
      <w:tr w:rsidR="00AD34F3" w:rsidRPr="00D225DB" w14:paraId="267910DB" w14:textId="77777777" w:rsidTr="00C03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BF77945" w14:textId="77777777" w:rsidR="00AD34F3" w:rsidRPr="00D225DB" w:rsidRDefault="00AD34F3" w:rsidP="00C03032">
            <w:pPr>
              <w:spacing w:before="120"/>
            </w:pPr>
            <w:r w:rsidRPr="00D225DB">
              <w:rPr>
                <w:noProof/>
                <w:lang w:val="en-US"/>
              </w:rPr>
              <w:drawing>
                <wp:anchor distT="0" distB="0" distL="114300" distR="114300" simplePos="0" relativeHeight="251659264" behindDoc="0" locked="0" layoutInCell="1" allowOverlap="1" wp14:anchorId="5BC3FF7C" wp14:editId="092D2286">
                  <wp:simplePos x="0" y="0"/>
                  <wp:positionH relativeFrom="column">
                    <wp:posOffset>57785</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srcRect/>
                          <a:stretch>
                            <a:fillRect/>
                          </a:stretch>
                        </pic:blipFill>
                        <pic:spPr bwMode="auto">
                          <a:xfrm>
                            <a:off x="0" y="0"/>
                            <a:ext cx="800100" cy="705485"/>
                          </a:xfrm>
                          <a:prstGeom prst="rect">
                            <a:avLst/>
                          </a:prstGeom>
                          <a:noFill/>
                        </pic:spPr>
                      </pic:pic>
                    </a:graphicData>
                  </a:graphic>
                </wp:anchor>
              </w:drawing>
            </w:r>
            <w:r w:rsidRPr="00D225DB">
              <w:rPr>
                <w:noProof/>
                <w:lang w:val="en-US"/>
              </w:rPr>
              <w:drawing>
                <wp:anchor distT="0" distB="0" distL="114300" distR="114300" simplePos="0" relativeHeight="251660288" behindDoc="1" locked="0" layoutInCell="0" allowOverlap="1" wp14:anchorId="2392266E" wp14:editId="38D902D5">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6FF42BBF" w14:textId="77777777" w:rsidR="00AD34F3" w:rsidRPr="00D225DB" w:rsidRDefault="00AD34F3" w:rsidP="00C0303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p>
          <w:p w14:paraId="053F3CDF" w14:textId="77777777" w:rsidR="00AD34F3" w:rsidRPr="00D225DB" w:rsidRDefault="00AD34F3" w:rsidP="00C0303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sidRPr="00D225DB">
              <w:rPr>
                <w:rFonts w:ascii="Univers" w:hAnsi="Univers"/>
                <w:b/>
                <w:sz w:val="32"/>
              </w:rPr>
              <w:t>Programme des</w:t>
            </w:r>
          </w:p>
          <w:p w14:paraId="660EDB80" w14:textId="77777777" w:rsidR="00AD34F3" w:rsidRPr="00D225DB" w:rsidRDefault="00AD34F3" w:rsidP="00C03032">
            <w:pPr>
              <w:rPr>
                <w:rFonts w:ascii="Univers" w:hAnsi="Univers"/>
                <w:b/>
                <w:sz w:val="32"/>
              </w:rPr>
            </w:pPr>
            <w:r w:rsidRPr="00D225DB">
              <w:rPr>
                <w:rFonts w:ascii="Univers" w:hAnsi="Univers"/>
                <w:b/>
                <w:sz w:val="32"/>
              </w:rPr>
              <w:t>Nations Unies pour</w:t>
            </w:r>
          </w:p>
          <w:p w14:paraId="6307A8F2" w14:textId="77777777" w:rsidR="00AD34F3" w:rsidRPr="00D225DB" w:rsidRDefault="00AD34F3" w:rsidP="00C03032">
            <w:pPr>
              <w:rPr>
                <w:rFonts w:ascii="Univers" w:hAnsi="Univers"/>
                <w:b/>
                <w:sz w:val="32"/>
              </w:rPr>
            </w:pPr>
            <w:r w:rsidRPr="00D225DB">
              <w:rPr>
                <w:rFonts w:ascii="Univers" w:hAnsi="Univers"/>
                <w:b/>
                <w:sz w:val="32"/>
              </w:rPr>
              <w:t>l’environnement</w:t>
            </w:r>
          </w:p>
          <w:p w14:paraId="37E937E3" w14:textId="77777777" w:rsidR="00AD34F3" w:rsidRPr="00D225DB" w:rsidRDefault="00AD34F3" w:rsidP="00C03032">
            <w:pPr>
              <w:spacing w:before="720"/>
              <w:ind w:left="158"/>
            </w:pPr>
            <w:r w:rsidRPr="00D225DB">
              <w:t xml:space="preserve"> </w:t>
            </w:r>
          </w:p>
        </w:tc>
        <w:tc>
          <w:tcPr>
            <w:tcW w:w="3544" w:type="dxa"/>
            <w:tcBorders>
              <w:top w:val="nil"/>
              <w:left w:val="nil"/>
              <w:bottom w:val="single" w:sz="36" w:space="0" w:color="auto"/>
              <w:right w:val="nil"/>
            </w:tcBorders>
          </w:tcPr>
          <w:p w14:paraId="0911CF7E" w14:textId="77777777" w:rsidR="00AD34F3" w:rsidRPr="00D225DB" w:rsidRDefault="00AD34F3" w:rsidP="00C03032"/>
          <w:p w14:paraId="0B51C7F4" w14:textId="77777777" w:rsidR="00AD34F3" w:rsidRPr="00D225DB" w:rsidRDefault="00AD34F3" w:rsidP="00C03032">
            <w:r w:rsidRPr="00D225DB">
              <w:t>Distr.</w:t>
            </w:r>
          </w:p>
          <w:p w14:paraId="5B709170" w14:textId="77777777" w:rsidR="00AD34F3" w:rsidRPr="00D225DB" w:rsidRDefault="00AD34F3" w:rsidP="00C03032">
            <w:r w:rsidRPr="00D225DB">
              <w:t>GÉNÉRALE</w:t>
            </w:r>
          </w:p>
          <w:p w14:paraId="08885F91" w14:textId="77777777" w:rsidR="00AD34F3" w:rsidRPr="00D225DB" w:rsidRDefault="00AD34F3" w:rsidP="00C03032"/>
          <w:p w14:paraId="72C6E409" w14:textId="63E85F7D" w:rsidR="00AD34F3" w:rsidRPr="00D225DB" w:rsidRDefault="00262073" w:rsidP="00C03032">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w:t>
            </w:r>
            <w:r>
              <w:fldChar w:fldCharType="end"/>
            </w:r>
          </w:p>
          <w:p w14:paraId="53272D79" w14:textId="5A09B616" w:rsidR="00AD34F3" w:rsidRPr="00D225DB" w:rsidRDefault="00AD34F3" w:rsidP="00C03032">
            <w:r w:rsidRPr="00D225DB">
              <w:fldChar w:fldCharType="begin"/>
            </w:r>
            <w:r w:rsidRPr="00D225DB">
              <w:instrText xml:space="preserve"> DOCPROPERTY "Revision date" \@ "d MMMM YYYY"  \* MERGEFORMAT </w:instrText>
            </w:r>
            <w:r w:rsidRPr="00D225DB">
              <w:fldChar w:fldCharType="separate"/>
            </w:r>
            <w:r w:rsidR="00262073">
              <w:t>22 juin 2021</w:t>
            </w:r>
            <w:r w:rsidRPr="00D225DB">
              <w:fldChar w:fldCharType="end"/>
            </w:r>
          </w:p>
          <w:p w14:paraId="21084CB5" w14:textId="77777777" w:rsidR="00AD34F3" w:rsidRPr="00D225DB" w:rsidRDefault="00AD34F3" w:rsidP="00C03032">
            <w:pPr>
              <w:rPr>
                <w:caps/>
              </w:rPr>
            </w:pPr>
            <w:r w:rsidRPr="00D225DB">
              <w:rPr>
                <w:caps/>
              </w:rPr>
              <w:br/>
              <w:t>FRANÇAIS</w:t>
            </w:r>
          </w:p>
          <w:p w14:paraId="567375BF" w14:textId="77777777" w:rsidR="00AD34F3" w:rsidRPr="00D225DB" w:rsidRDefault="00AD34F3" w:rsidP="00C03032">
            <w:r w:rsidRPr="00D225DB">
              <w:t>ORIGINAL: ANGLAIS</w:t>
            </w:r>
          </w:p>
        </w:tc>
      </w:tr>
    </w:tbl>
    <w:p w14:paraId="45E4C165" w14:textId="77777777" w:rsidR="00AD34F3" w:rsidRPr="00D225DB" w:rsidRDefault="00AD34F3" w:rsidP="00AD34F3">
      <w:pPr>
        <w:jc w:val="left"/>
      </w:pPr>
      <w:r w:rsidRPr="00D225DB">
        <w:t xml:space="preserve">COMITÉ EXÉCUTIF </w:t>
      </w:r>
      <w:r w:rsidRPr="00D225DB">
        <w:br/>
        <w:t xml:space="preserve">  DU FONDS MULTILATÉRAL AUX FINS </w:t>
      </w:r>
      <w:r w:rsidRPr="00D225DB">
        <w:br/>
        <w:t xml:space="preserve">  D’APPLICATION DU PROTOCOLE DE MONTRÉAL</w:t>
      </w:r>
      <w:r w:rsidRPr="00D225DB">
        <w:br/>
        <w:t>Quatre-vingt-septième réunion</w:t>
      </w:r>
    </w:p>
    <w:p w14:paraId="68025337" w14:textId="73DC0BF7" w:rsidR="00E05BA9" w:rsidRPr="00D225DB" w:rsidRDefault="00AD34F3" w:rsidP="00AD34F3">
      <w:pPr>
        <w:jc w:val="left"/>
      </w:pPr>
      <w:r w:rsidRPr="00D225DB">
        <w:t>Montréal, 28 juin – 2 juillet 2021</w:t>
      </w:r>
      <w:r w:rsidR="00E05BA9" w:rsidRPr="00D225DB">
        <w:rPr>
          <w:rStyle w:val="FootnoteReference"/>
        </w:rPr>
        <w:footnoteReference w:id="1"/>
      </w:r>
    </w:p>
    <w:p w14:paraId="181667B0" w14:textId="77777777" w:rsidR="005220ED" w:rsidRPr="00D225DB" w:rsidRDefault="005220ED" w:rsidP="005220ED">
      <w:pPr>
        <w:jc w:val="left"/>
      </w:pPr>
    </w:p>
    <w:p w14:paraId="3E5F1A99" w14:textId="77777777" w:rsidR="00467179" w:rsidRPr="00D225DB" w:rsidRDefault="00467179" w:rsidP="004E7F9C">
      <w:pPr>
        <w:pStyle w:val="Title1"/>
        <w:rPr>
          <w:lang w:val="fr-FR"/>
        </w:rPr>
      </w:pPr>
    </w:p>
    <w:p w14:paraId="6279D008" w14:textId="01F8EF3F" w:rsidR="00013895" w:rsidRPr="00D225DB" w:rsidRDefault="00262073" w:rsidP="00F21C19">
      <w:pPr>
        <w:pStyle w:val="0Heading0"/>
        <w:jc w:val="center"/>
        <w:rPr>
          <w:b/>
          <w:bCs/>
          <w:lang w:val="fr-FR"/>
        </w:rPr>
      </w:pPr>
      <w:r w:rsidRPr="00D225DB">
        <w:rPr>
          <w:b/>
          <w:bCs/>
          <w:lang w:val="fr-FR"/>
        </w:rPr>
        <w:t>ÉTAT DES CONTRIBUTIONS ET DES DECAISSEMENTS</w:t>
      </w:r>
    </w:p>
    <w:p w14:paraId="762EAB6E" w14:textId="0975D805" w:rsidR="00013895" w:rsidRDefault="00997EA4" w:rsidP="00F21C19">
      <w:pPr>
        <w:pStyle w:val="0Heading0"/>
        <w:jc w:val="center"/>
        <w:rPr>
          <w:b/>
          <w:bCs/>
          <w:lang w:val="fr-FR"/>
        </w:rPr>
      </w:pPr>
      <w:r w:rsidRPr="00D225DB">
        <w:rPr>
          <w:b/>
          <w:bCs/>
          <w:lang w:val="fr-FR"/>
        </w:rPr>
        <w:t xml:space="preserve">Rapport du </w:t>
      </w:r>
      <w:r w:rsidR="00E12B2B" w:rsidRPr="00D225DB">
        <w:rPr>
          <w:b/>
          <w:bCs/>
          <w:lang w:val="fr-FR"/>
        </w:rPr>
        <w:t>T</w:t>
      </w:r>
      <w:r w:rsidRPr="00D225DB">
        <w:rPr>
          <w:b/>
          <w:bCs/>
          <w:lang w:val="fr-FR"/>
        </w:rPr>
        <w:t>résorier</w:t>
      </w:r>
    </w:p>
    <w:p w14:paraId="08ECECB8" w14:textId="77777777" w:rsidR="00864A69" w:rsidRPr="00D225DB" w:rsidRDefault="00864A69" w:rsidP="00F21C19">
      <w:pPr>
        <w:pStyle w:val="0Heading0"/>
        <w:jc w:val="center"/>
        <w:rPr>
          <w:b/>
          <w:bCs/>
          <w:lang w:val="fr-FR"/>
        </w:rPr>
      </w:pPr>
      <w:bookmarkStart w:id="0" w:name="_GoBack"/>
      <w:bookmarkEnd w:id="0"/>
    </w:p>
    <w:p w14:paraId="38395DCE" w14:textId="77777777" w:rsidR="00AA2768" w:rsidRPr="00D225DB" w:rsidRDefault="00AA2768" w:rsidP="00F21C19">
      <w:pPr>
        <w:pStyle w:val="0Heading0"/>
        <w:jc w:val="center"/>
        <w:rPr>
          <w:b/>
          <w:bCs/>
          <w:lang w:val="fr-FR"/>
        </w:rPr>
      </w:pPr>
    </w:p>
    <w:p w14:paraId="2590B48F" w14:textId="30DD2466" w:rsidR="00013895" w:rsidRPr="00D225DB" w:rsidRDefault="00EA7A42" w:rsidP="00AA2768">
      <w:pPr>
        <w:pStyle w:val="Heading1"/>
      </w:pPr>
      <w:r w:rsidRPr="00D225DB">
        <w:t xml:space="preserve">On trouvera dans le présent document des informations sur </w:t>
      </w:r>
      <w:r w:rsidR="00E12B2B" w:rsidRPr="00D225DB">
        <w:t>l’état</w:t>
      </w:r>
      <w:r w:rsidRPr="00D225DB">
        <w:t xml:space="preserve"> du Fonds multilatéral</w:t>
      </w:r>
      <w:r w:rsidR="00E12B2B" w:rsidRPr="00D225DB">
        <w:rPr>
          <w:rStyle w:val="FootnoteReference"/>
        </w:rPr>
        <w:footnoteReference w:id="2"/>
      </w:r>
      <w:r w:rsidRPr="00D225DB">
        <w:t xml:space="preserve"> tel qu</w:t>
      </w:r>
      <w:r w:rsidR="00F176BB" w:rsidRPr="00D225DB">
        <w:t>’enregistré</w:t>
      </w:r>
      <w:r w:rsidRPr="00D225DB">
        <w:t xml:space="preserve"> par le PNUE </w:t>
      </w:r>
      <w:r w:rsidR="00F176BB" w:rsidRPr="00D225DB">
        <w:t>le</w:t>
      </w:r>
      <w:r w:rsidRPr="00D225DB">
        <w:t xml:space="preserve"> 9 juin 2021. L'annexe I du document contient les tableaux suivants </w:t>
      </w:r>
      <w:r w:rsidR="00013895" w:rsidRPr="00D225DB">
        <w:t>:</w:t>
      </w:r>
      <w:r w:rsidR="00A22251">
        <w:t xml:space="preserve"> </w:t>
      </w:r>
    </w:p>
    <w:p w14:paraId="22F139D0" w14:textId="3C0E76CF" w:rsidR="00F176BB" w:rsidRPr="00D225DB" w:rsidRDefault="00F176BB" w:rsidP="00F176BB">
      <w:pPr>
        <w:pStyle w:val="0Heading0"/>
        <w:numPr>
          <w:ilvl w:val="0"/>
          <w:numId w:val="21"/>
        </w:numPr>
        <w:tabs>
          <w:tab w:val="clear" w:pos="2500"/>
        </w:tabs>
        <w:ind w:left="1701"/>
        <w:rPr>
          <w:lang w:val="fr-FR"/>
        </w:rPr>
      </w:pPr>
      <w:r w:rsidRPr="00D225DB">
        <w:rPr>
          <w:lang w:val="fr-FR"/>
        </w:rPr>
        <w:t>Tableau 1 : État du fonds de 1991 à 2021</w:t>
      </w:r>
    </w:p>
    <w:p w14:paraId="1B439F21" w14:textId="5DDD7805" w:rsidR="00F176BB" w:rsidRPr="00D225DB" w:rsidRDefault="00F176BB" w:rsidP="00F176BB">
      <w:pPr>
        <w:pStyle w:val="0Heading0"/>
        <w:numPr>
          <w:ilvl w:val="0"/>
          <w:numId w:val="21"/>
        </w:numPr>
        <w:tabs>
          <w:tab w:val="clear" w:pos="2500"/>
        </w:tabs>
        <w:ind w:left="1701"/>
        <w:rPr>
          <w:lang w:val="fr-FR"/>
        </w:rPr>
      </w:pPr>
      <w:r w:rsidRPr="00D225DB">
        <w:rPr>
          <w:lang w:val="fr-FR"/>
        </w:rPr>
        <w:t>Tableau 2 : Résumé de l'état des contributions et autres ressources pour la période 1991- 021</w:t>
      </w:r>
    </w:p>
    <w:p w14:paraId="0C3C822B" w14:textId="0C04C5CD" w:rsidR="00F176BB" w:rsidRPr="00D225DB" w:rsidRDefault="00F176BB" w:rsidP="00F176BB">
      <w:pPr>
        <w:pStyle w:val="0Heading0"/>
        <w:numPr>
          <w:ilvl w:val="0"/>
          <w:numId w:val="21"/>
        </w:numPr>
        <w:tabs>
          <w:tab w:val="clear" w:pos="2500"/>
        </w:tabs>
        <w:ind w:left="1701"/>
        <w:rPr>
          <w:lang w:val="fr-FR"/>
        </w:rPr>
      </w:pPr>
      <w:r w:rsidRPr="00D225DB">
        <w:rPr>
          <w:lang w:val="fr-FR"/>
        </w:rPr>
        <w:t>Tableau 3 : Résumé de l'état des contributions pour la période 1991-2021</w:t>
      </w:r>
    </w:p>
    <w:p w14:paraId="085A628C" w14:textId="5A6DD157" w:rsidR="00F176BB" w:rsidRPr="00D225DB" w:rsidRDefault="00F176BB" w:rsidP="00F176BB">
      <w:pPr>
        <w:pStyle w:val="0Heading0"/>
        <w:numPr>
          <w:ilvl w:val="0"/>
          <w:numId w:val="21"/>
        </w:numPr>
        <w:tabs>
          <w:tab w:val="clear" w:pos="2500"/>
        </w:tabs>
        <w:ind w:left="1701"/>
        <w:rPr>
          <w:lang w:val="fr-FR"/>
        </w:rPr>
      </w:pPr>
      <w:r w:rsidRPr="00D225DB">
        <w:rPr>
          <w:lang w:val="fr-FR"/>
        </w:rPr>
        <w:t>Tableau 4 : État des contributions pour la période 2021-2023</w:t>
      </w:r>
    </w:p>
    <w:p w14:paraId="0E834DCF" w14:textId="1C2C7058" w:rsidR="00F176BB" w:rsidRPr="00D225DB" w:rsidRDefault="00F176BB" w:rsidP="00F176BB">
      <w:pPr>
        <w:pStyle w:val="0Heading0"/>
        <w:numPr>
          <w:ilvl w:val="0"/>
          <w:numId w:val="21"/>
        </w:numPr>
        <w:tabs>
          <w:tab w:val="clear" w:pos="2500"/>
        </w:tabs>
        <w:ind w:left="1701"/>
        <w:rPr>
          <w:lang w:val="fr-FR"/>
        </w:rPr>
      </w:pPr>
      <w:r w:rsidRPr="00D225DB">
        <w:rPr>
          <w:lang w:val="fr-FR"/>
        </w:rPr>
        <w:t>Tableau 5 : État des contributions pour 2021</w:t>
      </w:r>
    </w:p>
    <w:p w14:paraId="5E4CB379" w14:textId="2C3C9A38" w:rsidR="00F176BB" w:rsidRPr="00D225DB" w:rsidRDefault="00F176BB" w:rsidP="00F176BB">
      <w:pPr>
        <w:pStyle w:val="0Heading0"/>
        <w:numPr>
          <w:ilvl w:val="0"/>
          <w:numId w:val="21"/>
        </w:numPr>
        <w:tabs>
          <w:tab w:val="clear" w:pos="2500"/>
        </w:tabs>
        <w:ind w:left="1701"/>
        <w:rPr>
          <w:lang w:val="fr-FR"/>
        </w:rPr>
      </w:pPr>
      <w:r w:rsidRPr="00D225DB">
        <w:rPr>
          <w:lang w:val="fr-FR"/>
        </w:rPr>
        <w:t>Tableau 6 : État des contributions pour la période 2018-2020</w:t>
      </w:r>
    </w:p>
    <w:p w14:paraId="3F8E086B" w14:textId="3C989B91" w:rsidR="00F176BB" w:rsidRPr="00D225DB" w:rsidRDefault="00F176BB" w:rsidP="00F176BB">
      <w:pPr>
        <w:pStyle w:val="0Heading0"/>
        <w:numPr>
          <w:ilvl w:val="0"/>
          <w:numId w:val="21"/>
        </w:numPr>
        <w:tabs>
          <w:tab w:val="clear" w:pos="2500"/>
        </w:tabs>
        <w:ind w:left="1701"/>
        <w:rPr>
          <w:lang w:val="fr-FR"/>
        </w:rPr>
      </w:pPr>
      <w:r w:rsidRPr="00D225DB">
        <w:rPr>
          <w:lang w:val="fr-FR"/>
        </w:rPr>
        <w:t>Tableau 7 : État des contributions pour 2020</w:t>
      </w:r>
    </w:p>
    <w:p w14:paraId="46E5B415" w14:textId="79AFEA3A" w:rsidR="00F176BB" w:rsidRPr="00D225DB" w:rsidRDefault="00F176BB" w:rsidP="00F176BB">
      <w:pPr>
        <w:pStyle w:val="0Heading0"/>
        <w:numPr>
          <w:ilvl w:val="0"/>
          <w:numId w:val="21"/>
        </w:numPr>
        <w:tabs>
          <w:tab w:val="clear" w:pos="2500"/>
        </w:tabs>
        <w:ind w:left="1701"/>
        <w:rPr>
          <w:lang w:val="fr-FR"/>
        </w:rPr>
      </w:pPr>
      <w:r w:rsidRPr="00D225DB">
        <w:rPr>
          <w:lang w:val="fr-FR"/>
        </w:rPr>
        <w:t>Tableau 8 : Statut des contributions pour 2019</w:t>
      </w:r>
    </w:p>
    <w:p w14:paraId="753A60D8" w14:textId="2C9AC51B" w:rsidR="00F176BB" w:rsidRPr="00D225DB" w:rsidRDefault="00F176BB" w:rsidP="00F176BB">
      <w:pPr>
        <w:pStyle w:val="0Heading0"/>
        <w:numPr>
          <w:ilvl w:val="0"/>
          <w:numId w:val="21"/>
        </w:numPr>
        <w:tabs>
          <w:tab w:val="clear" w:pos="2500"/>
        </w:tabs>
        <w:ind w:left="1701"/>
        <w:rPr>
          <w:lang w:val="fr-FR"/>
        </w:rPr>
      </w:pPr>
      <w:r w:rsidRPr="00D225DB">
        <w:rPr>
          <w:lang w:val="fr-FR"/>
        </w:rPr>
        <w:t>Tableau 9 : État des contributions pour 2018</w:t>
      </w:r>
    </w:p>
    <w:p w14:paraId="5BA228CA" w14:textId="779414C3" w:rsidR="00F176BB" w:rsidRPr="00D225DB" w:rsidRDefault="00F176BB" w:rsidP="00F176BB">
      <w:pPr>
        <w:pStyle w:val="0Heading0"/>
        <w:numPr>
          <w:ilvl w:val="0"/>
          <w:numId w:val="21"/>
        </w:numPr>
        <w:tabs>
          <w:tab w:val="clear" w:pos="2500"/>
        </w:tabs>
        <w:ind w:left="1701"/>
        <w:rPr>
          <w:lang w:val="fr-FR"/>
        </w:rPr>
      </w:pPr>
      <w:r w:rsidRPr="00D225DB">
        <w:rPr>
          <w:lang w:val="fr-FR"/>
        </w:rPr>
        <w:t>Tableau 10 : État des contributions pour la période 2015-2017</w:t>
      </w:r>
    </w:p>
    <w:p w14:paraId="7703C3FE" w14:textId="6329FC08" w:rsidR="00F176BB" w:rsidRPr="00D225DB" w:rsidRDefault="00F176BB" w:rsidP="00F176BB">
      <w:pPr>
        <w:pStyle w:val="0Heading0"/>
        <w:numPr>
          <w:ilvl w:val="0"/>
          <w:numId w:val="21"/>
        </w:numPr>
        <w:tabs>
          <w:tab w:val="clear" w:pos="2500"/>
        </w:tabs>
        <w:ind w:left="1701"/>
        <w:rPr>
          <w:lang w:val="fr-FR"/>
        </w:rPr>
      </w:pPr>
      <w:r w:rsidRPr="00D225DB">
        <w:rPr>
          <w:lang w:val="fr-FR"/>
        </w:rPr>
        <w:t>Tableau 11 : État des contributions pour 2017</w:t>
      </w:r>
    </w:p>
    <w:p w14:paraId="6682D5B7" w14:textId="640EA90F" w:rsidR="00F176BB" w:rsidRPr="00D225DB" w:rsidRDefault="00F176BB" w:rsidP="00F176BB">
      <w:pPr>
        <w:pStyle w:val="0Heading0"/>
        <w:numPr>
          <w:ilvl w:val="0"/>
          <w:numId w:val="21"/>
        </w:numPr>
        <w:tabs>
          <w:tab w:val="clear" w:pos="2500"/>
        </w:tabs>
        <w:ind w:left="1701"/>
        <w:rPr>
          <w:lang w:val="fr-FR"/>
        </w:rPr>
      </w:pPr>
      <w:r w:rsidRPr="00D225DB">
        <w:rPr>
          <w:lang w:val="fr-FR"/>
        </w:rPr>
        <w:t>Tableau 12 : État des contributions pour 2016</w:t>
      </w:r>
    </w:p>
    <w:p w14:paraId="44EB4ABA" w14:textId="26806F55" w:rsidR="006F113E" w:rsidRPr="00D225DB" w:rsidRDefault="00F176BB" w:rsidP="00F176BB">
      <w:pPr>
        <w:pStyle w:val="0Heading0"/>
        <w:numPr>
          <w:ilvl w:val="0"/>
          <w:numId w:val="21"/>
        </w:numPr>
        <w:ind w:left="1701"/>
        <w:jc w:val="both"/>
        <w:rPr>
          <w:lang w:val="fr-FR"/>
        </w:rPr>
      </w:pPr>
      <w:r w:rsidRPr="00D225DB">
        <w:rPr>
          <w:lang w:val="fr-FR"/>
        </w:rPr>
        <w:t>Tableau 13 : État des contributions pour 2015</w:t>
      </w:r>
    </w:p>
    <w:p w14:paraId="4833CE42" w14:textId="77777777" w:rsidR="00467179" w:rsidRPr="00D225DB" w:rsidRDefault="00467179" w:rsidP="00112D2B">
      <w:pPr>
        <w:pStyle w:val="0Heading0"/>
        <w:tabs>
          <w:tab w:val="left" w:pos="0"/>
        </w:tabs>
        <w:jc w:val="both"/>
        <w:rPr>
          <w:lang w:val="fr-FR"/>
        </w:rPr>
      </w:pPr>
    </w:p>
    <w:p w14:paraId="76F1F623" w14:textId="2F9B0F00" w:rsidR="007373EC" w:rsidRPr="00D225DB" w:rsidRDefault="00366ACA" w:rsidP="007373EC">
      <w:pPr>
        <w:pStyle w:val="Heading1"/>
      </w:pPr>
      <w:r w:rsidRPr="00D225DB">
        <w:t xml:space="preserve">Au 9 juin 2021, le solde du </w:t>
      </w:r>
      <w:r w:rsidR="007D3F3B" w:rsidRPr="00D225DB">
        <w:t>F</w:t>
      </w:r>
      <w:r w:rsidRPr="00D225DB">
        <w:t>onds était de 334 427 526 $US en espèces, après prise en compte de tous les fonds approuvés par le Comité exécutif, jusqu'à la 86</w:t>
      </w:r>
      <w:r w:rsidRPr="00D225DB">
        <w:rPr>
          <w:vertAlign w:val="superscript"/>
        </w:rPr>
        <w:t>e</w:t>
      </w:r>
      <w:r w:rsidRPr="00D225DB">
        <w:t xml:space="preserve"> réunion incluse. Ce montant ne comprend pas les 3 280 455 $US retenus par la Banque mondiale, représentant le solde des projets achevés ou annulés, </w:t>
      </w:r>
      <w:r w:rsidRPr="00D225DB">
        <w:lastRenderedPageBreak/>
        <w:t>les intérêts courus et autres ajustements, qui sont supérieurs au montant que le Trésorier a pu compenser à partir des projets approuvés pour la Banque mondiale depuis la 83</w:t>
      </w:r>
      <w:r w:rsidRPr="00D225DB">
        <w:rPr>
          <w:vertAlign w:val="superscript"/>
        </w:rPr>
        <w:t xml:space="preserve">e </w:t>
      </w:r>
      <w:r w:rsidRPr="00D225DB">
        <w:t>réunion.</w:t>
      </w:r>
    </w:p>
    <w:p w14:paraId="18ABB362" w14:textId="318BE006" w:rsidR="00BF7081" w:rsidRPr="00D225DB" w:rsidRDefault="00366ACA" w:rsidP="00AA2768">
      <w:pPr>
        <w:pStyle w:val="Heading1"/>
      </w:pPr>
      <w:r w:rsidRPr="00D225DB">
        <w:t>Conformément à la décision Ex.IV/1 de la quatrième réunion extraordinaire des Parties au Protocole de Montréal</w:t>
      </w:r>
      <w:r w:rsidRPr="00D225DB">
        <w:rPr>
          <w:rStyle w:val="FootnoteReference"/>
        </w:rPr>
        <w:footnoteReference w:id="3"/>
      </w:r>
      <w:r w:rsidRPr="00D225DB">
        <w:t xml:space="preserve"> sur les contributions de 2021 au Fonds multilatéral aux fins d'application du Protocole de Montréal pour la période triennale 2021-2023, six Parties ont versé des contributions avancées pour 2021.</w:t>
      </w:r>
    </w:p>
    <w:p w14:paraId="4820B853" w14:textId="05FCF4A2" w:rsidR="00013895" w:rsidRPr="00D225DB" w:rsidRDefault="00366ACA" w:rsidP="00AA2768">
      <w:pPr>
        <w:pStyle w:val="Heading1"/>
      </w:pPr>
      <w:r w:rsidRPr="00D225DB">
        <w:rPr>
          <w:lang w:bidi="hi-IN"/>
        </w:rPr>
        <w:t>Les informations sur le mécanisme de taux de change fixe</w:t>
      </w:r>
      <w:r w:rsidR="007527DF" w:rsidRPr="00D225DB">
        <w:rPr>
          <w:rStyle w:val="FootnoteReference"/>
          <w:lang w:bidi="hi-IN"/>
        </w:rPr>
        <w:footnoteReference w:id="4"/>
      </w:r>
      <w:r w:rsidR="007527DF" w:rsidRPr="00D225DB">
        <w:rPr>
          <w:lang w:bidi="hi-IN"/>
        </w:rPr>
        <w:t xml:space="preserve"> </w:t>
      </w:r>
      <w:r w:rsidRPr="00D225DB">
        <w:rPr>
          <w:lang w:bidi="hi-IN"/>
        </w:rPr>
        <w:t>ont été mises à jour et reflètent une perte imputable à celui-ci de 30 146 683 $US depuis sa création, ce qui est inférieur de 74 544 $US à la perte de 30 221 227 $US signalée à la 86</w:t>
      </w:r>
      <w:r w:rsidRPr="00D225DB">
        <w:rPr>
          <w:vertAlign w:val="superscript"/>
          <w:lang w:bidi="hi-IN"/>
        </w:rPr>
        <w:t>e</w:t>
      </w:r>
      <w:r w:rsidRPr="00D225DB">
        <w:rPr>
          <w:lang w:bidi="hi-IN"/>
        </w:rPr>
        <w:t xml:space="preserve"> réunion.</w:t>
      </w:r>
    </w:p>
    <w:p w14:paraId="2A4C121C" w14:textId="337783D7" w:rsidR="00013895" w:rsidRPr="00D225DB" w:rsidRDefault="002F0B08" w:rsidP="00F21C19">
      <w:pPr>
        <w:autoSpaceDE w:val="0"/>
        <w:autoSpaceDN w:val="0"/>
        <w:adjustRightInd w:val="0"/>
        <w:rPr>
          <w:b/>
          <w:bCs/>
          <w:lang w:bidi="hi-IN"/>
        </w:rPr>
      </w:pPr>
      <w:r w:rsidRPr="00D225DB">
        <w:rPr>
          <w:b/>
          <w:bCs/>
          <w:lang w:bidi="hi-IN"/>
        </w:rPr>
        <w:t>Actions concernant les contributions en suspens</w:t>
      </w:r>
    </w:p>
    <w:p w14:paraId="435F7A5D" w14:textId="77777777" w:rsidR="00013895" w:rsidRPr="00D225DB" w:rsidRDefault="00013895" w:rsidP="00F21C19">
      <w:pPr>
        <w:autoSpaceDE w:val="0"/>
        <w:autoSpaceDN w:val="0"/>
        <w:adjustRightInd w:val="0"/>
        <w:rPr>
          <w:b/>
          <w:bCs/>
          <w:lang w:bidi="hi-IN"/>
        </w:rPr>
      </w:pPr>
    </w:p>
    <w:p w14:paraId="40E6127C" w14:textId="602BFCF6" w:rsidR="00013895" w:rsidRPr="00D225DB" w:rsidRDefault="002F0B08" w:rsidP="0090311E">
      <w:pPr>
        <w:pStyle w:val="Heading1"/>
        <w:rPr>
          <w:lang w:bidi="hi-IN"/>
        </w:rPr>
      </w:pPr>
      <w:r w:rsidRPr="00D225DB">
        <w:t>Comme suite à la décision Ex.IV/1, le Trésorier a envoyé des factures aux Parties non visées à l'article 5 qui en avaient fait la demande pour payer leurs contributions au Fonds multilatéral pour 2021, ainsi que des rappels aux Parties ayant fait des promesses de contributions non honorées</w:t>
      </w:r>
      <w:r w:rsidRPr="00D225DB">
        <w:rPr>
          <w:rStyle w:val="FootnoteReference"/>
        </w:rPr>
        <w:footnoteReference w:id="5"/>
      </w:r>
      <w:r w:rsidRPr="00D225DB">
        <w:t>, le cas échéant</w:t>
      </w:r>
      <w:r w:rsidR="001A39A3" w:rsidRPr="00D225DB">
        <w:t>.</w:t>
      </w:r>
    </w:p>
    <w:p w14:paraId="604CBBC5" w14:textId="6226DE34" w:rsidR="003D04B6" w:rsidRPr="00D225DB" w:rsidRDefault="002F0B08" w:rsidP="0090311E">
      <w:pPr>
        <w:pStyle w:val="Heading1"/>
        <w:rPr>
          <w:lang w:bidi="hi-IN"/>
        </w:rPr>
      </w:pPr>
      <w:r w:rsidRPr="00D225DB">
        <w:rPr>
          <w:lang w:bidi="hi-IN"/>
        </w:rPr>
        <w:t>Pour donner suite à la décision 86/3 c)</w:t>
      </w:r>
      <w:r w:rsidRPr="00D225DB">
        <w:rPr>
          <w:rStyle w:val="FootnoteReference"/>
          <w:lang w:bidi="hi-IN"/>
        </w:rPr>
        <w:footnoteReference w:id="6"/>
      </w:r>
      <w:r w:rsidRPr="00D225DB">
        <w:rPr>
          <w:lang w:bidi="hi-IN"/>
        </w:rPr>
        <w:t xml:space="preserve">, </w:t>
      </w:r>
      <w:r w:rsidR="00F51838" w:rsidRPr="00D225DB">
        <w:rPr>
          <w:lang w:bidi="hi-IN"/>
        </w:rPr>
        <w:t xml:space="preserve">le </w:t>
      </w:r>
      <w:r w:rsidR="004A73C3" w:rsidRPr="00D225DB">
        <w:t xml:space="preserve">Chef de secrétariat </w:t>
      </w:r>
      <w:r w:rsidRPr="00D225DB">
        <w:rPr>
          <w:lang w:bidi="hi-IN"/>
        </w:rPr>
        <w:t>a répondu aux questions de quelques Parties dont les contributions restent dues et qui souhaitent commencer à les verser, y compris en ce qui concerne la possibilité de coopération bilatérale dans le cadre du Fonds. Le secrétariat a proposé de tenir des réunions virtuelles pour poursuivre les discussions.</w:t>
      </w:r>
    </w:p>
    <w:p w14:paraId="09C0CFF3" w14:textId="583802F0" w:rsidR="000F45C9" w:rsidRPr="00D225DB" w:rsidRDefault="00F51838" w:rsidP="00F90B72">
      <w:pPr>
        <w:pStyle w:val="ListParagraph"/>
        <w:autoSpaceDE w:val="0"/>
        <w:autoSpaceDN w:val="0"/>
        <w:adjustRightInd w:val="0"/>
        <w:spacing w:after="240"/>
        <w:ind w:left="0"/>
        <w:rPr>
          <w:b/>
        </w:rPr>
      </w:pPr>
      <w:r w:rsidRPr="00D225DB">
        <w:rPr>
          <w:b/>
        </w:rPr>
        <w:t>Rapprochement des registres de contributions bilatérales</w:t>
      </w:r>
    </w:p>
    <w:p w14:paraId="75BEBF11" w14:textId="320151D2" w:rsidR="00691B41" w:rsidRPr="00D225DB" w:rsidRDefault="00F51838" w:rsidP="002466BA">
      <w:pPr>
        <w:pStyle w:val="Heading1"/>
        <w:rPr>
          <w:bCs/>
          <w:lang w:bidi="hi-IN"/>
        </w:rPr>
      </w:pPr>
      <w:r w:rsidRPr="00D225DB">
        <w:t>En application de la décision 86/3</w:t>
      </w:r>
      <w:r w:rsidR="004E7C9B" w:rsidRPr="00D225DB">
        <w:t xml:space="preserve"> </w:t>
      </w:r>
      <w:r w:rsidRPr="00D225DB">
        <w:t>e)</w:t>
      </w:r>
      <w:r w:rsidRPr="00D225DB">
        <w:rPr>
          <w:rStyle w:val="FootnoteReference"/>
        </w:rPr>
        <w:footnoteReference w:id="7"/>
      </w:r>
      <w:r w:rsidRPr="00D225DB">
        <w:t>, l'exercice de rapprochement bilatéral des contributions entre les registres du trésorier et ceux du secrétariat est terminé pour quatre Parties non visées à l'article 5 et des ajustements ont été apportés à l'état des contributions et des décaissements figurant dans le présent document</w:t>
      </w:r>
      <w:r w:rsidR="006744E1" w:rsidRPr="00D225DB">
        <w:rPr>
          <w:rStyle w:val="FootnoteReference"/>
        </w:rPr>
        <w:footnoteReference w:id="8"/>
      </w:r>
      <w:r w:rsidR="00536271" w:rsidRPr="00D225DB">
        <w:t>.</w:t>
      </w:r>
    </w:p>
    <w:p w14:paraId="031BD7FC" w14:textId="536E2A57" w:rsidR="00691B41" w:rsidRPr="00D225DB" w:rsidRDefault="00F51838" w:rsidP="0090311E">
      <w:pPr>
        <w:pStyle w:val="Heading1"/>
      </w:pPr>
      <w:r w:rsidRPr="00D225DB">
        <w:t xml:space="preserve">Les ajustements globaux effectués par le Trésorier n'ont pas eu d'impact sur la contribution nette des Parties non visées à l'article 5 concernées. Cependant, lors de l'exercice de rapprochement, il a été constaté qu'un retour du solde d'un projet achevé mis en œuvre par une agence bilatérale, enregistré dans l'inventaire des projets approuvés du secrétariat, n'avait pas été déduit des contributions bilatérales, dans le </w:t>
      </w:r>
      <w:r w:rsidRPr="00D225DB">
        <w:lastRenderedPageBreak/>
        <w:t>document sur l'état des contributions et des décaissements. En conséquence, le Trésorier a révisé le présent document en incluant une contribution supplémentaire en espèces au Fonds par la Partie concernée et une réduction du même montant de la contribution bilatérale par cette Partie</w:t>
      </w:r>
      <w:r w:rsidR="00691B41" w:rsidRPr="00D225DB">
        <w:t xml:space="preserve">. </w:t>
      </w:r>
    </w:p>
    <w:p w14:paraId="4E24B890" w14:textId="5AC7889E" w:rsidR="00372BEA" w:rsidRPr="00D225DB" w:rsidRDefault="00F51838" w:rsidP="0090311E">
      <w:pPr>
        <w:pStyle w:val="Heading1"/>
      </w:pPr>
      <w:r w:rsidRPr="00D225DB">
        <w:t>Au moment de la publication du présent document, l'examen concernant une Partie non visée par l'article 5 était en attente de consultations supplémentaires avec le Gouvernement concerné</w:t>
      </w:r>
      <w:r w:rsidR="007527DF" w:rsidRPr="00D225DB">
        <w:rPr>
          <w:rStyle w:val="FootnoteReference"/>
        </w:rPr>
        <w:footnoteReference w:id="9"/>
      </w:r>
      <w:r w:rsidR="00187695" w:rsidRPr="00D225DB">
        <w:t xml:space="preserve">. </w:t>
      </w:r>
    </w:p>
    <w:p w14:paraId="70015FCC" w14:textId="5BC7CDCB" w:rsidR="00013895" w:rsidRPr="00D225DB" w:rsidRDefault="00013895" w:rsidP="00C9520F">
      <w:pPr>
        <w:pStyle w:val="0Heading0"/>
        <w:autoSpaceDE w:val="0"/>
        <w:autoSpaceDN w:val="0"/>
        <w:adjustRightInd w:val="0"/>
        <w:spacing w:after="240"/>
        <w:jc w:val="both"/>
        <w:rPr>
          <w:b/>
          <w:bCs/>
          <w:lang w:val="fr-FR" w:bidi="hi-IN"/>
        </w:rPr>
      </w:pPr>
      <w:r w:rsidRPr="00D225DB">
        <w:rPr>
          <w:b/>
          <w:bCs/>
          <w:lang w:val="fr-FR" w:bidi="hi-IN"/>
        </w:rPr>
        <w:t>Recomm</w:t>
      </w:r>
      <w:r w:rsidR="00F51838" w:rsidRPr="00D225DB">
        <w:rPr>
          <w:b/>
          <w:bCs/>
          <w:lang w:val="fr-FR" w:bidi="hi-IN"/>
        </w:rPr>
        <w:t>a</w:t>
      </w:r>
      <w:r w:rsidRPr="00D225DB">
        <w:rPr>
          <w:b/>
          <w:bCs/>
          <w:lang w:val="fr-FR" w:bidi="hi-IN"/>
        </w:rPr>
        <w:t>ndations</w:t>
      </w:r>
    </w:p>
    <w:p w14:paraId="46B870D8" w14:textId="261F605A" w:rsidR="00013895" w:rsidRPr="00D225DB" w:rsidRDefault="00F51838" w:rsidP="0090311E">
      <w:pPr>
        <w:pStyle w:val="Heading1"/>
        <w:rPr>
          <w:sz w:val="20"/>
          <w:szCs w:val="20"/>
          <w:lang w:bidi="hi-IN"/>
        </w:rPr>
      </w:pPr>
      <w:r w:rsidRPr="00D225DB">
        <w:rPr>
          <w:lang w:bidi="hi-IN"/>
        </w:rPr>
        <w:t xml:space="preserve">Le Comité exécutif pourrait souhaiter </w:t>
      </w:r>
      <w:r w:rsidR="00013895" w:rsidRPr="00D225DB">
        <w:rPr>
          <w:lang w:bidi="hi-IN"/>
        </w:rPr>
        <w:t>:</w:t>
      </w:r>
    </w:p>
    <w:p w14:paraId="7283EE4D" w14:textId="54F60C7E" w:rsidR="00374F50" w:rsidRPr="00D225DB" w:rsidRDefault="00F51838" w:rsidP="00F51838">
      <w:pPr>
        <w:pStyle w:val="Heading2"/>
        <w:rPr>
          <w:lang w:bidi="hi-IN"/>
        </w:rPr>
      </w:pPr>
      <w:r w:rsidRPr="00D225DB">
        <w:rPr>
          <w:lang w:bidi="hi-IN"/>
        </w:rPr>
        <w:t xml:space="preserve">Prendre note du rapport du Trésorier sur l'état des contributions et des décaissements, figurant à l'annexe I du présent document </w:t>
      </w:r>
      <w:r w:rsidR="005533E8" w:rsidRPr="00D225DB">
        <w:rPr>
          <w:lang w:bidi="hi-IN"/>
        </w:rPr>
        <w:t>;</w:t>
      </w:r>
    </w:p>
    <w:p w14:paraId="77F2A288" w14:textId="70662F55" w:rsidR="001C7ADE" w:rsidRPr="00D225DB" w:rsidRDefault="00F51838" w:rsidP="0090311E">
      <w:pPr>
        <w:pStyle w:val="Heading2"/>
        <w:rPr>
          <w:lang w:bidi="hi-IN"/>
        </w:rPr>
      </w:pPr>
      <w:r w:rsidRPr="00D225DB">
        <w:rPr>
          <w:lang w:bidi="hi-IN"/>
        </w:rPr>
        <w:t xml:space="preserve">Demander au </w:t>
      </w:r>
      <w:r w:rsidR="004A73C3" w:rsidRPr="00D225DB">
        <w:t xml:space="preserve">Chef de secrétariat </w:t>
      </w:r>
      <w:r w:rsidRPr="00D225DB">
        <w:rPr>
          <w:lang w:bidi="hi-IN"/>
        </w:rPr>
        <w:t>et au Trésorier de continuer à assurer le suivi des Parties dont les contributions sont en attente depuis une période triennale ou plus, et d'en rendre compte lors de la 88</w:t>
      </w:r>
      <w:r w:rsidRPr="00D225DB">
        <w:rPr>
          <w:vertAlign w:val="superscript"/>
          <w:lang w:bidi="hi-IN"/>
        </w:rPr>
        <w:t xml:space="preserve">e </w:t>
      </w:r>
      <w:r w:rsidR="004A73C3" w:rsidRPr="00D225DB">
        <w:rPr>
          <w:lang w:bidi="hi-IN"/>
        </w:rPr>
        <w:t>réunion</w:t>
      </w:r>
      <w:r w:rsidRPr="00D225DB">
        <w:rPr>
          <w:lang w:bidi="hi-IN"/>
        </w:rPr>
        <w:t xml:space="preserve"> </w:t>
      </w:r>
      <w:r w:rsidR="005533E8" w:rsidRPr="00D225DB">
        <w:rPr>
          <w:lang w:bidi="hi-IN"/>
        </w:rPr>
        <w:t>;</w:t>
      </w:r>
    </w:p>
    <w:p w14:paraId="17A0432D" w14:textId="60296C50" w:rsidR="001C7ADE" w:rsidRPr="00D225DB" w:rsidRDefault="00F51838" w:rsidP="0090311E">
      <w:pPr>
        <w:pStyle w:val="Heading2"/>
        <w:rPr>
          <w:lang w:bidi="hi-IN"/>
        </w:rPr>
      </w:pPr>
      <w:r w:rsidRPr="00D225DB">
        <w:rPr>
          <w:lang w:bidi="hi-IN"/>
        </w:rPr>
        <w:t xml:space="preserve">Prendre note des modifications concernant la contribution bilatérale du Canada, de la France, du Portugal et de l'Espagne, résultant d'un exercice de rapprochement entre les factures, les paiements et l'inventaire des projets approuvés du secrétariat, inclus dans l'annexe I du présent document </w:t>
      </w:r>
      <w:r w:rsidR="001C7ADE" w:rsidRPr="00D225DB">
        <w:rPr>
          <w:lang w:bidi="hi-IN"/>
        </w:rPr>
        <w:t xml:space="preserve">; </w:t>
      </w:r>
    </w:p>
    <w:p w14:paraId="458DA587" w14:textId="06BBA439" w:rsidR="00E05BA9" w:rsidRPr="00D225DB" w:rsidRDefault="00F51838" w:rsidP="0090311E">
      <w:pPr>
        <w:pStyle w:val="Heading2"/>
        <w:rPr>
          <w:lang w:bidi="hi-IN"/>
        </w:rPr>
      </w:pPr>
      <w:r w:rsidRPr="00D225DB">
        <w:rPr>
          <w:lang w:bidi="hi-IN"/>
        </w:rPr>
        <w:t>Demander au Trésorier, en coopération avec le secrétariat, de finaliser la révision des montants de la contribution bilatérale de la Finlande enregistrés dans le Fonds multilatéral, et de faire un rapport à la 88</w:t>
      </w:r>
      <w:r w:rsidRPr="00D225DB">
        <w:rPr>
          <w:vertAlign w:val="superscript"/>
          <w:lang w:bidi="hi-IN"/>
        </w:rPr>
        <w:t>e</w:t>
      </w:r>
      <w:r w:rsidRPr="00D225DB">
        <w:rPr>
          <w:lang w:bidi="hi-IN"/>
        </w:rPr>
        <w:t xml:space="preserve"> réunion ; et</w:t>
      </w:r>
    </w:p>
    <w:p w14:paraId="5D606DBD" w14:textId="7F5F77FC" w:rsidR="001C7ADE" w:rsidRPr="00D225DB" w:rsidRDefault="007527DF" w:rsidP="0090311E">
      <w:pPr>
        <w:pStyle w:val="Heading2"/>
        <w:rPr>
          <w:lang w:bidi="hi-IN"/>
        </w:rPr>
      </w:pPr>
      <w:r w:rsidRPr="00D225DB">
        <w:rPr>
          <w:lang w:bidi="hi-IN"/>
        </w:rPr>
        <w:t>Demander à la Banque mondiale de restituer au Fonds multilatéral la somme de 3</w:t>
      </w:r>
      <w:r w:rsidR="00D96BA4">
        <w:rPr>
          <w:lang w:bidi="hi-IN"/>
        </w:rPr>
        <w:t> </w:t>
      </w:r>
      <w:r w:rsidRPr="00D225DB">
        <w:rPr>
          <w:lang w:bidi="hi-IN"/>
        </w:rPr>
        <w:t>280</w:t>
      </w:r>
      <w:r w:rsidR="00D96BA4">
        <w:rPr>
          <w:lang w:bidi="hi-IN"/>
        </w:rPr>
        <w:t> </w:t>
      </w:r>
      <w:r w:rsidRPr="00D225DB">
        <w:rPr>
          <w:lang w:bidi="hi-IN"/>
        </w:rPr>
        <w:t>455</w:t>
      </w:r>
      <w:r w:rsidR="00D96BA4">
        <w:rPr>
          <w:lang w:bidi="hi-IN"/>
        </w:rPr>
        <w:t> </w:t>
      </w:r>
      <w:r w:rsidRPr="00D225DB">
        <w:rPr>
          <w:lang w:bidi="hi-IN"/>
        </w:rPr>
        <w:t>$US en espèces, représentant le solde des projets achevés ou annulés, les intérêts courus et autres ajustements, qui est supérieure au montant que le Trésorier a pu compenser à partir des projets approuvés pour la Banque mondiale depuis la 83</w:t>
      </w:r>
      <w:r w:rsidRPr="00D225DB">
        <w:rPr>
          <w:vertAlign w:val="superscript"/>
          <w:lang w:bidi="hi-IN"/>
        </w:rPr>
        <w:t>e</w:t>
      </w:r>
      <w:r w:rsidRPr="00D225DB">
        <w:rPr>
          <w:lang w:bidi="hi-IN"/>
        </w:rPr>
        <w:t xml:space="preserve"> réunion</w:t>
      </w:r>
      <w:r w:rsidR="007373EC" w:rsidRPr="00D225DB">
        <w:rPr>
          <w:lang w:bidi="hi-IN"/>
        </w:rPr>
        <w:t>.</w:t>
      </w:r>
    </w:p>
    <w:p w14:paraId="34BE1C55" w14:textId="77777777" w:rsidR="00E85409" w:rsidRPr="00D225DB" w:rsidRDefault="00E85409" w:rsidP="00F21C19"/>
    <w:sectPr w:rsidR="00E85409" w:rsidRPr="00D225DB" w:rsidSect="00896234">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0A11" w14:textId="77777777" w:rsidR="00BB383E" w:rsidRDefault="00BB383E" w:rsidP="004A504B">
      <w:r>
        <w:separator/>
      </w:r>
    </w:p>
  </w:endnote>
  <w:endnote w:type="continuationSeparator" w:id="0">
    <w:p w14:paraId="25F11B08" w14:textId="77777777" w:rsidR="00BB383E" w:rsidRDefault="00BB383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B9E9" w14:textId="5F6D918E" w:rsidR="00D85B9D" w:rsidRPr="0033525D" w:rsidRDefault="00D85B9D">
    <w:pPr>
      <w:jc w:val="center"/>
    </w:pPr>
    <w:r>
      <w:fldChar w:fldCharType="begin"/>
    </w:r>
    <w:r>
      <w:instrText xml:space="preserve"> PAGE </w:instrText>
    </w:r>
    <w:r>
      <w:fldChar w:fldCharType="separate"/>
    </w:r>
    <w:r w:rsidR="00864A69">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32ED" w14:textId="5DC9B4FD" w:rsidR="00D85B9D" w:rsidRPr="0033525D" w:rsidRDefault="00D85B9D">
    <w:pPr>
      <w:jc w:val="center"/>
    </w:pPr>
    <w:r>
      <w:fldChar w:fldCharType="begin"/>
    </w:r>
    <w:r>
      <w:instrText xml:space="preserve"> PAGE </w:instrText>
    </w:r>
    <w:r>
      <w:fldChar w:fldCharType="separate"/>
    </w:r>
    <w:r w:rsidR="00864A69">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097C" w14:textId="77777777" w:rsidR="00EA7A42" w:rsidRPr="007D3F3B" w:rsidRDefault="00EA7A42" w:rsidP="00EA7A42">
    <w:pPr>
      <w:pBdr>
        <w:top w:val="single" w:sz="4" w:space="1" w:color="auto"/>
        <w:left w:val="single" w:sz="4" w:space="4" w:color="auto"/>
        <w:bottom w:val="single" w:sz="4" w:space="1" w:color="auto"/>
        <w:right w:val="single" w:sz="4" w:space="4" w:color="auto"/>
      </w:pBdr>
      <w:jc w:val="center"/>
      <w:rPr>
        <w:rFonts w:cs="MS Serif"/>
        <w:sz w:val="20"/>
      </w:rPr>
    </w:pPr>
    <w:r w:rsidRPr="007D3F3B">
      <w:rPr>
        <w:rFonts w:cs="MS Serif"/>
        <w:sz w:val="20"/>
      </w:rPr>
      <w:t xml:space="preserve">Les documents de présession du Comité exécutif du Fonds multilatéral aux fins d’application du Protocole de </w:t>
    </w:r>
  </w:p>
  <w:p w14:paraId="6007C97A" w14:textId="63828A86" w:rsidR="00D85B9D" w:rsidRPr="007D3F3B" w:rsidRDefault="00EA7A42" w:rsidP="00EA7A42">
    <w:pPr>
      <w:pBdr>
        <w:top w:val="single" w:sz="4" w:space="1" w:color="auto"/>
        <w:left w:val="single" w:sz="4" w:space="4" w:color="auto"/>
        <w:bottom w:val="single" w:sz="4" w:space="1" w:color="auto"/>
        <w:right w:val="single" w:sz="4" w:space="4" w:color="auto"/>
      </w:pBdr>
      <w:jc w:val="center"/>
      <w:rPr>
        <w:sz w:val="18"/>
        <w:szCs w:val="18"/>
      </w:rPr>
    </w:pPr>
    <w:r w:rsidRPr="007D3F3B">
      <w:rPr>
        <w:rFonts w:cs="MS Serif"/>
        <w:sz w:val="20"/>
      </w:rPr>
      <w:t>Montréal sont présentés sous réserve des décisions pouvant être prises par le Comité exécutif après leur publication</w:t>
    </w:r>
    <w:r w:rsidR="00D85B9D" w:rsidRPr="007D3F3B">
      <w:rPr>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B057" w14:textId="77777777" w:rsidR="00BB383E" w:rsidRDefault="00BB383E" w:rsidP="004A504B">
      <w:r>
        <w:separator/>
      </w:r>
    </w:p>
  </w:footnote>
  <w:footnote w:type="continuationSeparator" w:id="0">
    <w:p w14:paraId="4075A708" w14:textId="77777777" w:rsidR="00BB383E" w:rsidRDefault="00BB383E" w:rsidP="004A504B">
      <w:r>
        <w:continuationSeparator/>
      </w:r>
    </w:p>
  </w:footnote>
  <w:footnote w:id="1">
    <w:p w14:paraId="3C3F4424" w14:textId="77ACA2E1" w:rsidR="00E05BA9" w:rsidRPr="00536271" w:rsidRDefault="00E05BA9" w:rsidP="00E05BA9">
      <w:pPr>
        <w:pStyle w:val="FootnoteText"/>
      </w:pPr>
      <w:r w:rsidRPr="00536271">
        <w:rPr>
          <w:rStyle w:val="FootnoteReference"/>
        </w:rPr>
        <w:footnoteRef/>
      </w:r>
      <w:r w:rsidRPr="00536271">
        <w:t xml:space="preserve"> </w:t>
      </w:r>
      <w:r w:rsidR="00366ACA" w:rsidRPr="00536271">
        <w:t>Des réunions en ligne et un processus d'approbation intersession se tiendront en juin et juillet 2021 en raison de la COVID-19</w:t>
      </w:r>
      <w:r w:rsidR="00536271" w:rsidRPr="00536271">
        <w:t>.</w:t>
      </w:r>
    </w:p>
  </w:footnote>
  <w:footnote w:id="2">
    <w:p w14:paraId="7F0E2070" w14:textId="36B544E6" w:rsidR="00E12B2B" w:rsidRDefault="00E12B2B" w:rsidP="00E12B2B">
      <w:pPr>
        <w:pStyle w:val="FootnoteText"/>
      </w:pPr>
      <w:r w:rsidRPr="00536271">
        <w:rPr>
          <w:rStyle w:val="FootnoteReference"/>
        </w:rPr>
        <w:footnoteRef/>
      </w:r>
      <w:r w:rsidRPr="00536271">
        <w:t xml:space="preserve"> </w:t>
      </w:r>
      <w:r w:rsidR="00366ACA" w:rsidRPr="00536271">
        <w:t>Le Comité exécutif a demandé de mettre en ligne sur l'intranet l'explication de la méthodologie et des hypothèses utilisées par le Trésorier (décision 40/2</w:t>
      </w:r>
      <w:r w:rsidR="00536271" w:rsidRPr="00536271">
        <w:t xml:space="preserve"> </w:t>
      </w:r>
      <w:r w:rsidR="00366ACA" w:rsidRPr="00536271">
        <w:t>b)</w:t>
      </w:r>
      <w:r w:rsidR="00536271" w:rsidRPr="00536271">
        <w:t xml:space="preserve"> </w:t>
      </w:r>
      <w:r w:rsidR="00366ACA" w:rsidRPr="00536271">
        <w:t xml:space="preserve">i)). Cet exposé des hypothèses et de la méthodologie publié pour la première fois dans le rapport du Trésorier (document UNEP/OzL.Pro/ExCom/39/3/Rev.1) est toujours </w:t>
      </w:r>
      <w:r w:rsidR="00536271" w:rsidRPr="00536271">
        <w:t>accessible</w:t>
      </w:r>
      <w:r w:rsidR="00366ACA" w:rsidRPr="00536271">
        <w:t xml:space="preserve"> pour consultation par les membres du Comité exécutif sur la zone restreinte du site Web du Fonds multilatéral</w:t>
      </w:r>
      <w:r w:rsidRPr="00536271">
        <w:t>.</w:t>
      </w:r>
    </w:p>
    <w:p w14:paraId="6320FE59" w14:textId="1CFD8E4E" w:rsidR="00864A69" w:rsidRDefault="00864A69" w:rsidP="00E12B2B">
      <w:pPr>
        <w:pStyle w:val="FootnoteText"/>
      </w:pPr>
    </w:p>
    <w:p w14:paraId="46491097" w14:textId="77777777" w:rsidR="00864A69" w:rsidRPr="00536271" w:rsidRDefault="00864A69" w:rsidP="00E12B2B">
      <w:pPr>
        <w:pStyle w:val="FootnoteText"/>
      </w:pPr>
    </w:p>
  </w:footnote>
  <w:footnote w:id="3">
    <w:p w14:paraId="5570A18E" w14:textId="4BA77DC7" w:rsidR="00366ACA" w:rsidRPr="00536271" w:rsidRDefault="00366ACA" w:rsidP="0076226B">
      <w:pPr>
        <w:pStyle w:val="FootnoteText"/>
      </w:pPr>
      <w:r w:rsidRPr="00536271">
        <w:rPr>
          <w:rStyle w:val="FootnoteReference"/>
        </w:rPr>
        <w:footnoteRef/>
      </w:r>
      <w:r w:rsidRPr="00536271">
        <w:t xml:space="preserve"> “</w:t>
      </w:r>
      <w:r w:rsidR="0076226B" w:rsidRPr="00536271">
        <w:t>1. D’adopter, à titre provisoire, le niveau indicatif des contributions pour 2021 des Parties mentionnées dans le tableau A, avant que la Réunion des Parties prenne une décision finale sur un budget révisé du Fonds multilatéral pour la période triennale 2021–2023 ; 2.</w:t>
      </w:r>
      <w:r w:rsidR="0076226B" w:rsidRPr="00536271">
        <w:tab/>
        <w:t xml:space="preserve">De noter que toute contribution versée par des Parties avant une décision finale sur le budget révisé du Fonds multilatéral pour la période triennale 2021–2023 est sans préjudice du montant total de la reconstitution ou du niveau convenu des contributions des Parties </w:t>
      </w:r>
      <w:r w:rsidRPr="00536271">
        <w:t>” (document UNEP/OzL.Pro.ExMOP.4/4)</w:t>
      </w:r>
    </w:p>
  </w:footnote>
  <w:footnote w:id="4">
    <w:p w14:paraId="64685EA5" w14:textId="0D73B036" w:rsidR="007527DF" w:rsidRPr="00536271" w:rsidRDefault="007527DF" w:rsidP="007527DF">
      <w:pPr>
        <w:pStyle w:val="FootnoteText"/>
      </w:pPr>
      <w:r w:rsidRPr="00536271">
        <w:rPr>
          <w:rStyle w:val="FootnoteReference"/>
        </w:rPr>
        <w:footnoteRef/>
      </w:r>
      <w:r w:rsidRPr="00536271">
        <w:t xml:space="preserve"> </w:t>
      </w:r>
      <w:r w:rsidR="0076226B" w:rsidRPr="00536271">
        <w:t xml:space="preserve">Au total, 14 Parties ont choisi d'utiliser le </w:t>
      </w:r>
      <w:r w:rsidR="0076226B" w:rsidRPr="00536271">
        <w:rPr>
          <w:lang w:bidi="hi-IN"/>
        </w:rPr>
        <w:t>mécanisme de taux de change fixe</w:t>
      </w:r>
      <w:r w:rsidR="0076226B" w:rsidRPr="00536271">
        <w:t xml:space="preserve"> pour la période triennale 2018-2020 en application de la décision 81/1 b)</w:t>
      </w:r>
      <w:r w:rsidRPr="00536271">
        <w:rPr>
          <w:lang w:bidi="hi-IN"/>
        </w:rPr>
        <w:t>.</w:t>
      </w:r>
      <w:r w:rsidR="00D96BA4">
        <w:rPr>
          <w:lang w:bidi="hi-IN"/>
        </w:rPr>
        <w:t xml:space="preserve"> </w:t>
      </w:r>
    </w:p>
  </w:footnote>
  <w:footnote w:id="5">
    <w:p w14:paraId="1D4E4EA6" w14:textId="62AB7BE9" w:rsidR="002F0B08" w:rsidRPr="00536271" w:rsidRDefault="002F0B08" w:rsidP="002F0B08">
      <w:pPr>
        <w:pStyle w:val="FootnoteText"/>
      </w:pPr>
      <w:r w:rsidRPr="00536271">
        <w:rPr>
          <w:rStyle w:val="FootnoteReference"/>
        </w:rPr>
        <w:footnoteRef/>
      </w:r>
      <w:r w:rsidRPr="00536271">
        <w:t xml:space="preserve"> </w:t>
      </w:r>
      <w:r w:rsidR="0076226B" w:rsidRPr="00536271">
        <w:t>En réponse aux décisions XI/6 paragraphe 7 (demandant instamment aux Parties de s'efforcer de verser leurs contributions le plus tôt possible dans l'année civile) ; XVII/41 paragraphe 5 (demandant instamment aux Parties de verser leurs contributions au Fonds en totalité et le plus tôt possible) ; et XVI/37 (demandant instamment à certaines Parties qui n'ont jamais versé leurs contributions au Fonds ou qui l'ont fait pour un montant inférieur à leur contribution de le faire le plus tôt possible)</w:t>
      </w:r>
      <w:r w:rsidRPr="00536271">
        <w:t>.</w:t>
      </w:r>
    </w:p>
  </w:footnote>
  <w:footnote w:id="6">
    <w:p w14:paraId="306D290C" w14:textId="4C4B8633" w:rsidR="002F0B08" w:rsidRPr="00536271" w:rsidRDefault="002F0B08" w:rsidP="002F0B08">
      <w:pPr>
        <w:pStyle w:val="FootnoteText"/>
      </w:pPr>
      <w:r w:rsidRPr="00536271">
        <w:rPr>
          <w:rStyle w:val="FootnoteReference"/>
        </w:rPr>
        <w:footnoteRef/>
      </w:r>
      <w:r w:rsidRPr="00536271">
        <w:t xml:space="preserve"> </w:t>
      </w:r>
      <w:r w:rsidR="004A73C3" w:rsidRPr="00536271">
        <w:t>Demander au Chef de secrétariat et au Trésorier de continuer à suivre le cas des Parties dont les contributions sont impayées depuis une période triennale ou plus et d'en rendre compte lors de la 87</w:t>
      </w:r>
      <w:r w:rsidR="004A73C3" w:rsidRPr="00536271">
        <w:rPr>
          <w:vertAlign w:val="superscript"/>
        </w:rPr>
        <w:t xml:space="preserve">e </w:t>
      </w:r>
      <w:r w:rsidR="004A73C3" w:rsidRPr="00536271">
        <w:t>réunion</w:t>
      </w:r>
      <w:r w:rsidRPr="00536271">
        <w:t>.</w:t>
      </w:r>
    </w:p>
  </w:footnote>
  <w:footnote w:id="7">
    <w:p w14:paraId="5DEFCF3B" w14:textId="77777777" w:rsidR="004A73C3" w:rsidRPr="00536271" w:rsidRDefault="00F51838" w:rsidP="004A73C3">
      <w:pPr>
        <w:pStyle w:val="FootnoteText"/>
        <w:rPr>
          <w:lang w:bidi="hi-IN"/>
        </w:rPr>
      </w:pPr>
      <w:r w:rsidRPr="00536271">
        <w:rPr>
          <w:rStyle w:val="FootnoteReference"/>
        </w:rPr>
        <w:footnoteRef/>
      </w:r>
      <w:r w:rsidRPr="00536271">
        <w:t xml:space="preserve"> </w:t>
      </w:r>
      <w:r w:rsidR="004A73C3" w:rsidRPr="00536271">
        <w:rPr>
          <w:lang w:bidi="hi-IN"/>
        </w:rPr>
        <w:t>Demander au Trésorier, en coopération avec le secrétariat, de finaliser l'exercice de rapprochement des contributions bilatérales du Canada, de la Finlande, de la France, du Portugal et de l'Espagne, et de faire rapport à la 87</w:t>
      </w:r>
      <w:r w:rsidR="004A73C3" w:rsidRPr="00D96BA4">
        <w:rPr>
          <w:vertAlign w:val="superscript"/>
          <w:lang w:bidi="hi-IN"/>
        </w:rPr>
        <w:t>e</w:t>
      </w:r>
      <w:r w:rsidR="004A73C3" w:rsidRPr="00536271">
        <w:rPr>
          <w:lang w:bidi="hi-IN"/>
        </w:rPr>
        <w:t xml:space="preserve"> réunion.</w:t>
      </w:r>
    </w:p>
    <w:p w14:paraId="2982C808" w14:textId="698335C7" w:rsidR="00F51838" w:rsidRPr="00536271" w:rsidRDefault="004A73C3" w:rsidP="004A73C3">
      <w:pPr>
        <w:pStyle w:val="FootnoteText"/>
      </w:pPr>
      <w:r w:rsidRPr="00536271">
        <w:rPr>
          <w:lang w:bidi="hi-IN"/>
        </w:rPr>
        <w:t>Demander au Trésorier, en coopération avec le secrétariat, de finaliser l'exercice de réconciliation pour les contributions bilatérales du Canada, de la Finlande, de la France, du Portugal et de l'Espagne, et de faire rapport à la 87</w:t>
      </w:r>
      <w:r w:rsidRPr="00536271">
        <w:rPr>
          <w:vertAlign w:val="superscript"/>
          <w:lang w:bidi="hi-IN"/>
        </w:rPr>
        <w:t>e</w:t>
      </w:r>
      <w:r w:rsidRPr="00536271">
        <w:rPr>
          <w:lang w:bidi="hi-IN"/>
        </w:rPr>
        <w:t xml:space="preserve"> réunion</w:t>
      </w:r>
      <w:r w:rsidR="00F51838" w:rsidRPr="00536271">
        <w:rPr>
          <w:lang w:bidi="hi-IN"/>
        </w:rPr>
        <w:t>.</w:t>
      </w:r>
    </w:p>
  </w:footnote>
  <w:footnote w:id="8">
    <w:p w14:paraId="21A00D85" w14:textId="6FC19FD2" w:rsidR="006744E1" w:rsidRPr="00536271" w:rsidRDefault="006744E1">
      <w:pPr>
        <w:pStyle w:val="FootnoteText"/>
      </w:pPr>
      <w:r w:rsidRPr="00536271">
        <w:rPr>
          <w:rStyle w:val="FootnoteReference"/>
        </w:rPr>
        <w:footnoteRef/>
      </w:r>
      <w:r w:rsidRPr="00536271">
        <w:t xml:space="preserve"> </w:t>
      </w:r>
      <w:r w:rsidR="004A73C3" w:rsidRPr="00536271">
        <w:t>Canada ( 5 152 $US), France ( 910 665 $US), Portugal ( 192 $US) et Espagne ( 3 688 $US)</w:t>
      </w:r>
      <w:r w:rsidRPr="00536271">
        <w:t>.</w:t>
      </w:r>
    </w:p>
  </w:footnote>
  <w:footnote w:id="9">
    <w:p w14:paraId="33D0EC3E" w14:textId="06D0A5C2" w:rsidR="007527DF" w:rsidRPr="00536271" w:rsidRDefault="007527DF" w:rsidP="007527DF">
      <w:pPr>
        <w:pStyle w:val="FootnoteText"/>
      </w:pPr>
      <w:r w:rsidRPr="00536271">
        <w:rPr>
          <w:rStyle w:val="FootnoteReference"/>
        </w:rPr>
        <w:footnoteRef/>
      </w:r>
      <w:r w:rsidRPr="00536271">
        <w:t xml:space="preserve"> Finlande, pour un montant de</w:t>
      </w:r>
      <w:r w:rsidR="00D96BA4">
        <w:t xml:space="preserve"> </w:t>
      </w:r>
      <w:r w:rsidRPr="00536271">
        <w:t>76 855</w:t>
      </w:r>
      <w:r w:rsidR="00D96BA4" w:rsidRPr="00536271">
        <w:t xml:space="preserve"> $</w:t>
      </w:r>
      <w:r w:rsidRPr="00536271">
        <w:t>US</w:t>
      </w:r>
      <w:r w:rsidRPr="00536271">
        <w:rPr>
          <w:lang w:bidi="hi-I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48EC" w14:textId="79E43162" w:rsidR="00D85B9D" w:rsidRPr="0033525D" w:rsidRDefault="00262073">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w:t>
    </w:r>
    <w:r>
      <w:fldChar w:fldCharType="end"/>
    </w:r>
  </w:p>
  <w:p w14:paraId="7D1F68C9" w14:textId="77777777" w:rsidR="00D85B9D" w:rsidRPr="0033525D" w:rsidRDefault="00D85B9D"/>
  <w:p w14:paraId="3903EC2B" w14:textId="77777777" w:rsidR="00D85B9D" w:rsidRPr="0033525D" w:rsidRDefault="00D85B9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5A49" w14:textId="590F871B" w:rsidR="00D85B9D" w:rsidRPr="0033525D" w:rsidRDefault="00864A69">
    <w:pPr>
      <w:jc w:val="right"/>
    </w:pPr>
    <w:r>
      <w:fldChar w:fldCharType="begin"/>
    </w:r>
    <w:r>
      <w:instrText xml:space="preserve"> DOCPROPERTY "Document number"  \* MERGEFORMAT </w:instrText>
    </w:r>
    <w:r>
      <w:fldChar w:fldCharType="separate"/>
    </w:r>
    <w:r w:rsidR="00262073">
      <w:t>UNEP/OzL.Pro/ExCom/87/3</w:t>
    </w:r>
    <w:r>
      <w:fldChar w:fldCharType="end"/>
    </w:r>
  </w:p>
  <w:p w14:paraId="07D35EFE" w14:textId="77777777" w:rsidR="00D85B9D" w:rsidRPr="0033525D" w:rsidRDefault="00D85B9D"/>
  <w:p w14:paraId="52EFD9CA" w14:textId="77777777" w:rsidR="00D85B9D" w:rsidRPr="0033525D" w:rsidRDefault="00D85B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6C469C0"/>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1" w15:restartNumberingAfterBreak="0">
    <w:nsid w:val="122E108D"/>
    <w:multiLevelType w:val="hybridMultilevel"/>
    <w:tmpl w:val="A40AA72A"/>
    <w:lvl w:ilvl="0" w:tplc="49F21CC8">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8357DC"/>
    <w:multiLevelType w:val="hybridMultilevel"/>
    <w:tmpl w:val="2FEE364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259628F9"/>
    <w:multiLevelType w:val="multilevel"/>
    <w:tmpl w:val="A288E45A"/>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2A214C2"/>
    <w:multiLevelType w:val="hybridMultilevel"/>
    <w:tmpl w:val="2FEE364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C645047"/>
    <w:multiLevelType w:val="hybridMultilevel"/>
    <w:tmpl w:val="D0EEC70E"/>
    <w:lvl w:ilvl="0" w:tplc="8530234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9C4769"/>
    <w:multiLevelType w:val="hybridMultilevel"/>
    <w:tmpl w:val="D37E07A8"/>
    <w:lvl w:ilvl="0" w:tplc="10090001">
      <w:start w:val="1"/>
      <w:numFmt w:val="bullet"/>
      <w:lvlText w:val=""/>
      <w:lvlJc w:val="left"/>
      <w:pPr>
        <w:tabs>
          <w:tab w:val="num" w:pos="2500"/>
        </w:tabs>
        <w:ind w:left="2500" w:hanging="900"/>
      </w:pPr>
      <w:rPr>
        <w:rFonts w:ascii="Symbol" w:hAnsi="Symbol"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9F6097D"/>
    <w:multiLevelType w:val="hybridMultilevel"/>
    <w:tmpl w:val="699261EC"/>
    <w:lvl w:ilvl="0" w:tplc="20000017">
      <w:start w:val="1"/>
      <w:numFmt w:val="lowerLetter"/>
      <w:lvlText w:val="%1)"/>
      <w:lvlJc w:val="left"/>
      <w:pPr>
        <w:ind w:left="731" w:hanging="360"/>
      </w:pPr>
    </w:lvl>
    <w:lvl w:ilvl="1" w:tplc="20000019" w:tentative="1">
      <w:start w:val="1"/>
      <w:numFmt w:val="lowerLetter"/>
      <w:lvlText w:val="%2."/>
      <w:lvlJc w:val="left"/>
      <w:pPr>
        <w:ind w:left="1451" w:hanging="360"/>
      </w:pPr>
    </w:lvl>
    <w:lvl w:ilvl="2" w:tplc="2000001B">
      <w:start w:val="1"/>
      <w:numFmt w:val="lowerRoman"/>
      <w:lvlText w:val="%3."/>
      <w:lvlJc w:val="right"/>
      <w:pPr>
        <w:ind w:left="2171" w:hanging="180"/>
      </w:pPr>
    </w:lvl>
    <w:lvl w:ilvl="3" w:tplc="2000000F" w:tentative="1">
      <w:start w:val="1"/>
      <w:numFmt w:val="decimal"/>
      <w:lvlText w:val="%4."/>
      <w:lvlJc w:val="left"/>
      <w:pPr>
        <w:ind w:left="2891" w:hanging="360"/>
      </w:pPr>
    </w:lvl>
    <w:lvl w:ilvl="4" w:tplc="20000019" w:tentative="1">
      <w:start w:val="1"/>
      <w:numFmt w:val="lowerLetter"/>
      <w:lvlText w:val="%5."/>
      <w:lvlJc w:val="left"/>
      <w:pPr>
        <w:ind w:left="3611" w:hanging="360"/>
      </w:pPr>
    </w:lvl>
    <w:lvl w:ilvl="5" w:tplc="2000001B" w:tentative="1">
      <w:start w:val="1"/>
      <w:numFmt w:val="lowerRoman"/>
      <w:lvlText w:val="%6."/>
      <w:lvlJc w:val="right"/>
      <w:pPr>
        <w:ind w:left="4331" w:hanging="180"/>
      </w:pPr>
    </w:lvl>
    <w:lvl w:ilvl="6" w:tplc="2000000F" w:tentative="1">
      <w:start w:val="1"/>
      <w:numFmt w:val="decimal"/>
      <w:lvlText w:val="%7."/>
      <w:lvlJc w:val="left"/>
      <w:pPr>
        <w:ind w:left="5051" w:hanging="360"/>
      </w:pPr>
    </w:lvl>
    <w:lvl w:ilvl="7" w:tplc="20000019" w:tentative="1">
      <w:start w:val="1"/>
      <w:numFmt w:val="lowerLetter"/>
      <w:lvlText w:val="%8."/>
      <w:lvlJc w:val="left"/>
      <w:pPr>
        <w:ind w:left="5771" w:hanging="360"/>
      </w:pPr>
    </w:lvl>
    <w:lvl w:ilvl="8" w:tplc="2000001B" w:tentative="1">
      <w:start w:val="1"/>
      <w:numFmt w:val="lowerRoman"/>
      <w:lvlText w:val="%9."/>
      <w:lvlJc w:val="right"/>
      <w:pPr>
        <w:ind w:left="6491" w:hanging="180"/>
      </w:pPr>
    </w:lvl>
  </w:abstractNum>
  <w:abstractNum w:abstractNumId="22" w15:restartNumberingAfterBreak="0">
    <w:nsid w:val="67834FCD"/>
    <w:multiLevelType w:val="hybridMultilevel"/>
    <w:tmpl w:val="1F1C0114"/>
    <w:lvl w:ilvl="0" w:tplc="64B6136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5E807F6"/>
    <w:multiLevelType w:val="hybridMultilevel"/>
    <w:tmpl w:val="F3CA42F4"/>
    <w:lvl w:ilvl="0" w:tplc="744E3FF0">
      <w:start w:val="1"/>
      <w:numFmt w:val="decimal"/>
      <w:lvlText w:val="%1."/>
      <w:lvlJc w:val="left"/>
      <w:pPr>
        <w:ind w:left="786" w:hanging="360"/>
      </w:pPr>
      <w:rPr>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20"/>
  </w:num>
  <w:num w:numId="19">
    <w:abstractNumId w:val="24"/>
  </w:num>
  <w:num w:numId="20">
    <w:abstractNumId w:val="15"/>
  </w:num>
  <w:num w:numId="21">
    <w:abstractNumId w:val="19"/>
  </w:num>
  <w:num w:numId="22">
    <w:abstractNumId w:val="23"/>
  </w:num>
  <w:num w:numId="23">
    <w:abstractNumId w:val="21"/>
  </w:num>
  <w:num w:numId="24">
    <w:abstractNumId w:val="11"/>
  </w:num>
  <w:num w:numId="25">
    <w:abstractNumId w:val="16"/>
  </w:num>
  <w:num w:numId="26">
    <w:abstractNumId w:val="12"/>
  </w:num>
  <w:num w:numId="27">
    <w:abstractNumId w:val="17"/>
  </w:num>
  <w:num w:numId="28">
    <w:abstractNumId w:val="22"/>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013895"/>
    <w:rsid w:val="00000FED"/>
    <w:rsid w:val="00001E17"/>
    <w:rsid w:val="0000434E"/>
    <w:rsid w:val="00013895"/>
    <w:rsid w:val="0002044E"/>
    <w:rsid w:val="000211A9"/>
    <w:rsid w:val="00031260"/>
    <w:rsid w:val="00035A9F"/>
    <w:rsid w:val="00035AC9"/>
    <w:rsid w:val="0003681A"/>
    <w:rsid w:val="000372B7"/>
    <w:rsid w:val="00037B6F"/>
    <w:rsid w:val="00050F6E"/>
    <w:rsid w:val="00052C22"/>
    <w:rsid w:val="00056A60"/>
    <w:rsid w:val="00057463"/>
    <w:rsid w:val="00061EC2"/>
    <w:rsid w:val="000658D2"/>
    <w:rsid w:val="00066528"/>
    <w:rsid w:val="00080CFE"/>
    <w:rsid w:val="00080ED0"/>
    <w:rsid w:val="00085B8F"/>
    <w:rsid w:val="00087E54"/>
    <w:rsid w:val="00090481"/>
    <w:rsid w:val="00097782"/>
    <w:rsid w:val="000A130C"/>
    <w:rsid w:val="000A3826"/>
    <w:rsid w:val="000A6C26"/>
    <w:rsid w:val="000B650E"/>
    <w:rsid w:val="000C0F3E"/>
    <w:rsid w:val="000D186B"/>
    <w:rsid w:val="000D52A4"/>
    <w:rsid w:val="000E07BC"/>
    <w:rsid w:val="000F1CD4"/>
    <w:rsid w:val="000F4103"/>
    <w:rsid w:val="000F45C9"/>
    <w:rsid w:val="000F70A7"/>
    <w:rsid w:val="000F7EE5"/>
    <w:rsid w:val="00112D2B"/>
    <w:rsid w:val="00113CCA"/>
    <w:rsid w:val="0012119A"/>
    <w:rsid w:val="00122F25"/>
    <w:rsid w:val="00125742"/>
    <w:rsid w:val="00135980"/>
    <w:rsid w:val="00164719"/>
    <w:rsid w:val="00164CAC"/>
    <w:rsid w:val="00166829"/>
    <w:rsid w:val="00166FC4"/>
    <w:rsid w:val="001677AC"/>
    <w:rsid w:val="00174283"/>
    <w:rsid w:val="0017437D"/>
    <w:rsid w:val="00177BE8"/>
    <w:rsid w:val="001804EA"/>
    <w:rsid w:val="00184D2B"/>
    <w:rsid w:val="00187695"/>
    <w:rsid w:val="00190A61"/>
    <w:rsid w:val="00196733"/>
    <w:rsid w:val="001A3342"/>
    <w:rsid w:val="001A39A3"/>
    <w:rsid w:val="001A3E3D"/>
    <w:rsid w:val="001A63E9"/>
    <w:rsid w:val="001A7049"/>
    <w:rsid w:val="001B1E40"/>
    <w:rsid w:val="001B1FF1"/>
    <w:rsid w:val="001B518C"/>
    <w:rsid w:val="001B70F9"/>
    <w:rsid w:val="001C764E"/>
    <w:rsid w:val="001C7ADE"/>
    <w:rsid w:val="001D01FF"/>
    <w:rsid w:val="001D262F"/>
    <w:rsid w:val="001E1052"/>
    <w:rsid w:val="001E21B1"/>
    <w:rsid w:val="001E2F93"/>
    <w:rsid w:val="001E4554"/>
    <w:rsid w:val="001E61E5"/>
    <w:rsid w:val="001F107A"/>
    <w:rsid w:val="001F2159"/>
    <w:rsid w:val="00210B8B"/>
    <w:rsid w:val="00214863"/>
    <w:rsid w:val="002156B4"/>
    <w:rsid w:val="00224FCD"/>
    <w:rsid w:val="0024331F"/>
    <w:rsid w:val="002466BA"/>
    <w:rsid w:val="00253222"/>
    <w:rsid w:val="0026023E"/>
    <w:rsid w:val="00262073"/>
    <w:rsid w:val="00262847"/>
    <w:rsid w:val="00263E27"/>
    <w:rsid w:val="00281BB2"/>
    <w:rsid w:val="002A63D8"/>
    <w:rsid w:val="002B1857"/>
    <w:rsid w:val="002B254E"/>
    <w:rsid w:val="002B72E9"/>
    <w:rsid w:val="002C7998"/>
    <w:rsid w:val="002C7DB4"/>
    <w:rsid w:val="002D5074"/>
    <w:rsid w:val="002D7EB3"/>
    <w:rsid w:val="002E2A65"/>
    <w:rsid w:val="002F0B08"/>
    <w:rsid w:val="002F1E53"/>
    <w:rsid w:val="002F2CAA"/>
    <w:rsid w:val="002F3BBF"/>
    <w:rsid w:val="0030052C"/>
    <w:rsid w:val="00301473"/>
    <w:rsid w:val="00322AA6"/>
    <w:rsid w:val="003306E1"/>
    <w:rsid w:val="003320E4"/>
    <w:rsid w:val="0033525D"/>
    <w:rsid w:val="003414F3"/>
    <w:rsid w:val="0035613E"/>
    <w:rsid w:val="00363EE9"/>
    <w:rsid w:val="00365A9C"/>
    <w:rsid w:val="00366ACA"/>
    <w:rsid w:val="00372BEA"/>
    <w:rsid w:val="00374F50"/>
    <w:rsid w:val="00376128"/>
    <w:rsid w:val="0037742E"/>
    <w:rsid w:val="00377D56"/>
    <w:rsid w:val="0038245A"/>
    <w:rsid w:val="003840E6"/>
    <w:rsid w:val="00385CFC"/>
    <w:rsid w:val="0039337A"/>
    <w:rsid w:val="003A3189"/>
    <w:rsid w:val="003A3CA7"/>
    <w:rsid w:val="003B33BD"/>
    <w:rsid w:val="003B569D"/>
    <w:rsid w:val="003C3C0E"/>
    <w:rsid w:val="003C4632"/>
    <w:rsid w:val="003D04B6"/>
    <w:rsid w:val="003D42A6"/>
    <w:rsid w:val="003D4F21"/>
    <w:rsid w:val="003D4FAC"/>
    <w:rsid w:val="003D6F17"/>
    <w:rsid w:val="003E3B19"/>
    <w:rsid w:val="003E7906"/>
    <w:rsid w:val="003F0DD7"/>
    <w:rsid w:val="003F3C50"/>
    <w:rsid w:val="003F43AE"/>
    <w:rsid w:val="00406A6A"/>
    <w:rsid w:val="00406B22"/>
    <w:rsid w:val="0041008E"/>
    <w:rsid w:val="004111DF"/>
    <w:rsid w:val="004215A9"/>
    <w:rsid w:val="0042160C"/>
    <w:rsid w:val="004328A7"/>
    <w:rsid w:val="00434C74"/>
    <w:rsid w:val="00445002"/>
    <w:rsid w:val="00450E89"/>
    <w:rsid w:val="00456EB4"/>
    <w:rsid w:val="004616D2"/>
    <w:rsid w:val="0046206F"/>
    <w:rsid w:val="00467179"/>
    <w:rsid w:val="004718F3"/>
    <w:rsid w:val="00475040"/>
    <w:rsid w:val="00481CEF"/>
    <w:rsid w:val="00493D40"/>
    <w:rsid w:val="004967B6"/>
    <w:rsid w:val="00497749"/>
    <w:rsid w:val="004A2873"/>
    <w:rsid w:val="004A3E56"/>
    <w:rsid w:val="004A504B"/>
    <w:rsid w:val="004A6911"/>
    <w:rsid w:val="004A73C3"/>
    <w:rsid w:val="004A7C70"/>
    <w:rsid w:val="004B54E0"/>
    <w:rsid w:val="004B7384"/>
    <w:rsid w:val="004B7535"/>
    <w:rsid w:val="004C4269"/>
    <w:rsid w:val="004D6236"/>
    <w:rsid w:val="004D7F90"/>
    <w:rsid w:val="004E3449"/>
    <w:rsid w:val="004E4DBB"/>
    <w:rsid w:val="004E4E41"/>
    <w:rsid w:val="004E5E04"/>
    <w:rsid w:val="004E7C9B"/>
    <w:rsid w:val="004E7F9C"/>
    <w:rsid w:val="004F1706"/>
    <w:rsid w:val="004F3493"/>
    <w:rsid w:val="004F5143"/>
    <w:rsid w:val="00512B09"/>
    <w:rsid w:val="00517D14"/>
    <w:rsid w:val="005220ED"/>
    <w:rsid w:val="00523AE9"/>
    <w:rsid w:val="00533796"/>
    <w:rsid w:val="00536271"/>
    <w:rsid w:val="00537343"/>
    <w:rsid w:val="00553090"/>
    <w:rsid w:val="005533E8"/>
    <w:rsid w:val="00555D75"/>
    <w:rsid w:val="00560DF0"/>
    <w:rsid w:val="00562BDD"/>
    <w:rsid w:val="0056759C"/>
    <w:rsid w:val="00586B77"/>
    <w:rsid w:val="00591BC6"/>
    <w:rsid w:val="0059513E"/>
    <w:rsid w:val="005A6D9F"/>
    <w:rsid w:val="005B3370"/>
    <w:rsid w:val="005B48FF"/>
    <w:rsid w:val="005B4C36"/>
    <w:rsid w:val="005C2943"/>
    <w:rsid w:val="005C5F29"/>
    <w:rsid w:val="005D1390"/>
    <w:rsid w:val="005D363F"/>
    <w:rsid w:val="00603CA9"/>
    <w:rsid w:val="00604C15"/>
    <w:rsid w:val="006070F2"/>
    <w:rsid w:val="00611459"/>
    <w:rsid w:val="006132F8"/>
    <w:rsid w:val="006158D5"/>
    <w:rsid w:val="00625D83"/>
    <w:rsid w:val="00634A7A"/>
    <w:rsid w:val="00643E3C"/>
    <w:rsid w:val="006447A0"/>
    <w:rsid w:val="00653A0D"/>
    <w:rsid w:val="006623E7"/>
    <w:rsid w:val="00662B80"/>
    <w:rsid w:val="00663E61"/>
    <w:rsid w:val="0066602E"/>
    <w:rsid w:val="00670F6C"/>
    <w:rsid w:val="006744E1"/>
    <w:rsid w:val="00681E33"/>
    <w:rsid w:val="006852C7"/>
    <w:rsid w:val="006852CE"/>
    <w:rsid w:val="00691B41"/>
    <w:rsid w:val="00692D14"/>
    <w:rsid w:val="0069427F"/>
    <w:rsid w:val="006B65C7"/>
    <w:rsid w:val="006C1727"/>
    <w:rsid w:val="006C32FD"/>
    <w:rsid w:val="006C39CE"/>
    <w:rsid w:val="006C420F"/>
    <w:rsid w:val="006D0FCC"/>
    <w:rsid w:val="006D21F5"/>
    <w:rsid w:val="006E126D"/>
    <w:rsid w:val="006E1FC3"/>
    <w:rsid w:val="006F113E"/>
    <w:rsid w:val="006F5A56"/>
    <w:rsid w:val="00704CE9"/>
    <w:rsid w:val="0070616B"/>
    <w:rsid w:val="00706295"/>
    <w:rsid w:val="00706FDA"/>
    <w:rsid w:val="00711F9A"/>
    <w:rsid w:val="00713810"/>
    <w:rsid w:val="0072426A"/>
    <w:rsid w:val="007303A5"/>
    <w:rsid w:val="00730B3E"/>
    <w:rsid w:val="0073420B"/>
    <w:rsid w:val="007373EC"/>
    <w:rsid w:val="0074760E"/>
    <w:rsid w:val="007527DF"/>
    <w:rsid w:val="00754ABA"/>
    <w:rsid w:val="00756179"/>
    <w:rsid w:val="0076226B"/>
    <w:rsid w:val="00762AC7"/>
    <w:rsid w:val="007747EB"/>
    <w:rsid w:val="00787C97"/>
    <w:rsid w:val="00793148"/>
    <w:rsid w:val="007A1546"/>
    <w:rsid w:val="007A228C"/>
    <w:rsid w:val="007A368E"/>
    <w:rsid w:val="007A5868"/>
    <w:rsid w:val="007B04CE"/>
    <w:rsid w:val="007B6871"/>
    <w:rsid w:val="007B7A2F"/>
    <w:rsid w:val="007C2DDC"/>
    <w:rsid w:val="007C36F2"/>
    <w:rsid w:val="007C3D33"/>
    <w:rsid w:val="007D1135"/>
    <w:rsid w:val="007D294A"/>
    <w:rsid w:val="007D3F3B"/>
    <w:rsid w:val="007D47D2"/>
    <w:rsid w:val="007D48BC"/>
    <w:rsid w:val="007D6EC0"/>
    <w:rsid w:val="007D7E1D"/>
    <w:rsid w:val="00806402"/>
    <w:rsid w:val="0081798A"/>
    <w:rsid w:val="00831979"/>
    <w:rsid w:val="008328A3"/>
    <w:rsid w:val="00833224"/>
    <w:rsid w:val="0083616A"/>
    <w:rsid w:val="00844F06"/>
    <w:rsid w:val="008512A8"/>
    <w:rsid w:val="00851352"/>
    <w:rsid w:val="00857077"/>
    <w:rsid w:val="00863230"/>
    <w:rsid w:val="00864A69"/>
    <w:rsid w:val="00865BD0"/>
    <w:rsid w:val="00866690"/>
    <w:rsid w:val="008717D8"/>
    <w:rsid w:val="0087215C"/>
    <w:rsid w:val="00875D25"/>
    <w:rsid w:val="00880E35"/>
    <w:rsid w:val="008875FE"/>
    <w:rsid w:val="00887F8E"/>
    <w:rsid w:val="00896234"/>
    <w:rsid w:val="00897E43"/>
    <w:rsid w:val="008A0A1D"/>
    <w:rsid w:val="008A71AC"/>
    <w:rsid w:val="008C24DF"/>
    <w:rsid w:val="008C2CE8"/>
    <w:rsid w:val="008C5738"/>
    <w:rsid w:val="008C7EAD"/>
    <w:rsid w:val="008D0CFE"/>
    <w:rsid w:val="008D6152"/>
    <w:rsid w:val="008E1C8A"/>
    <w:rsid w:val="008F0F81"/>
    <w:rsid w:val="008F27BF"/>
    <w:rsid w:val="008F6B3C"/>
    <w:rsid w:val="0090311E"/>
    <w:rsid w:val="009142EC"/>
    <w:rsid w:val="009154C3"/>
    <w:rsid w:val="00923540"/>
    <w:rsid w:val="00923D7E"/>
    <w:rsid w:val="00926767"/>
    <w:rsid w:val="009361D5"/>
    <w:rsid w:val="009428A4"/>
    <w:rsid w:val="00944CDE"/>
    <w:rsid w:val="00956DDA"/>
    <w:rsid w:val="009659F4"/>
    <w:rsid w:val="00970D60"/>
    <w:rsid w:val="0099390E"/>
    <w:rsid w:val="009960E5"/>
    <w:rsid w:val="00997EA4"/>
    <w:rsid w:val="009A7ADC"/>
    <w:rsid w:val="009C19B7"/>
    <w:rsid w:val="009C5ABB"/>
    <w:rsid w:val="009D7C51"/>
    <w:rsid w:val="009E196C"/>
    <w:rsid w:val="009E2B98"/>
    <w:rsid w:val="009E39E1"/>
    <w:rsid w:val="009E6211"/>
    <w:rsid w:val="009F36BF"/>
    <w:rsid w:val="00A07F20"/>
    <w:rsid w:val="00A111B6"/>
    <w:rsid w:val="00A22251"/>
    <w:rsid w:val="00A24CBC"/>
    <w:rsid w:val="00A26D27"/>
    <w:rsid w:val="00A376EE"/>
    <w:rsid w:val="00A424D3"/>
    <w:rsid w:val="00A42A99"/>
    <w:rsid w:val="00A42DF6"/>
    <w:rsid w:val="00A5151A"/>
    <w:rsid w:val="00A5342C"/>
    <w:rsid w:val="00A56858"/>
    <w:rsid w:val="00A57E0A"/>
    <w:rsid w:val="00A80FD2"/>
    <w:rsid w:val="00A81FD9"/>
    <w:rsid w:val="00A823F6"/>
    <w:rsid w:val="00A8719E"/>
    <w:rsid w:val="00A913A0"/>
    <w:rsid w:val="00AA0A89"/>
    <w:rsid w:val="00AA2768"/>
    <w:rsid w:val="00AA6429"/>
    <w:rsid w:val="00AC01AA"/>
    <w:rsid w:val="00AC0F3D"/>
    <w:rsid w:val="00AC4F72"/>
    <w:rsid w:val="00AC7834"/>
    <w:rsid w:val="00AD34F3"/>
    <w:rsid w:val="00AE67DE"/>
    <w:rsid w:val="00AF14CC"/>
    <w:rsid w:val="00AF741A"/>
    <w:rsid w:val="00B01ADB"/>
    <w:rsid w:val="00B04161"/>
    <w:rsid w:val="00B056F9"/>
    <w:rsid w:val="00B072B1"/>
    <w:rsid w:val="00B11E3D"/>
    <w:rsid w:val="00B135D1"/>
    <w:rsid w:val="00B145C2"/>
    <w:rsid w:val="00B17E82"/>
    <w:rsid w:val="00B24EFA"/>
    <w:rsid w:val="00B35713"/>
    <w:rsid w:val="00B370C3"/>
    <w:rsid w:val="00B4575A"/>
    <w:rsid w:val="00B5314D"/>
    <w:rsid w:val="00B5578B"/>
    <w:rsid w:val="00B575BA"/>
    <w:rsid w:val="00B71608"/>
    <w:rsid w:val="00B76429"/>
    <w:rsid w:val="00B94A7F"/>
    <w:rsid w:val="00B956D4"/>
    <w:rsid w:val="00B971F6"/>
    <w:rsid w:val="00B97446"/>
    <w:rsid w:val="00BA29F0"/>
    <w:rsid w:val="00BA7432"/>
    <w:rsid w:val="00BB2764"/>
    <w:rsid w:val="00BB3456"/>
    <w:rsid w:val="00BB383E"/>
    <w:rsid w:val="00BC1AA0"/>
    <w:rsid w:val="00BC2495"/>
    <w:rsid w:val="00BC2CF5"/>
    <w:rsid w:val="00BC7EB9"/>
    <w:rsid w:val="00BD0924"/>
    <w:rsid w:val="00BD2643"/>
    <w:rsid w:val="00BD56B1"/>
    <w:rsid w:val="00BD6558"/>
    <w:rsid w:val="00BD6AA5"/>
    <w:rsid w:val="00BF2F76"/>
    <w:rsid w:val="00BF3022"/>
    <w:rsid w:val="00BF3214"/>
    <w:rsid w:val="00BF53B8"/>
    <w:rsid w:val="00BF5573"/>
    <w:rsid w:val="00BF7081"/>
    <w:rsid w:val="00C00DBD"/>
    <w:rsid w:val="00C15867"/>
    <w:rsid w:val="00C2296D"/>
    <w:rsid w:val="00C23155"/>
    <w:rsid w:val="00C27567"/>
    <w:rsid w:val="00C32894"/>
    <w:rsid w:val="00C40C41"/>
    <w:rsid w:val="00C43041"/>
    <w:rsid w:val="00C45885"/>
    <w:rsid w:val="00C45C0C"/>
    <w:rsid w:val="00C50F22"/>
    <w:rsid w:val="00C525DD"/>
    <w:rsid w:val="00C55FEA"/>
    <w:rsid w:val="00C57971"/>
    <w:rsid w:val="00C60F22"/>
    <w:rsid w:val="00C62080"/>
    <w:rsid w:val="00C65BD7"/>
    <w:rsid w:val="00C75D02"/>
    <w:rsid w:val="00C76BA4"/>
    <w:rsid w:val="00C83A48"/>
    <w:rsid w:val="00C85155"/>
    <w:rsid w:val="00C85865"/>
    <w:rsid w:val="00C85E85"/>
    <w:rsid w:val="00C866D2"/>
    <w:rsid w:val="00C9520F"/>
    <w:rsid w:val="00CA2EAE"/>
    <w:rsid w:val="00CA4AC1"/>
    <w:rsid w:val="00CB0316"/>
    <w:rsid w:val="00CB0B11"/>
    <w:rsid w:val="00CB426A"/>
    <w:rsid w:val="00CB5354"/>
    <w:rsid w:val="00CC3C9E"/>
    <w:rsid w:val="00CC6A14"/>
    <w:rsid w:val="00CC70A3"/>
    <w:rsid w:val="00CD0F2D"/>
    <w:rsid w:val="00CD4442"/>
    <w:rsid w:val="00CD53C3"/>
    <w:rsid w:val="00CD574E"/>
    <w:rsid w:val="00CE3A4C"/>
    <w:rsid w:val="00CE3A99"/>
    <w:rsid w:val="00CE4C22"/>
    <w:rsid w:val="00CE70D2"/>
    <w:rsid w:val="00CF41EC"/>
    <w:rsid w:val="00CF5D04"/>
    <w:rsid w:val="00CF70E5"/>
    <w:rsid w:val="00D04DE4"/>
    <w:rsid w:val="00D063F1"/>
    <w:rsid w:val="00D117FB"/>
    <w:rsid w:val="00D14F22"/>
    <w:rsid w:val="00D225DB"/>
    <w:rsid w:val="00D251DB"/>
    <w:rsid w:val="00D32FB4"/>
    <w:rsid w:val="00D33C1A"/>
    <w:rsid w:val="00D42B98"/>
    <w:rsid w:val="00D4741C"/>
    <w:rsid w:val="00D51B26"/>
    <w:rsid w:val="00D54E9B"/>
    <w:rsid w:val="00D57918"/>
    <w:rsid w:val="00D606C6"/>
    <w:rsid w:val="00D63847"/>
    <w:rsid w:val="00D71997"/>
    <w:rsid w:val="00D73DC6"/>
    <w:rsid w:val="00D74C1A"/>
    <w:rsid w:val="00D751E5"/>
    <w:rsid w:val="00D754C1"/>
    <w:rsid w:val="00D77393"/>
    <w:rsid w:val="00D77A35"/>
    <w:rsid w:val="00D81B3E"/>
    <w:rsid w:val="00D85B9D"/>
    <w:rsid w:val="00D90C70"/>
    <w:rsid w:val="00D90E49"/>
    <w:rsid w:val="00D96ADE"/>
    <w:rsid w:val="00D96BA4"/>
    <w:rsid w:val="00DA0CE2"/>
    <w:rsid w:val="00DA197F"/>
    <w:rsid w:val="00DA558E"/>
    <w:rsid w:val="00DA6815"/>
    <w:rsid w:val="00DC0FE9"/>
    <w:rsid w:val="00DC6A10"/>
    <w:rsid w:val="00DD0B37"/>
    <w:rsid w:val="00DD6EF6"/>
    <w:rsid w:val="00DE657E"/>
    <w:rsid w:val="00DF4704"/>
    <w:rsid w:val="00E024AA"/>
    <w:rsid w:val="00E05BA9"/>
    <w:rsid w:val="00E1027A"/>
    <w:rsid w:val="00E12B2B"/>
    <w:rsid w:val="00E15C77"/>
    <w:rsid w:val="00E20568"/>
    <w:rsid w:val="00E21AFB"/>
    <w:rsid w:val="00E250F1"/>
    <w:rsid w:val="00E264BB"/>
    <w:rsid w:val="00E3550D"/>
    <w:rsid w:val="00E43EC4"/>
    <w:rsid w:val="00E52838"/>
    <w:rsid w:val="00E614E0"/>
    <w:rsid w:val="00E705D0"/>
    <w:rsid w:val="00E73F7F"/>
    <w:rsid w:val="00E747EB"/>
    <w:rsid w:val="00E839E2"/>
    <w:rsid w:val="00E85409"/>
    <w:rsid w:val="00E94494"/>
    <w:rsid w:val="00E9521C"/>
    <w:rsid w:val="00EA20E5"/>
    <w:rsid w:val="00EA429F"/>
    <w:rsid w:val="00EA4F9E"/>
    <w:rsid w:val="00EA63CA"/>
    <w:rsid w:val="00EA6D3B"/>
    <w:rsid w:val="00EA7A42"/>
    <w:rsid w:val="00EB00AD"/>
    <w:rsid w:val="00EB136C"/>
    <w:rsid w:val="00EB21DE"/>
    <w:rsid w:val="00EB3683"/>
    <w:rsid w:val="00EB480E"/>
    <w:rsid w:val="00EB5EC6"/>
    <w:rsid w:val="00EB7FC9"/>
    <w:rsid w:val="00EC2D61"/>
    <w:rsid w:val="00ED27E8"/>
    <w:rsid w:val="00ED7137"/>
    <w:rsid w:val="00EE0DAF"/>
    <w:rsid w:val="00EF06EA"/>
    <w:rsid w:val="00F01F49"/>
    <w:rsid w:val="00F13888"/>
    <w:rsid w:val="00F15AD6"/>
    <w:rsid w:val="00F176BB"/>
    <w:rsid w:val="00F21088"/>
    <w:rsid w:val="00F21C19"/>
    <w:rsid w:val="00F27977"/>
    <w:rsid w:val="00F327E7"/>
    <w:rsid w:val="00F35746"/>
    <w:rsid w:val="00F44228"/>
    <w:rsid w:val="00F447C7"/>
    <w:rsid w:val="00F459B4"/>
    <w:rsid w:val="00F51838"/>
    <w:rsid w:val="00F5211B"/>
    <w:rsid w:val="00F554A9"/>
    <w:rsid w:val="00F5635C"/>
    <w:rsid w:val="00F65DD7"/>
    <w:rsid w:val="00F71234"/>
    <w:rsid w:val="00F716FD"/>
    <w:rsid w:val="00F72ADF"/>
    <w:rsid w:val="00F80355"/>
    <w:rsid w:val="00F87C43"/>
    <w:rsid w:val="00F90B72"/>
    <w:rsid w:val="00FA7C77"/>
    <w:rsid w:val="00FB0C81"/>
    <w:rsid w:val="00FB1DB2"/>
    <w:rsid w:val="00FC2200"/>
    <w:rsid w:val="00FC2239"/>
    <w:rsid w:val="00FC2540"/>
    <w:rsid w:val="00FE76DB"/>
    <w:rsid w:val="00FF0204"/>
    <w:rsid w:val="00FF3AED"/>
    <w:rsid w:val="00FF4E75"/>
    <w:rsid w:val="00FF5B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E257C"/>
  <w15:docId w15:val="{845B1235-340D-4A40-AED9-47AD2EAB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fr-FR"/>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1"/>
      </w:numPr>
      <w:spacing w:after="240"/>
      <w:outlineLvl w:val="1"/>
    </w:pPr>
  </w:style>
  <w:style w:type="paragraph" w:styleId="Heading3">
    <w:name w:val="heading 3"/>
    <w:aliases w:val="Char"/>
    <w:basedOn w:val="Normal"/>
    <w:next w:val="Normal"/>
    <w:qFormat/>
    <w:rsid w:val="0033525D"/>
    <w:pPr>
      <w:widowControl w:val="0"/>
      <w:numPr>
        <w:ilvl w:val="2"/>
        <w:numId w:val="1"/>
      </w:numPr>
      <w:spacing w:after="240"/>
      <w:outlineLvl w:val="2"/>
    </w:pPr>
  </w:style>
  <w:style w:type="paragraph" w:styleId="Heading4">
    <w:name w:val="heading 4"/>
    <w:aliases w:val="Heading 1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 Char1, Char1 Char Char,Fußnotentextf"/>
    <w:basedOn w:val="Normal"/>
    <w:link w:val="FootnoteTextChar"/>
    <w:uiPriority w:val="99"/>
    <w:unhideWhenUsed/>
    <w:qFormat/>
    <w:rsid w:val="006E126D"/>
    <w:rPr>
      <w:sz w:val="20"/>
      <w:szCs w:val="20"/>
    </w:rPr>
  </w:style>
  <w:style w:type="character" w:customStyle="1" w:styleId="FootnoteTextChar">
    <w:name w:val="Footnote Text Char"/>
    <w:aliases w:val=" Char1 Char, Char1 Char Char Char,Fußnotentextf Char"/>
    <w:basedOn w:val="DefaultParagraphFont"/>
    <w:link w:val="FootnoteText"/>
    <w:uiPriority w:val="99"/>
    <w:rsid w:val="006E126D"/>
    <w:rPr>
      <w:lang w:val="en-GB"/>
    </w:rPr>
  </w:style>
  <w:style w:type="character" w:styleId="FootnoteReference">
    <w:name w:val="footnote reference"/>
    <w:aliases w:val="16 Point,Superscript 6 Point,Footnote text,Footnote Text1,Footnote Text2"/>
    <w:basedOn w:val="DefaultParagraphFont"/>
    <w:uiPriority w:val="99"/>
    <w:unhideWhenUsed/>
    <w:rsid w:val="006E126D"/>
    <w:rPr>
      <w:vertAlign w:val="superscript"/>
    </w:rPr>
  </w:style>
  <w:style w:type="paragraph" w:styleId="ListParagraph">
    <w:name w:val="List Paragraph"/>
    <w:basedOn w:val="Normal"/>
    <w:uiPriority w:val="34"/>
    <w:qFormat/>
    <w:rsid w:val="00013895"/>
    <w:pPr>
      <w:ind w:left="720"/>
      <w:contextualSpacing/>
    </w:pPr>
  </w:style>
  <w:style w:type="paragraph" w:styleId="Revision">
    <w:name w:val="Revision"/>
    <w:hidden/>
    <w:uiPriority w:val="99"/>
    <w:semiHidden/>
    <w:rsid w:val="00F15AD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3893">
      <w:bodyDiv w:val="1"/>
      <w:marLeft w:val="0"/>
      <w:marRight w:val="0"/>
      <w:marTop w:val="0"/>
      <w:marBottom w:val="0"/>
      <w:divBdr>
        <w:top w:val="none" w:sz="0" w:space="0" w:color="auto"/>
        <w:left w:val="none" w:sz="0" w:space="0" w:color="auto"/>
        <w:bottom w:val="none" w:sz="0" w:space="0" w:color="auto"/>
        <w:right w:val="none" w:sz="0" w:space="0" w:color="auto"/>
      </w:divBdr>
    </w:div>
    <w:div w:id="693266151">
      <w:bodyDiv w:val="1"/>
      <w:marLeft w:val="0"/>
      <w:marRight w:val="0"/>
      <w:marTop w:val="0"/>
      <w:marBottom w:val="0"/>
      <w:divBdr>
        <w:top w:val="none" w:sz="0" w:space="0" w:color="auto"/>
        <w:left w:val="none" w:sz="0" w:space="0" w:color="auto"/>
        <w:bottom w:val="none" w:sz="0" w:space="0" w:color="auto"/>
        <w:right w:val="none" w:sz="0" w:space="0" w:color="auto"/>
      </w:divBdr>
      <w:divsChild>
        <w:div w:id="9450194">
          <w:marLeft w:val="0"/>
          <w:marRight w:val="0"/>
          <w:marTop w:val="0"/>
          <w:marBottom w:val="0"/>
          <w:divBdr>
            <w:top w:val="none" w:sz="0" w:space="0" w:color="auto"/>
            <w:left w:val="none" w:sz="0" w:space="0" w:color="auto"/>
            <w:bottom w:val="none" w:sz="0" w:space="0" w:color="auto"/>
            <w:right w:val="none" w:sz="0" w:space="0" w:color="auto"/>
          </w:divBdr>
          <w:divsChild>
            <w:div w:id="888223499">
              <w:marLeft w:val="0"/>
              <w:marRight w:val="0"/>
              <w:marTop w:val="0"/>
              <w:marBottom w:val="0"/>
              <w:divBdr>
                <w:top w:val="none" w:sz="0" w:space="0" w:color="auto"/>
                <w:left w:val="none" w:sz="0" w:space="0" w:color="auto"/>
                <w:bottom w:val="none" w:sz="0" w:space="0" w:color="auto"/>
                <w:right w:val="none" w:sz="0" w:space="0" w:color="auto"/>
              </w:divBdr>
              <w:divsChild>
                <w:div w:id="669138382">
                  <w:marLeft w:val="0"/>
                  <w:marRight w:val="0"/>
                  <w:marTop w:val="0"/>
                  <w:marBottom w:val="0"/>
                  <w:divBdr>
                    <w:top w:val="none" w:sz="0" w:space="0" w:color="auto"/>
                    <w:left w:val="none" w:sz="0" w:space="0" w:color="auto"/>
                    <w:bottom w:val="none" w:sz="0" w:space="0" w:color="auto"/>
                    <w:right w:val="none" w:sz="0" w:space="0" w:color="auto"/>
                  </w:divBdr>
                </w:div>
              </w:divsChild>
            </w:div>
            <w:div w:id="1006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umber xmlns="8662b4aa-cf42-4f00-a3f0-9d3b4acad230">UNEP/OzL.Pro/ExCom/87/3</Document_x0020_Number>
    <DocumentType xmlns="310e179b-1379-4e79-9b74-d5a32b1812d3">Pre-session</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4CB65C-ECC0-412A-9987-DAAAACE3A6D7}"/>
</file>

<file path=customXml/itemProps2.xml><?xml version="1.0" encoding="utf-8"?>
<ds:datastoreItem xmlns:ds="http://schemas.openxmlformats.org/officeDocument/2006/customXml" ds:itemID="{ACD751A7-5314-4608-8E5A-4B59C615C23A}"/>
</file>

<file path=customXml/itemProps3.xml><?xml version="1.0" encoding="utf-8"?>
<ds:datastoreItem xmlns:ds="http://schemas.openxmlformats.org/officeDocument/2006/customXml" ds:itemID="{1C049260-72C9-4462-8C6D-995E35F3F3DB}"/>
</file>

<file path=customXml/itemProps4.xml><?xml version="1.0" encoding="utf-8"?>
<ds:datastoreItem xmlns:ds="http://schemas.openxmlformats.org/officeDocument/2006/customXml" ds:itemID="{BA1F297E-ECEE-44FB-B24E-E65990D7FE7C}"/>
</file>

<file path=docProps/app.xml><?xml version="1.0" encoding="utf-8"?>
<Properties xmlns="http://schemas.openxmlformats.org/officeDocument/2006/extended-properties" xmlns:vt="http://schemas.openxmlformats.org/officeDocument/2006/docPropsVTypes">
  <Template>Eec86G</Template>
  <TotalTime>37</TotalTime>
  <Pages>3</Pages>
  <Words>915</Words>
  <Characters>4839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État des contributions et des décaissements</vt:lpstr>
      <vt:lpstr>Status of contributions and disbursements</vt:lpstr>
    </vt:vector>
  </TitlesOfParts>
  <Company>UNMFS</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des contributions et des décaissements</dc:title>
  <dc:creator>Botheina Bendahmane</dc:creator>
  <cp:lastModifiedBy>HB</cp:lastModifiedBy>
  <cp:revision>13</cp:revision>
  <cp:lastPrinted>2001-05-26T16:40:00Z</cp:lastPrinted>
  <dcterms:created xsi:type="dcterms:W3CDTF">2021-06-24T08:20:00Z</dcterms:created>
  <dcterms:modified xsi:type="dcterms:W3CDTF">2021-06-27T13:02:00Z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vt:lpwstr>
  </property>
  <property fmtid="{D5CDD505-2E9C-101B-9397-08002B2CF9AE}" pid="3" name="Revision date">
    <vt:lpwstr>6/22/2021</vt:lpwstr>
  </property>
  <property fmtid="{D5CDD505-2E9C-101B-9397-08002B2CF9AE}" pid="4" name="ContentTypeId">
    <vt:lpwstr>0x0101006D54131ACC863C4CBCCC233143506327</vt:lpwstr>
  </property>
  <property fmtid="{D5CDD505-2E9C-101B-9397-08002B2CF9AE}" pid="5" name="Order">
    <vt:r8>14600</vt:r8>
  </property>
  <property fmtid="{D5CDD505-2E9C-101B-9397-08002B2CF9AE}" pid="6" name="Posted after IAP">
    <vt:lpwstr>true</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