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9B0D30" w14:paraId="43048DCF" w14:textId="77777777" w:rsidTr="00D12721">
        <w:trPr>
          <w:trHeight w:val="720"/>
        </w:trPr>
        <w:tc>
          <w:tcPr>
            <w:tcW w:w="5490" w:type="dxa"/>
            <w:gridSpan w:val="2"/>
            <w:tcBorders>
              <w:bottom w:val="single" w:sz="18" w:space="0" w:color="auto"/>
            </w:tcBorders>
          </w:tcPr>
          <w:p w14:paraId="066F74F0" w14:textId="77777777" w:rsidR="00C15867" w:rsidRDefault="00D12721" w:rsidP="0042513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01446610" w14:textId="183E9589" w:rsidR="00D12721" w:rsidRPr="009B0D30" w:rsidRDefault="00D12721" w:rsidP="0042513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UNIES</w:t>
            </w:r>
          </w:p>
        </w:tc>
        <w:tc>
          <w:tcPr>
            <w:tcW w:w="4590" w:type="dxa"/>
            <w:tcBorders>
              <w:bottom w:val="single" w:sz="18" w:space="0" w:color="auto"/>
            </w:tcBorders>
          </w:tcPr>
          <w:p w14:paraId="380C1814" w14:textId="77777777" w:rsidR="00C15867" w:rsidRPr="009B0D30" w:rsidRDefault="00C15867" w:rsidP="00425136">
            <w:pPr>
              <w:jc w:val="right"/>
              <w:rPr>
                <w:sz w:val="52"/>
                <w:szCs w:val="52"/>
              </w:rPr>
            </w:pPr>
            <w:r w:rsidRPr="009B0D30">
              <w:rPr>
                <w:rFonts w:ascii="Univers Bold" w:hAnsi="Univers Bold"/>
                <w:b/>
                <w:sz w:val="72"/>
              </w:rPr>
              <w:t>EP</w:t>
            </w:r>
          </w:p>
        </w:tc>
      </w:tr>
      <w:tr w:rsidR="00C15867" w:rsidRPr="00DE6668" w14:paraId="20BEF355" w14:textId="77777777" w:rsidTr="00D1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C11BA3" w14:textId="77777777" w:rsidR="00C15867" w:rsidRPr="00DE6668" w:rsidRDefault="00E52838" w:rsidP="00425136">
            <w:pPr>
              <w:spacing w:before="120"/>
              <w:rPr>
                <w:lang w:val="fr-CA"/>
              </w:rPr>
            </w:pPr>
            <w:r w:rsidRPr="00DE6668">
              <w:rPr>
                <w:noProof/>
                <w:lang w:val="en-US"/>
              </w:rPr>
              <mc:AlternateContent>
                <mc:Choice Requires="wpg">
                  <w:drawing>
                    <wp:anchor distT="0" distB="0" distL="114300" distR="114300" simplePos="0" relativeHeight="251660288" behindDoc="0" locked="0" layoutInCell="1" allowOverlap="1" wp14:anchorId="34AB314C" wp14:editId="268EFA1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E487E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4A170418" w14:textId="77777777" w:rsidR="00CE7328" w:rsidRDefault="00CE7328" w:rsidP="00D1272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3B478D87" w14:textId="25F8F4FD" w:rsidR="00C15867" w:rsidRPr="00DE6668" w:rsidRDefault="00CE7328" w:rsidP="00D1272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Pr>
                <w:rFonts w:ascii="Univers" w:hAnsi="Univers"/>
                <w:b/>
                <w:sz w:val="32"/>
                <w:lang w:val="fr-CA"/>
              </w:rPr>
              <w:t>P</w:t>
            </w:r>
            <w:r w:rsidR="00D12721" w:rsidRPr="00DE6668">
              <w:rPr>
                <w:rFonts w:ascii="Univers" w:hAnsi="Univers"/>
                <w:b/>
                <w:sz w:val="32"/>
                <w:lang w:val="fr-CA"/>
              </w:rPr>
              <w:t>rogramme des Nations Unies pour l’environnement</w:t>
            </w:r>
          </w:p>
          <w:p w14:paraId="430D5693" w14:textId="77777777" w:rsidR="00C15867" w:rsidRPr="00DE6668" w:rsidRDefault="00C15867" w:rsidP="00425136">
            <w:pPr>
              <w:spacing w:before="720"/>
              <w:ind w:left="158"/>
              <w:rPr>
                <w:lang w:val="fr-CA"/>
              </w:rPr>
            </w:pPr>
          </w:p>
        </w:tc>
        <w:tc>
          <w:tcPr>
            <w:tcW w:w="4590" w:type="dxa"/>
            <w:tcBorders>
              <w:top w:val="nil"/>
              <w:left w:val="nil"/>
              <w:bottom w:val="single" w:sz="36" w:space="0" w:color="auto"/>
              <w:right w:val="nil"/>
            </w:tcBorders>
          </w:tcPr>
          <w:p w14:paraId="1C960AB1" w14:textId="77777777" w:rsidR="00CE7328" w:rsidRDefault="00CE7328" w:rsidP="00425136">
            <w:pPr>
              <w:rPr>
                <w:lang w:val="fr-CA"/>
              </w:rPr>
            </w:pPr>
          </w:p>
          <w:p w14:paraId="71BF19C5" w14:textId="12172293" w:rsidR="00C15867" w:rsidRPr="00DE6668" w:rsidRDefault="00C15867" w:rsidP="00425136">
            <w:pPr>
              <w:rPr>
                <w:lang w:val="fr-CA"/>
              </w:rPr>
            </w:pPr>
            <w:proofErr w:type="spellStart"/>
            <w:r w:rsidRPr="00DE6668">
              <w:rPr>
                <w:lang w:val="fr-CA"/>
              </w:rPr>
              <w:t>Distr</w:t>
            </w:r>
            <w:proofErr w:type="spellEnd"/>
            <w:r w:rsidRPr="00DE6668">
              <w:rPr>
                <w:lang w:val="fr-CA"/>
              </w:rPr>
              <w:t>.</w:t>
            </w:r>
          </w:p>
          <w:p w14:paraId="4B4C88A3" w14:textId="0ACFC47C" w:rsidR="00923540" w:rsidRPr="00DE6668" w:rsidRDefault="00D12721" w:rsidP="00923540">
            <w:pPr>
              <w:rPr>
                <w:lang w:val="fr-CA"/>
              </w:rPr>
            </w:pPr>
            <w:r w:rsidRPr="00DE6668">
              <w:rPr>
                <w:lang w:val="fr-CA"/>
              </w:rPr>
              <w:t>GÉNÉRALE</w:t>
            </w:r>
          </w:p>
          <w:p w14:paraId="5222A89C" w14:textId="77777777" w:rsidR="00C15867" w:rsidRPr="00DE6668" w:rsidRDefault="00C15867" w:rsidP="00425136">
            <w:pPr>
              <w:rPr>
                <w:lang w:val="fr-CA"/>
              </w:rPr>
            </w:pPr>
          </w:p>
          <w:p w14:paraId="4417C245" w14:textId="77777777" w:rsidR="00C15867" w:rsidRPr="00CD54C2" w:rsidRDefault="00425136" w:rsidP="00425136">
            <w:pPr>
              <w:rPr>
                <w:lang w:val="en-US"/>
              </w:rPr>
            </w:pPr>
            <w:r w:rsidRPr="00DE6668">
              <w:rPr>
                <w:lang w:val="fr-CA"/>
              </w:rPr>
              <w:fldChar w:fldCharType="begin"/>
            </w:r>
            <w:r w:rsidRPr="00CD54C2">
              <w:rPr>
                <w:lang w:val="en-US"/>
              </w:rPr>
              <w:instrText xml:space="preserve"> DOCPROPERTY "Document number"  \* MERGEFORMAT </w:instrText>
            </w:r>
            <w:r w:rsidRPr="00DE6668">
              <w:rPr>
                <w:lang w:val="fr-CA"/>
              </w:rPr>
              <w:fldChar w:fldCharType="separate"/>
            </w:r>
            <w:r w:rsidR="001F2E86" w:rsidRPr="00CD54C2">
              <w:rPr>
                <w:lang w:val="en-US"/>
              </w:rPr>
              <w:t>UNEP/</w:t>
            </w:r>
            <w:proofErr w:type="spellStart"/>
            <w:r w:rsidR="001F2E86" w:rsidRPr="00CD54C2">
              <w:rPr>
                <w:lang w:val="en-US"/>
              </w:rPr>
              <w:t>OzL.Pro</w:t>
            </w:r>
            <w:proofErr w:type="spellEnd"/>
            <w:r w:rsidR="001F2E86" w:rsidRPr="00CD54C2">
              <w:rPr>
                <w:lang w:val="en-US"/>
              </w:rPr>
              <w:t>/</w:t>
            </w:r>
            <w:proofErr w:type="spellStart"/>
            <w:r w:rsidR="001F2E86" w:rsidRPr="00CD54C2">
              <w:rPr>
                <w:lang w:val="en-US"/>
              </w:rPr>
              <w:t>ExCom</w:t>
            </w:r>
            <w:proofErr w:type="spellEnd"/>
            <w:r w:rsidR="001F2E86" w:rsidRPr="00CD54C2">
              <w:rPr>
                <w:lang w:val="en-US"/>
              </w:rPr>
              <w:t>/87/9/Add.1</w:t>
            </w:r>
            <w:r w:rsidRPr="00DE6668">
              <w:rPr>
                <w:lang w:val="fr-CA"/>
              </w:rPr>
              <w:fldChar w:fldCharType="end"/>
            </w:r>
          </w:p>
          <w:p w14:paraId="5E84A56F" w14:textId="755EA9F9" w:rsidR="00C15867" w:rsidRPr="00DE6668" w:rsidRDefault="00BC2495" w:rsidP="00425136">
            <w:pPr>
              <w:rPr>
                <w:lang w:val="fr-CA"/>
              </w:rPr>
            </w:pPr>
            <w:r w:rsidRPr="00DE6668">
              <w:rPr>
                <w:lang w:val="fr-CA"/>
              </w:rPr>
              <w:fldChar w:fldCharType="begin"/>
            </w:r>
            <w:r w:rsidR="00851352" w:rsidRPr="00DE6668">
              <w:rPr>
                <w:lang w:val="fr-CA"/>
              </w:rPr>
              <w:instrText xml:space="preserve"> DOCPROPERTY "Revision date" \@ "d MMMM YYYY"  \* MERGEFORMAT </w:instrText>
            </w:r>
            <w:r w:rsidRPr="00DE6668">
              <w:rPr>
                <w:lang w:val="fr-CA"/>
              </w:rPr>
              <w:fldChar w:fldCharType="separate"/>
            </w:r>
            <w:r w:rsidR="002217AB" w:rsidRPr="00DE6668">
              <w:rPr>
                <w:lang w:val="fr-CA"/>
              </w:rPr>
              <w:t xml:space="preserve">14 </w:t>
            </w:r>
            <w:r w:rsidR="00D12721" w:rsidRPr="00DE6668">
              <w:rPr>
                <w:lang w:val="fr-CA"/>
              </w:rPr>
              <w:t>juin</w:t>
            </w:r>
            <w:r w:rsidR="002217AB" w:rsidRPr="00DE6668">
              <w:rPr>
                <w:lang w:val="fr-CA"/>
              </w:rPr>
              <w:t xml:space="preserve"> 2021</w:t>
            </w:r>
            <w:r w:rsidRPr="00DE6668">
              <w:rPr>
                <w:lang w:val="fr-CA"/>
              </w:rPr>
              <w:fldChar w:fldCharType="end"/>
            </w:r>
          </w:p>
          <w:p w14:paraId="21CB8165" w14:textId="77777777" w:rsidR="00C15867" w:rsidRPr="00DE6668" w:rsidRDefault="00C15867" w:rsidP="00425136">
            <w:pPr>
              <w:rPr>
                <w:caps/>
                <w:lang w:val="fr-CA"/>
              </w:rPr>
            </w:pPr>
          </w:p>
          <w:p w14:paraId="13B5B98B" w14:textId="77777777" w:rsidR="00D12721" w:rsidRPr="00DE6668" w:rsidRDefault="00D12721" w:rsidP="00425136">
            <w:pPr>
              <w:rPr>
                <w:lang w:val="fr-CA"/>
              </w:rPr>
            </w:pPr>
            <w:r w:rsidRPr="00DE6668">
              <w:rPr>
                <w:lang w:val="fr-CA"/>
              </w:rPr>
              <w:t>FRANÇAIS</w:t>
            </w:r>
          </w:p>
          <w:p w14:paraId="172FD304" w14:textId="014EE1DE" w:rsidR="00C15867" w:rsidRPr="00DE6668" w:rsidRDefault="00D12721" w:rsidP="00425136">
            <w:pPr>
              <w:rPr>
                <w:lang w:val="fr-CA"/>
              </w:rPr>
            </w:pPr>
            <w:r w:rsidRPr="00DE6668">
              <w:rPr>
                <w:lang w:val="fr-CA"/>
              </w:rPr>
              <w:t>ORIGINAL : ANGLAIS</w:t>
            </w:r>
          </w:p>
        </w:tc>
      </w:tr>
    </w:tbl>
    <w:p w14:paraId="6B4CC7B3" w14:textId="77777777" w:rsidR="00D12721" w:rsidRPr="007F3EAA" w:rsidRDefault="00D12721" w:rsidP="00D12721">
      <w:pPr>
        <w:jc w:val="left"/>
        <w:rPr>
          <w:lang w:val="fr-CA"/>
        </w:rPr>
      </w:pPr>
      <w:r w:rsidRPr="007F3EAA">
        <w:rPr>
          <w:lang w:val="fr-CA"/>
        </w:rPr>
        <w:t xml:space="preserve">COMITÉ EXÉCUTIF </w:t>
      </w:r>
      <w:r w:rsidRPr="007F3EAA">
        <w:rPr>
          <w:lang w:val="fr-CA"/>
        </w:rPr>
        <w:br/>
        <w:t xml:space="preserve">  DU FONDS MULTILATÉRAL AUX FINS </w:t>
      </w:r>
      <w:r w:rsidRPr="007F3EAA">
        <w:rPr>
          <w:lang w:val="fr-CA"/>
        </w:rPr>
        <w:br/>
        <w:t xml:space="preserve">  D’APPLICATION DU PROTOCOLE DE MONTRÉAL</w:t>
      </w:r>
      <w:r w:rsidRPr="007F3EAA">
        <w:rPr>
          <w:lang w:val="fr-CA"/>
        </w:rPr>
        <w:br/>
        <w:t>Quatre-vingt-septième réunion</w:t>
      </w:r>
    </w:p>
    <w:p w14:paraId="3837799E" w14:textId="7B96092C" w:rsidR="00066CE8" w:rsidRPr="007F3EAA" w:rsidRDefault="00D12721" w:rsidP="00D12721">
      <w:pPr>
        <w:jc w:val="left"/>
        <w:rPr>
          <w:lang w:val="fr-CA"/>
        </w:rPr>
      </w:pPr>
      <w:r w:rsidRPr="007F3EAA">
        <w:rPr>
          <w:lang w:val="fr-CA"/>
        </w:rPr>
        <w:t>Montréal, 28 juin – 2 juillet 2021</w:t>
      </w:r>
    </w:p>
    <w:p w14:paraId="43416DA0" w14:textId="77777777" w:rsidR="00C15867" w:rsidRPr="007F3EAA" w:rsidRDefault="00C15867" w:rsidP="00857077">
      <w:pPr>
        <w:jc w:val="left"/>
        <w:rPr>
          <w:lang w:val="fr-CA"/>
        </w:rPr>
      </w:pPr>
    </w:p>
    <w:p w14:paraId="40177B0D" w14:textId="77777777" w:rsidR="00066CE8" w:rsidRPr="007F3EAA" w:rsidRDefault="00066CE8" w:rsidP="00857077">
      <w:pPr>
        <w:jc w:val="left"/>
        <w:rPr>
          <w:lang w:val="fr-CA"/>
        </w:rPr>
      </w:pPr>
    </w:p>
    <w:p w14:paraId="5FD87916" w14:textId="77777777" w:rsidR="00E3032B" w:rsidRPr="007F3EAA" w:rsidRDefault="00E3032B" w:rsidP="00E3032B">
      <w:pPr>
        <w:jc w:val="center"/>
        <w:outlineLvl w:val="0"/>
        <w:rPr>
          <w:b/>
          <w:caps/>
          <w:lang w:val="fr-CA"/>
        </w:rPr>
      </w:pPr>
      <w:r w:rsidRPr="007F3EAA">
        <w:rPr>
          <w:b/>
          <w:lang w:val="fr-CA"/>
        </w:rPr>
        <w:t>Addendum</w:t>
      </w:r>
    </w:p>
    <w:p w14:paraId="0EAA3941" w14:textId="77777777" w:rsidR="00E3032B" w:rsidRPr="007F3EAA" w:rsidRDefault="00E3032B" w:rsidP="00E3032B">
      <w:pPr>
        <w:jc w:val="center"/>
        <w:outlineLvl w:val="0"/>
        <w:rPr>
          <w:b/>
          <w:caps/>
          <w:lang w:val="fr-CA"/>
        </w:rPr>
      </w:pPr>
    </w:p>
    <w:p w14:paraId="06C550D9" w14:textId="77777777" w:rsidR="00CD54C2" w:rsidRDefault="00891733" w:rsidP="00E3032B">
      <w:pPr>
        <w:jc w:val="center"/>
        <w:outlineLvl w:val="0"/>
        <w:rPr>
          <w:b/>
          <w:lang w:val="fr-CA"/>
        </w:rPr>
      </w:pPr>
      <w:r w:rsidRPr="007F3EAA">
        <w:rPr>
          <w:b/>
          <w:lang w:val="fr-CA"/>
        </w:rPr>
        <w:t>RAPPORT</w:t>
      </w:r>
      <w:r>
        <w:rPr>
          <w:b/>
          <w:lang w:val="fr-CA"/>
        </w:rPr>
        <w:t>S</w:t>
      </w:r>
      <w:r w:rsidRPr="007F3EAA">
        <w:rPr>
          <w:b/>
          <w:lang w:val="fr-CA"/>
        </w:rPr>
        <w:t xml:space="preserve"> SUR LES PROJETS COMPORTANT DES EXIGENCES PARTICULIÈRES </w:t>
      </w:r>
    </w:p>
    <w:p w14:paraId="33633A8C" w14:textId="15375505" w:rsidR="00E3032B" w:rsidRDefault="00891733" w:rsidP="00E3032B">
      <w:pPr>
        <w:jc w:val="center"/>
        <w:outlineLvl w:val="0"/>
        <w:rPr>
          <w:b/>
          <w:lang w:val="fr-CA"/>
        </w:rPr>
      </w:pPr>
      <w:bookmarkStart w:id="0" w:name="_GoBack"/>
      <w:bookmarkEnd w:id="0"/>
      <w:r w:rsidRPr="007F3EAA">
        <w:rPr>
          <w:b/>
          <w:lang w:val="fr-CA"/>
        </w:rPr>
        <w:t>DE REMISE DE RAPPORTS</w:t>
      </w:r>
    </w:p>
    <w:p w14:paraId="7F8377A5" w14:textId="77777777" w:rsidR="00CE7328" w:rsidRPr="007F3EAA" w:rsidRDefault="00CE7328" w:rsidP="00E3032B">
      <w:pPr>
        <w:jc w:val="center"/>
        <w:outlineLvl w:val="0"/>
        <w:rPr>
          <w:b/>
          <w:caps/>
          <w:lang w:val="fr-CA"/>
        </w:rPr>
      </w:pPr>
    </w:p>
    <w:p w14:paraId="00C9CEBA" w14:textId="77777777" w:rsidR="00E3032B" w:rsidRPr="007F3EAA" w:rsidRDefault="00E3032B" w:rsidP="00E3032B">
      <w:pPr>
        <w:jc w:val="center"/>
        <w:outlineLvl w:val="0"/>
        <w:rPr>
          <w:b/>
          <w:caps/>
          <w:lang w:val="fr-CA"/>
        </w:rPr>
      </w:pPr>
    </w:p>
    <w:p w14:paraId="590C5C15" w14:textId="3DC74C71" w:rsidR="00E3032B" w:rsidRPr="007F3EAA" w:rsidRDefault="000B48FB" w:rsidP="00E3032B">
      <w:pPr>
        <w:numPr>
          <w:ilvl w:val="0"/>
          <w:numId w:val="1"/>
        </w:numPr>
        <w:spacing w:after="240"/>
        <w:outlineLvl w:val="0"/>
        <w:rPr>
          <w:lang w:val="fr-CA"/>
        </w:rPr>
      </w:pPr>
      <w:r w:rsidRPr="007F3EAA">
        <w:rPr>
          <w:lang w:val="fr-CA"/>
        </w:rPr>
        <w:t>Le présent document comprend des rapports sur les projets comportant des exigences particulières de remise de rapports concernant la Chine, d</w:t>
      </w:r>
      <w:r w:rsidR="00DE6668" w:rsidRPr="007F3EAA">
        <w:rPr>
          <w:lang w:val="fr-CA"/>
        </w:rPr>
        <w:t>u</w:t>
      </w:r>
      <w:r w:rsidRPr="007F3EAA">
        <w:rPr>
          <w:lang w:val="fr-CA"/>
        </w:rPr>
        <w:t>s à la 87</w:t>
      </w:r>
      <w:r w:rsidRPr="007F3EAA">
        <w:rPr>
          <w:vertAlign w:val="superscript"/>
          <w:lang w:val="fr-CA"/>
        </w:rPr>
        <w:t>e</w:t>
      </w:r>
      <w:r w:rsidRPr="007F3EAA">
        <w:rPr>
          <w:lang w:val="fr-CA"/>
        </w:rPr>
        <w:t xml:space="preserve"> </w:t>
      </w:r>
      <w:r w:rsidR="00DE6668" w:rsidRPr="007F3EAA">
        <w:rPr>
          <w:lang w:val="fr-CA"/>
        </w:rPr>
        <w:t>réunion, ou du</w:t>
      </w:r>
      <w:r w:rsidRPr="007F3EAA">
        <w:rPr>
          <w:lang w:val="fr-CA"/>
        </w:rPr>
        <w:t>s à la 86</w:t>
      </w:r>
      <w:r w:rsidRPr="007F3EAA">
        <w:rPr>
          <w:vertAlign w:val="superscript"/>
          <w:lang w:val="fr-CA"/>
        </w:rPr>
        <w:t>e</w:t>
      </w:r>
      <w:r w:rsidRPr="007F3EAA">
        <w:rPr>
          <w:lang w:val="fr-CA"/>
        </w:rPr>
        <w:t xml:space="preserve"> réunion, dont l’examen a été reporté à la 87</w:t>
      </w:r>
      <w:r w:rsidRPr="007F3EAA">
        <w:rPr>
          <w:vertAlign w:val="superscript"/>
          <w:lang w:val="fr-CA"/>
        </w:rPr>
        <w:t>e</w:t>
      </w:r>
      <w:r w:rsidRPr="007F3EAA">
        <w:rPr>
          <w:lang w:val="fr-CA"/>
        </w:rPr>
        <w:t xml:space="preserve"> réunion conformément aux procédures convenues pour la tenue de la 86</w:t>
      </w:r>
      <w:r w:rsidRPr="007F3EAA">
        <w:rPr>
          <w:vertAlign w:val="superscript"/>
          <w:lang w:val="fr-CA"/>
        </w:rPr>
        <w:t>e</w:t>
      </w:r>
      <w:r w:rsidRPr="007F3EAA">
        <w:rPr>
          <w:lang w:val="fr-CA"/>
        </w:rPr>
        <w:t xml:space="preserve"> réunion</w:t>
      </w:r>
      <w:r w:rsidR="00E3032B" w:rsidRPr="007F3EAA">
        <w:rPr>
          <w:lang w:val="fr-CA"/>
        </w:rPr>
        <w:t>.</w:t>
      </w:r>
      <w:r w:rsidR="00E3032B" w:rsidRPr="007F3EAA">
        <w:rPr>
          <w:vertAlign w:val="superscript"/>
          <w:lang w:val="fr-CA"/>
        </w:rPr>
        <w:footnoteReference w:id="1"/>
      </w:r>
    </w:p>
    <w:p w14:paraId="4A357968" w14:textId="6B16A329" w:rsidR="00E3032B" w:rsidRPr="007F3EAA" w:rsidRDefault="000B48FB" w:rsidP="00E3032B">
      <w:pPr>
        <w:numPr>
          <w:ilvl w:val="0"/>
          <w:numId w:val="1"/>
        </w:numPr>
        <w:outlineLvl w:val="0"/>
        <w:rPr>
          <w:lang w:val="fr-CA"/>
        </w:rPr>
      </w:pPr>
      <w:r w:rsidRPr="007F3EAA">
        <w:rPr>
          <w:lang w:val="fr-CA"/>
        </w:rPr>
        <w:t xml:space="preserve">Le document comprend les trois parties suivantes </w:t>
      </w:r>
      <w:r w:rsidR="00E3032B" w:rsidRPr="007F3EAA">
        <w:rPr>
          <w:lang w:val="fr-CA"/>
        </w:rPr>
        <w:t>:</w:t>
      </w:r>
    </w:p>
    <w:p w14:paraId="007F5FAE" w14:textId="77777777" w:rsidR="00E3032B" w:rsidRPr="007F3EAA" w:rsidRDefault="00E3032B" w:rsidP="00E3032B">
      <w:pPr>
        <w:rPr>
          <w:lang w:val="fr-CA"/>
        </w:rPr>
      </w:pPr>
    </w:p>
    <w:tbl>
      <w:tblPr>
        <w:tblStyle w:val="TableGrid10"/>
        <w:tblW w:w="8635" w:type="dxa"/>
        <w:tblInd w:w="720" w:type="dxa"/>
        <w:tblLayout w:type="fixed"/>
        <w:tblLook w:val="04A0" w:firstRow="1" w:lastRow="0" w:firstColumn="1" w:lastColumn="0" w:noHBand="0" w:noVBand="1"/>
      </w:tblPr>
      <w:tblGrid>
        <w:gridCol w:w="895"/>
        <w:gridCol w:w="6300"/>
        <w:gridCol w:w="1440"/>
      </w:tblGrid>
      <w:tr w:rsidR="00E3032B" w:rsidRPr="007F3EAA" w14:paraId="6173234D" w14:textId="77777777" w:rsidTr="00DE1BBF">
        <w:trPr>
          <w:tblHeader/>
        </w:trPr>
        <w:tc>
          <w:tcPr>
            <w:tcW w:w="895" w:type="dxa"/>
          </w:tcPr>
          <w:p w14:paraId="318641F8" w14:textId="0487A1FB" w:rsidR="00E3032B" w:rsidRPr="007F3EAA" w:rsidRDefault="00E3032B" w:rsidP="00425136">
            <w:pPr>
              <w:widowControl w:val="0"/>
              <w:jc w:val="left"/>
              <w:rPr>
                <w:b/>
                <w:lang w:val="fr-CA"/>
              </w:rPr>
            </w:pPr>
            <w:r w:rsidRPr="007F3EAA">
              <w:rPr>
                <w:b/>
                <w:lang w:val="fr-CA"/>
              </w:rPr>
              <w:t>Part</w:t>
            </w:r>
            <w:r w:rsidR="000B48FB" w:rsidRPr="007F3EAA">
              <w:rPr>
                <w:b/>
                <w:lang w:val="fr-CA"/>
              </w:rPr>
              <w:t>ie</w:t>
            </w:r>
          </w:p>
        </w:tc>
        <w:tc>
          <w:tcPr>
            <w:tcW w:w="6300" w:type="dxa"/>
            <w:vAlign w:val="center"/>
          </w:tcPr>
          <w:p w14:paraId="069DA3EF" w14:textId="3D9B529C" w:rsidR="00E3032B" w:rsidRPr="007F3EAA" w:rsidRDefault="007F3EAA" w:rsidP="00425136">
            <w:pPr>
              <w:widowControl w:val="0"/>
              <w:jc w:val="center"/>
              <w:rPr>
                <w:b/>
                <w:lang w:val="fr-CA"/>
              </w:rPr>
            </w:pPr>
            <w:r>
              <w:rPr>
                <w:b/>
                <w:lang w:val="fr-CA"/>
              </w:rPr>
              <w:t>Titre du</w:t>
            </w:r>
            <w:r w:rsidR="00DE1BBF" w:rsidRPr="007F3EAA">
              <w:rPr>
                <w:b/>
                <w:lang w:val="fr-CA"/>
              </w:rPr>
              <w:t xml:space="preserve"> document</w:t>
            </w:r>
          </w:p>
        </w:tc>
        <w:tc>
          <w:tcPr>
            <w:tcW w:w="1440" w:type="dxa"/>
            <w:vAlign w:val="center"/>
          </w:tcPr>
          <w:p w14:paraId="68A6C8D3" w14:textId="45625CCF" w:rsidR="00E3032B" w:rsidRPr="007F3EAA" w:rsidRDefault="00E3032B" w:rsidP="00425136">
            <w:pPr>
              <w:widowControl w:val="0"/>
              <w:jc w:val="center"/>
              <w:rPr>
                <w:b/>
                <w:lang w:val="fr-CA"/>
              </w:rPr>
            </w:pPr>
            <w:r w:rsidRPr="007F3EAA">
              <w:rPr>
                <w:b/>
                <w:lang w:val="fr-CA"/>
              </w:rPr>
              <w:t>Paragraph</w:t>
            </w:r>
            <w:r w:rsidR="00DE1BBF" w:rsidRPr="007F3EAA">
              <w:rPr>
                <w:b/>
                <w:lang w:val="fr-CA"/>
              </w:rPr>
              <w:t>e</w:t>
            </w:r>
            <w:r w:rsidRPr="007F3EAA">
              <w:rPr>
                <w:b/>
                <w:lang w:val="fr-CA"/>
              </w:rPr>
              <w:t>s</w:t>
            </w:r>
          </w:p>
        </w:tc>
      </w:tr>
      <w:tr w:rsidR="00E3032B" w:rsidRPr="007F3EAA" w14:paraId="5A5A3C01" w14:textId="77777777" w:rsidTr="00DE1BBF">
        <w:tc>
          <w:tcPr>
            <w:tcW w:w="895" w:type="dxa"/>
            <w:vAlign w:val="center"/>
          </w:tcPr>
          <w:p w14:paraId="191E1EA3" w14:textId="77777777" w:rsidR="00E3032B" w:rsidRPr="007F3EAA" w:rsidRDefault="00E3032B" w:rsidP="00AD043B">
            <w:pPr>
              <w:widowControl w:val="0"/>
              <w:jc w:val="center"/>
              <w:rPr>
                <w:lang w:val="fr-CA"/>
              </w:rPr>
            </w:pPr>
            <w:r w:rsidRPr="007F3EAA">
              <w:rPr>
                <w:lang w:val="fr-CA"/>
              </w:rPr>
              <w:t>I</w:t>
            </w:r>
          </w:p>
        </w:tc>
        <w:tc>
          <w:tcPr>
            <w:tcW w:w="6300" w:type="dxa"/>
            <w:vAlign w:val="center"/>
          </w:tcPr>
          <w:p w14:paraId="338A08A4" w14:textId="2C8BEDDD" w:rsidR="00E3032B" w:rsidRPr="007F3EAA" w:rsidRDefault="00DE1BBF" w:rsidP="005576D5">
            <w:pPr>
              <w:widowControl w:val="0"/>
              <w:jc w:val="left"/>
              <w:rPr>
                <w:lang w:val="fr-CA"/>
              </w:rPr>
            </w:pPr>
            <w:r w:rsidRPr="007F3EAA">
              <w:rPr>
                <w:lang w:val="fr-CA"/>
              </w:rPr>
              <w:t xml:space="preserve">Rapports de vérification financière sur </w:t>
            </w:r>
            <w:r w:rsidR="005576D5" w:rsidRPr="007F3EAA">
              <w:rPr>
                <w:lang w:val="fr-CA"/>
              </w:rPr>
              <w:t xml:space="preserve">les secteurs de </w:t>
            </w:r>
            <w:r w:rsidRPr="007F3EAA">
              <w:rPr>
                <w:lang w:val="fr-CA"/>
              </w:rPr>
              <w:t>la production de CFC, de</w:t>
            </w:r>
            <w:r w:rsidR="005576D5" w:rsidRPr="007F3EAA">
              <w:rPr>
                <w:lang w:val="fr-CA"/>
              </w:rPr>
              <w:t>s</w:t>
            </w:r>
            <w:r w:rsidRPr="007F3EAA">
              <w:rPr>
                <w:lang w:val="fr-CA"/>
              </w:rPr>
              <w:t xml:space="preserve"> halons, de </w:t>
            </w:r>
            <w:r w:rsidR="005576D5" w:rsidRPr="007F3EAA">
              <w:rPr>
                <w:lang w:val="fr-CA"/>
              </w:rPr>
              <w:t xml:space="preserve">la </w:t>
            </w:r>
            <w:r w:rsidRPr="007F3EAA">
              <w:rPr>
                <w:lang w:val="fr-CA"/>
              </w:rPr>
              <w:t>mousse de polyuréthanne, d</w:t>
            </w:r>
            <w:r w:rsidR="005576D5" w:rsidRPr="007F3EAA">
              <w:rPr>
                <w:lang w:val="fr-CA"/>
              </w:rPr>
              <w:t>e l</w:t>
            </w:r>
            <w:r w:rsidRPr="007F3EAA">
              <w:rPr>
                <w:lang w:val="fr-CA"/>
              </w:rPr>
              <w:t xml:space="preserve">’agent de transformation II, </w:t>
            </w:r>
            <w:r w:rsidR="005576D5" w:rsidRPr="007F3EAA">
              <w:rPr>
                <w:lang w:val="fr-CA"/>
              </w:rPr>
              <w:t>de l’</w:t>
            </w:r>
            <w:r w:rsidR="009D53C8" w:rsidRPr="007F3EAA">
              <w:rPr>
                <w:lang w:val="fr-CA"/>
              </w:rPr>
              <w:t>entretien de l’équipement de réfrigération et des solvants (décision 86/41)</w:t>
            </w:r>
          </w:p>
        </w:tc>
        <w:tc>
          <w:tcPr>
            <w:tcW w:w="1440" w:type="dxa"/>
            <w:vAlign w:val="center"/>
          </w:tcPr>
          <w:p w14:paraId="517A429C" w14:textId="77777777" w:rsidR="00E3032B" w:rsidRPr="007F3EAA" w:rsidRDefault="00AD043B" w:rsidP="00AD043B">
            <w:pPr>
              <w:widowControl w:val="0"/>
              <w:jc w:val="center"/>
              <w:rPr>
                <w:lang w:val="fr-CA"/>
              </w:rPr>
            </w:pPr>
            <w:r w:rsidRPr="007F3EAA">
              <w:rPr>
                <w:lang w:val="fr-CA"/>
              </w:rPr>
              <w:t>3 - 11</w:t>
            </w:r>
          </w:p>
        </w:tc>
      </w:tr>
      <w:tr w:rsidR="00E3032B" w:rsidRPr="007F3EAA" w14:paraId="5FCE038C" w14:textId="77777777" w:rsidTr="00DE1BBF">
        <w:tc>
          <w:tcPr>
            <w:tcW w:w="895" w:type="dxa"/>
            <w:vAlign w:val="center"/>
          </w:tcPr>
          <w:p w14:paraId="52BCCA54" w14:textId="77777777" w:rsidR="00E3032B" w:rsidRPr="007F3EAA" w:rsidRDefault="00E3032B" w:rsidP="00AD043B">
            <w:pPr>
              <w:widowControl w:val="0"/>
              <w:jc w:val="center"/>
              <w:rPr>
                <w:lang w:val="fr-CA"/>
              </w:rPr>
            </w:pPr>
            <w:r w:rsidRPr="007F3EAA">
              <w:rPr>
                <w:lang w:val="fr-CA"/>
              </w:rPr>
              <w:t>II</w:t>
            </w:r>
          </w:p>
        </w:tc>
        <w:tc>
          <w:tcPr>
            <w:tcW w:w="6300" w:type="dxa"/>
            <w:vAlign w:val="center"/>
          </w:tcPr>
          <w:p w14:paraId="2FAADBCC" w14:textId="4208F0D0" w:rsidR="00E3032B" w:rsidRPr="007F3EAA" w:rsidRDefault="009D53C8" w:rsidP="00AD043B">
            <w:pPr>
              <w:widowControl w:val="0"/>
              <w:jc w:val="left"/>
              <w:rPr>
                <w:lang w:val="fr-CA"/>
              </w:rPr>
            </w:pPr>
            <w:r w:rsidRPr="007F3EAA">
              <w:rPr>
                <w:lang w:val="fr-CA"/>
              </w:rPr>
              <w:t>Rapport sur les progrès accomplis dans la mise en œuvre des activités figurant dans la décision 83/41 e)</w:t>
            </w:r>
          </w:p>
        </w:tc>
        <w:tc>
          <w:tcPr>
            <w:tcW w:w="1440" w:type="dxa"/>
            <w:vAlign w:val="center"/>
          </w:tcPr>
          <w:p w14:paraId="48BEEE6F" w14:textId="77777777" w:rsidR="00E3032B" w:rsidRPr="007F3EAA" w:rsidRDefault="00AD043B" w:rsidP="00AD043B">
            <w:pPr>
              <w:widowControl w:val="0"/>
              <w:jc w:val="center"/>
              <w:rPr>
                <w:lang w:val="fr-CA"/>
              </w:rPr>
            </w:pPr>
            <w:r w:rsidRPr="007F3EAA">
              <w:rPr>
                <w:lang w:val="fr-CA"/>
              </w:rPr>
              <w:t>12 - 15</w:t>
            </w:r>
          </w:p>
        </w:tc>
      </w:tr>
      <w:tr w:rsidR="00E3032B" w:rsidRPr="007F3EAA" w14:paraId="7FEBF676" w14:textId="77777777" w:rsidTr="00DE1BBF">
        <w:tc>
          <w:tcPr>
            <w:tcW w:w="895" w:type="dxa"/>
            <w:vAlign w:val="center"/>
          </w:tcPr>
          <w:p w14:paraId="7D6AE8EC" w14:textId="77777777" w:rsidR="00E3032B" w:rsidRPr="007F3EAA" w:rsidRDefault="00E3032B" w:rsidP="00AD043B">
            <w:pPr>
              <w:widowControl w:val="0"/>
              <w:jc w:val="center"/>
              <w:rPr>
                <w:lang w:val="fr-CA"/>
              </w:rPr>
            </w:pPr>
            <w:r w:rsidRPr="007F3EAA">
              <w:rPr>
                <w:lang w:val="fr-CA"/>
              </w:rPr>
              <w:t>III</w:t>
            </w:r>
          </w:p>
        </w:tc>
        <w:tc>
          <w:tcPr>
            <w:tcW w:w="6300" w:type="dxa"/>
            <w:vAlign w:val="center"/>
          </w:tcPr>
          <w:p w14:paraId="0976A87D" w14:textId="77D522D4" w:rsidR="00E3032B" w:rsidRPr="007F3EAA" w:rsidRDefault="009D53C8" w:rsidP="00AD043B">
            <w:pPr>
              <w:widowControl w:val="0"/>
              <w:jc w:val="left"/>
              <w:rPr>
                <w:lang w:val="fr-CA"/>
              </w:rPr>
            </w:pPr>
            <w:r w:rsidRPr="007F3EAA">
              <w:rPr>
                <w:lang w:val="fr-CA"/>
              </w:rPr>
              <w:t xml:space="preserve">Étude visant à déterminer les circonstances réglementaires, d’application, de politique ou de marché qui auraient pu mener </w:t>
            </w:r>
            <w:r w:rsidR="00DE6668" w:rsidRPr="007F3EAA">
              <w:rPr>
                <w:lang w:val="fr-CA"/>
              </w:rPr>
              <w:t>à la prod</w:t>
            </w:r>
            <w:r w:rsidRPr="007F3EAA">
              <w:rPr>
                <w:lang w:val="fr-CA"/>
              </w:rPr>
              <w:t>uction et l’utilisation illicites de CFC-11 et de CFC-12 (décision 83/41</w:t>
            </w:r>
            <w:r w:rsidR="003E184F">
              <w:rPr>
                <w:lang w:val="fr-CA"/>
              </w:rPr>
              <w:t xml:space="preserve"> </w:t>
            </w:r>
            <w:r w:rsidRPr="007F3EAA">
              <w:rPr>
                <w:lang w:val="fr-CA"/>
              </w:rPr>
              <w:t>d))</w:t>
            </w:r>
          </w:p>
        </w:tc>
        <w:tc>
          <w:tcPr>
            <w:tcW w:w="1440" w:type="dxa"/>
            <w:vAlign w:val="center"/>
          </w:tcPr>
          <w:p w14:paraId="282A758A" w14:textId="77777777" w:rsidR="00E3032B" w:rsidRPr="007F3EAA" w:rsidRDefault="00AD043B" w:rsidP="00AD043B">
            <w:pPr>
              <w:widowControl w:val="0"/>
              <w:jc w:val="center"/>
              <w:rPr>
                <w:lang w:val="fr-CA"/>
              </w:rPr>
            </w:pPr>
            <w:r w:rsidRPr="007F3EAA">
              <w:rPr>
                <w:lang w:val="fr-CA"/>
              </w:rPr>
              <w:t>16 - 17</w:t>
            </w:r>
          </w:p>
        </w:tc>
      </w:tr>
    </w:tbl>
    <w:p w14:paraId="1A5B0A13" w14:textId="77777777" w:rsidR="00E3032B" w:rsidRPr="007F3EAA" w:rsidRDefault="00E3032B" w:rsidP="00E3032B">
      <w:pPr>
        <w:spacing w:after="240"/>
        <w:jc w:val="left"/>
        <w:outlineLvl w:val="0"/>
        <w:rPr>
          <w:lang w:val="fr-CA"/>
        </w:rPr>
      </w:pPr>
      <w:r w:rsidRPr="007F3EAA">
        <w:rPr>
          <w:lang w:val="fr-CA"/>
        </w:rPr>
        <w:br w:type="page"/>
      </w:r>
    </w:p>
    <w:p w14:paraId="319E4276" w14:textId="22335BB3" w:rsidR="00E3032B" w:rsidRPr="007F3EAA" w:rsidRDefault="00E3032B" w:rsidP="00E3032B">
      <w:pPr>
        <w:keepNext/>
        <w:spacing w:after="240"/>
        <w:ind w:left="1440" w:hanging="1440"/>
        <w:rPr>
          <w:b/>
          <w:caps/>
          <w:lang w:val="fr-CA"/>
        </w:rPr>
      </w:pPr>
      <w:r w:rsidRPr="007F3EAA">
        <w:rPr>
          <w:b/>
          <w:caps/>
          <w:lang w:val="fr-CA"/>
        </w:rPr>
        <w:lastRenderedPageBreak/>
        <w:t>Part</w:t>
      </w:r>
      <w:r w:rsidR="009D53C8" w:rsidRPr="007F3EAA">
        <w:rPr>
          <w:b/>
          <w:caps/>
          <w:lang w:val="fr-CA"/>
        </w:rPr>
        <w:t>IE</w:t>
      </w:r>
      <w:r w:rsidRPr="007F3EAA">
        <w:rPr>
          <w:b/>
          <w:caps/>
          <w:lang w:val="fr-CA"/>
        </w:rPr>
        <w:t xml:space="preserve"> </w:t>
      </w:r>
      <w:proofErr w:type="gramStart"/>
      <w:r w:rsidRPr="007F3EAA">
        <w:rPr>
          <w:b/>
          <w:caps/>
          <w:lang w:val="fr-CA"/>
        </w:rPr>
        <w:t>I:</w:t>
      </w:r>
      <w:proofErr w:type="gramEnd"/>
      <w:r w:rsidRPr="007F3EAA">
        <w:rPr>
          <w:b/>
          <w:caps/>
          <w:lang w:val="fr-CA"/>
        </w:rPr>
        <w:tab/>
      </w:r>
      <w:r w:rsidR="009D53C8" w:rsidRPr="007F3EAA">
        <w:rPr>
          <w:b/>
          <w:lang w:val="fr-CA"/>
        </w:rPr>
        <w:t xml:space="preserve">RAPPORTS DE VÉRIFICATION FINANCIÈRE </w:t>
      </w:r>
      <w:r w:rsidR="00191A1A" w:rsidRPr="007F3EAA">
        <w:rPr>
          <w:b/>
          <w:lang w:val="fr-CA"/>
        </w:rPr>
        <w:t>SUR LES SECTEURS DE LA PRODUCTION DE CFC, DES HALONS, DE LA MOUSSE DE POLYURÉTHANNE, DE L’AGENT DE TRANSFORMATION II, DE L’ENTRETIEN DE L’ÉQUIPEMENT DE RÉFRIGÉRATION ET DES SOLVANTS</w:t>
      </w:r>
    </w:p>
    <w:p w14:paraId="1F686E41" w14:textId="06D6339F" w:rsidR="00E3032B" w:rsidRPr="007F3EAA" w:rsidRDefault="009D53C8" w:rsidP="00E3032B">
      <w:pPr>
        <w:spacing w:after="240"/>
        <w:rPr>
          <w:b/>
          <w:lang w:val="fr-CA"/>
        </w:rPr>
      </w:pPr>
      <w:r w:rsidRPr="007F3EAA">
        <w:rPr>
          <w:b/>
          <w:lang w:val="fr-CA"/>
        </w:rPr>
        <w:t>Contexte</w:t>
      </w:r>
    </w:p>
    <w:p w14:paraId="045A6EBC" w14:textId="570F6C4A" w:rsidR="00E3032B" w:rsidRPr="007F3EAA" w:rsidRDefault="00A23BB6" w:rsidP="00E3032B">
      <w:pPr>
        <w:widowControl w:val="0"/>
        <w:numPr>
          <w:ilvl w:val="0"/>
          <w:numId w:val="1"/>
        </w:numPr>
        <w:spacing w:after="240"/>
        <w:outlineLvl w:val="0"/>
        <w:rPr>
          <w:lang w:val="fr-CA"/>
        </w:rPr>
      </w:pPr>
      <w:r w:rsidRPr="007F3EAA">
        <w:rPr>
          <w:lang w:val="fr-CA"/>
        </w:rPr>
        <w:t>Le C</w:t>
      </w:r>
      <w:r w:rsidR="00191A1A" w:rsidRPr="007F3EAA">
        <w:rPr>
          <w:lang w:val="fr-CA"/>
        </w:rPr>
        <w:t>o</w:t>
      </w:r>
      <w:r w:rsidRPr="007F3EAA">
        <w:rPr>
          <w:lang w:val="fr-CA"/>
        </w:rPr>
        <w:t>mité exécutif, à sa 84</w:t>
      </w:r>
      <w:r w:rsidRPr="007F3EAA">
        <w:rPr>
          <w:vertAlign w:val="superscript"/>
          <w:lang w:val="fr-CA"/>
        </w:rPr>
        <w:t>e</w:t>
      </w:r>
      <w:r w:rsidRPr="007F3EAA">
        <w:rPr>
          <w:lang w:val="fr-CA"/>
        </w:rPr>
        <w:t xml:space="preserve"> </w:t>
      </w:r>
      <w:r w:rsidR="00DE6668" w:rsidRPr="007F3EAA">
        <w:rPr>
          <w:lang w:val="fr-CA"/>
        </w:rPr>
        <w:t>ré</w:t>
      </w:r>
      <w:r w:rsidRPr="007F3EAA">
        <w:rPr>
          <w:lang w:val="fr-CA"/>
        </w:rPr>
        <w:t xml:space="preserve">union, a </w:t>
      </w:r>
      <w:r w:rsidR="00DE6668" w:rsidRPr="007F3EAA">
        <w:rPr>
          <w:lang w:val="fr-CA"/>
        </w:rPr>
        <w:t>examiné</w:t>
      </w:r>
      <w:r w:rsidRPr="007F3EAA">
        <w:rPr>
          <w:lang w:val="fr-CA"/>
        </w:rPr>
        <w:t xml:space="preserve"> les rapports de </w:t>
      </w:r>
      <w:r w:rsidR="00DE6668" w:rsidRPr="007F3EAA">
        <w:rPr>
          <w:lang w:val="fr-CA"/>
        </w:rPr>
        <w:t>vé</w:t>
      </w:r>
      <w:r w:rsidRPr="007F3EAA">
        <w:rPr>
          <w:lang w:val="fr-CA"/>
        </w:rPr>
        <w:t xml:space="preserve">rification financière </w:t>
      </w:r>
      <w:r w:rsidR="00191A1A" w:rsidRPr="007F3EAA">
        <w:rPr>
          <w:lang w:val="fr-CA"/>
        </w:rPr>
        <w:t>sur les secteurs de la production de CFC, des halons, de la mousse de polyuréthanne, de l’</w:t>
      </w:r>
      <w:r w:rsidR="00DE6668" w:rsidRPr="007F3EAA">
        <w:rPr>
          <w:lang w:val="fr-CA"/>
        </w:rPr>
        <w:t>agent de transformation </w:t>
      </w:r>
      <w:r w:rsidR="00191A1A" w:rsidRPr="007F3EAA">
        <w:rPr>
          <w:lang w:val="fr-CA"/>
        </w:rPr>
        <w:t>II, de l’entretien de l’équipement de réfrigération et des solvants</w:t>
      </w:r>
      <w:r w:rsidR="00517B10" w:rsidRPr="007F3EAA">
        <w:rPr>
          <w:lang w:val="fr-CA"/>
        </w:rPr>
        <w:t xml:space="preserve">, </w:t>
      </w:r>
      <w:r w:rsidR="007F3EAA">
        <w:rPr>
          <w:lang w:val="fr-CA"/>
        </w:rPr>
        <w:t>qui offraient</w:t>
      </w:r>
      <w:r w:rsidR="00517B10" w:rsidRPr="007F3EAA">
        <w:rPr>
          <w:lang w:val="fr-CA"/>
        </w:rPr>
        <w:t xml:space="preserve"> une mise à jour des activités mises en œuvre dans chaque plan sectoriel</w:t>
      </w:r>
      <w:r w:rsidR="00E3032B" w:rsidRPr="007F3EAA">
        <w:rPr>
          <w:lang w:val="fr-CA"/>
        </w:rPr>
        <w:t>.</w:t>
      </w:r>
      <w:r w:rsidR="00E3032B" w:rsidRPr="007F3EAA">
        <w:rPr>
          <w:vertAlign w:val="superscript"/>
          <w:lang w:val="fr-CA"/>
        </w:rPr>
        <w:footnoteReference w:id="2"/>
      </w:r>
      <w:r w:rsidR="00E3032B" w:rsidRPr="007F3EAA">
        <w:rPr>
          <w:lang w:val="fr-CA"/>
        </w:rPr>
        <w:t xml:space="preserve"> </w:t>
      </w:r>
      <w:r w:rsidR="00517B10" w:rsidRPr="007F3EAA">
        <w:rPr>
          <w:lang w:val="fr-CA"/>
        </w:rPr>
        <w:t xml:space="preserve">Par la suite, le Comité exécutif a demandé au gouvernement de la Chine, par l’entremise des agences d’exécution concernées, de </w:t>
      </w:r>
      <w:r w:rsidR="000802BF">
        <w:rPr>
          <w:lang w:val="fr-CA"/>
        </w:rPr>
        <w:t>remettre</w:t>
      </w:r>
      <w:r w:rsidR="00517B10" w:rsidRPr="007F3EAA">
        <w:rPr>
          <w:lang w:val="fr-CA"/>
        </w:rPr>
        <w:t xml:space="preserve"> à la 85</w:t>
      </w:r>
      <w:r w:rsidR="00517B10" w:rsidRPr="007F3EAA">
        <w:rPr>
          <w:vertAlign w:val="superscript"/>
          <w:lang w:val="fr-CA"/>
        </w:rPr>
        <w:t>e</w:t>
      </w:r>
      <w:r w:rsidR="00517B10" w:rsidRPr="007F3EAA">
        <w:rPr>
          <w:lang w:val="fr-CA"/>
        </w:rPr>
        <w:t xml:space="preserve"> réunion les rapports de vérification financière au 31 décembre 2019 pour les secteurs de la production de CFC, des halons, </w:t>
      </w:r>
      <w:r w:rsidR="00884D76" w:rsidRPr="007F3EAA">
        <w:rPr>
          <w:lang w:val="fr-CA"/>
        </w:rPr>
        <w:t xml:space="preserve">de la mousse de polyuréthanne, </w:t>
      </w:r>
      <w:r w:rsidR="00517B10" w:rsidRPr="007F3EAA">
        <w:rPr>
          <w:lang w:val="fr-CA"/>
        </w:rPr>
        <w:t xml:space="preserve">de l’agent de transformation II, </w:t>
      </w:r>
      <w:r w:rsidR="00884D76" w:rsidRPr="007F3EAA">
        <w:rPr>
          <w:lang w:val="fr-CA"/>
        </w:rPr>
        <w:t xml:space="preserve">de l’entretien de l’équipement de réfrigération et </w:t>
      </w:r>
      <w:r w:rsidR="00517B10" w:rsidRPr="007F3EAA">
        <w:rPr>
          <w:lang w:val="fr-CA"/>
        </w:rPr>
        <w:t>des solvants</w:t>
      </w:r>
      <w:r w:rsidR="00884D76" w:rsidRPr="007F3EAA">
        <w:rPr>
          <w:lang w:val="fr-CA"/>
        </w:rPr>
        <w:t>, et de restituer au Fonds multilatéral lors de la 85</w:t>
      </w:r>
      <w:r w:rsidR="00884D76" w:rsidRPr="007F3EAA">
        <w:rPr>
          <w:vertAlign w:val="superscript"/>
          <w:lang w:val="fr-CA"/>
        </w:rPr>
        <w:t>e</w:t>
      </w:r>
      <w:r w:rsidR="00884D76" w:rsidRPr="007F3EAA">
        <w:rPr>
          <w:lang w:val="fr-CA"/>
        </w:rPr>
        <w:t> réunion</w:t>
      </w:r>
      <w:r w:rsidR="00545F52">
        <w:rPr>
          <w:lang w:val="fr-CA"/>
        </w:rPr>
        <w:t>,</w:t>
      </w:r>
      <w:r w:rsidR="00884D76" w:rsidRPr="007F3EAA">
        <w:rPr>
          <w:lang w:val="fr-CA"/>
        </w:rPr>
        <w:t xml:space="preserve"> les soldes restants au 31 décembre 2019 associés aux plans des secteurs de la production de CFC, de la mousse de polyuréthanne, de l’entretien de l’équipement de réfrigération et des solvants </w:t>
      </w:r>
      <w:r w:rsidR="000802BF">
        <w:rPr>
          <w:lang w:val="fr-CA"/>
        </w:rPr>
        <w:t>(décisions 84/39 c) i) et c) </w:t>
      </w:r>
      <w:r w:rsidR="00884D76" w:rsidRPr="007F3EAA">
        <w:rPr>
          <w:lang w:val="fr-CA"/>
        </w:rPr>
        <w:t>ii)).</w:t>
      </w:r>
    </w:p>
    <w:p w14:paraId="1C56E1D7" w14:textId="3CFB3B9E" w:rsidR="00E3032B" w:rsidRPr="007F3EAA" w:rsidRDefault="00884D76" w:rsidP="00E3032B">
      <w:pPr>
        <w:widowControl w:val="0"/>
        <w:numPr>
          <w:ilvl w:val="0"/>
          <w:numId w:val="1"/>
        </w:numPr>
        <w:spacing w:after="240"/>
        <w:outlineLvl w:val="0"/>
        <w:rPr>
          <w:lang w:val="fr-CA"/>
        </w:rPr>
      </w:pPr>
      <w:r w:rsidRPr="007F3EAA">
        <w:rPr>
          <w:lang w:val="fr-CA"/>
        </w:rPr>
        <w:t xml:space="preserve">Conformément à la </w:t>
      </w:r>
      <w:r w:rsidR="00DE6668" w:rsidRPr="007F3EAA">
        <w:rPr>
          <w:lang w:val="fr-CA"/>
        </w:rPr>
        <w:t>dé</w:t>
      </w:r>
      <w:r w:rsidRPr="007F3EAA">
        <w:rPr>
          <w:lang w:val="fr-CA"/>
        </w:rPr>
        <w:t xml:space="preserve">cision 84/39 c) i), les </w:t>
      </w:r>
      <w:r w:rsidR="00DE6668" w:rsidRPr="007F3EAA">
        <w:rPr>
          <w:lang w:val="fr-CA"/>
        </w:rPr>
        <w:t>agenc</w:t>
      </w:r>
      <w:r w:rsidRPr="007F3EAA">
        <w:rPr>
          <w:lang w:val="fr-CA"/>
        </w:rPr>
        <w:t>es d’exécution concernées ont remis à la 85</w:t>
      </w:r>
      <w:r w:rsidRPr="007F3EAA">
        <w:rPr>
          <w:vertAlign w:val="superscript"/>
          <w:lang w:val="fr-CA"/>
        </w:rPr>
        <w:t>e</w:t>
      </w:r>
      <w:r w:rsidR="00A750D5" w:rsidRPr="007F3EAA">
        <w:rPr>
          <w:lang w:val="fr-CA"/>
        </w:rPr>
        <w:t> </w:t>
      </w:r>
      <w:r w:rsidRPr="007F3EAA">
        <w:rPr>
          <w:lang w:val="fr-CA"/>
        </w:rPr>
        <w:t xml:space="preserve">réunion, au nom du gouvernement de la Chine, </w:t>
      </w:r>
      <w:r w:rsidR="00DE6668" w:rsidRPr="007F3EAA">
        <w:rPr>
          <w:lang w:val="fr-CA"/>
        </w:rPr>
        <w:t>les rap</w:t>
      </w:r>
      <w:r w:rsidR="00A750D5" w:rsidRPr="007F3EAA">
        <w:rPr>
          <w:lang w:val="fr-CA"/>
        </w:rPr>
        <w:t>ports de vérification financière au 31 décembre 2019 et les rapports d’achèvement de projet pou</w:t>
      </w:r>
      <w:r w:rsidR="000802BF">
        <w:rPr>
          <w:lang w:val="fr-CA"/>
        </w:rPr>
        <w:t>r les secteurs de la production</w:t>
      </w:r>
      <w:r w:rsidR="00A750D5" w:rsidRPr="007F3EAA">
        <w:rPr>
          <w:lang w:val="fr-CA"/>
        </w:rPr>
        <w:t xml:space="preserve"> de CFC, de la mousse de polyuréthanne, de l’entretien de l’</w:t>
      </w:r>
      <w:r w:rsidR="00DE6668" w:rsidRPr="007F3EAA">
        <w:rPr>
          <w:lang w:val="fr-CA"/>
        </w:rPr>
        <w:t>équipement de réfrigérati</w:t>
      </w:r>
      <w:r w:rsidR="00A750D5" w:rsidRPr="007F3EAA">
        <w:rPr>
          <w:lang w:val="fr-CA"/>
        </w:rPr>
        <w:t>on et des solvants. Des rapports financiers supplémentaires ont été remis pour les secteurs de l’entretien de l’équipement de réfrigération et des solvants, de même qu’une mise à jour des progrès accomplis dans le secteur de l’agent de transformation II</w:t>
      </w:r>
      <w:r w:rsidR="00E3032B" w:rsidRPr="007F3EAA">
        <w:rPr>
          <w:lang w:val="fr-CA"/>
        </w:rPr>
        <w:t>.</w:t>
      </w:r>
      <w:r w:rsidR="00E3032B" w:rsidRPr="007F3EAA">
        <w:rPr>
          <w:vertAlign w:val="superscript"/>
          <w:lang w:val="fr-CA"/>
        </w:rPr>
        <w:footnoteReference w:id="3"/>
      </w:r>
    </w:p>
    <w:p w14:paraId="4C22A9C8" w14:textId="0D2AE4DC" w:rsidR="00E3032B" w:rsidRPr="007F3EAA" w:rsidRDefault="00A750D5" w:rsidP="00E3032B">
      <w:pPr>
        <w:numPr>
          <w:ilvl w:val="0"/>
          <w:numId w:val="1"/>
        </w:numPr>
        <w:spacing w:after="240"/>
        <w:outlineLvl w:val="0"/>
        <w:rPr>
          <w:lang w:val="fr-CA"/>
        </w:rPr>
      </w:pPr>
      <w:r w:rsidRPr="007F3EAA">
        <w:rPr>
          <w:lang w:val="fr-CA"/>
        </w:rPr>
        <w:t>La question n’a pas été abordée au titre du processus d’approbation intersessions (PAI) créé pour la 85</w:t>
      </w:r>
      <w:r w:rsidRPr="007F3EAA">
        <w:rPr>
          <w:vertAlign w:val="superscript"/>
          <w:lang w:val="fr-CA"/>
        </w:rPr>
        <w:t>e</w:t>
      </w:r>
      <w:r w:rsidRPr="007F3EAA">
        <w:rPr>
          <w:lang w:val="fr-CA"/>
        </w:rPr>
        <w:t xml:space="preserve"> réunion. </w:t>
      </w:r>
      <w:r w:rsidR="005576D5" w:rsidRPr="007F3EAA">
        <w:rPr>
          <w:lang w:val="fr-CA"/>
        </w:rPr>
        <w:t>Comme la réunion a été reportée à ca</w:t>
      </w:r>
      <w:r w:rsidR="00DE6668" w:rsidRPr="007F3EAA">
        <w:rPr>
          <w:lang w:val="fr-CA"/>
        </w:rPr>
        <w:t>u</w:t>
      </w:r>
      <w:r w:rsidR="005576D5" w:rsidRPr="007F3EAA">
        <w:rPr>
          <w:lang w:val="fr-CA"/>
        </w:rPr>
        <w:t>se des restrictions associées à la pandémie de la COVID-19, la question a été remise à l’ordre du jour de la 86</w:t>
      </w:r>
      <w:r w:rsidR="005576D5" w:rsidRPr="007F3EAA">
        <w:rPr>
          <w:vertAlign w:val="superscript"/>
          <w:lang w:val="fr-CA"/>
        </w:rPr>
        <w:t>e</w:t>
      </w:r>
      <w:r w:rsidR="005576D5" w:rsidRPr="007F3EAA">
        <w:rPr>
          <w:lang w:val="fr-CA"/>
        </w:rPr>
        <w:t xml:space="preserve"> réunion aux fins d’examen</w:t>
      </w:r>
      <w:r w:rsidR="00E3032B" w:rsidRPr="007F3EAA">
        <w:rPr>
          <w:lang w:val="fr-CA"/>
        </w:rPr>
        <w:t>.</w:t>
      </w:r>
      <w:r w:rsidR="00E3032B" w:rsidRPr="007F3EAA">
        <w:rPr>
          <w:vertAlign w:val="superscript"/>
          <w:lang w:val="fr-CA"/>
        </w:rPr>
        <w:footnoteReference w:id="4"/>
      </w:r>
      <w:r w:rsidR="00E3032B" w:rsidRPr="007F3EAA">
        <w:rPr>
          <w:lang w:val="fr-CA"/>
        </w:rPr>
        <w:t xml:space="preserve"> </w:t>
      </w:r>
      <w:r w:rsidR="005576D5" w:rsidRPr="007F3EAA">
        <w:rPr>
          <w:lang w:val="fr-CA"/>
        </w:rPr>
        <w:t>Le Comité exécutif s’est penché sur la question au titre du PAI créé pour la 86</w:t>
      </w:r>
      <w:r w:rsidR="005576D5" w:rsidRPr="007F3EAA">
        <w:rPr>
          <w:vertAlign w:val="superscript"/>
          <w:lang w:val="fr-CA"/>
        </w:rPr>
        <w:t>e</w:t>
      </w:r>
      <w:r w:rsidR="005576D5" w:rsidRPr="007F3EAA">
        <w:rPr>
          <w:lang w:val="fr-CA"/>
        </w:rPr>
        <w:t xml:space="preserve"> </w:t>
      </w:r>
      <w:r w:rsidR="00DE6668" w:rsidRPr="007F3EAA">
        <w:rPr>
          <w:lang w:val="fr-CA"/>
        </w:rPr>
        <w:t>ré</w:t>
      </w:r>
      <w:r w:rsidR="005576D5" w:rsidRPr="007F3EAA">
        <w:rPr>
          <w:lang w:val="fr-CA"/>
        </w:rPr>
        <w:t>union, en novembre 2020, et a décidé </w:t>
      </w:r>
      <w:r w:rsidR="00E3032B" w:rsidRPr="007F3EAA">
        <w:rPr>
          <w:lang w:val="fr-CA"/>
        </w:rPr>
        <w:t>:</w:t>
      </w:r>
      <w:r w:rsidR="00E3032B" w:rsidRPr="007F3EAA">
        <w:rPr>
          <w:vertAlign w:val="superscript"/>
          <w:lang w:val="fr-CA"/>
        </w:rPr>
        <w:footnoteReference w:id="5"/>
      </w:r>
    </w:p>
    <w:p w14:paraId="68D82BBB" w14:textId="0599EB4A" w:rsidR="00E3032B" w:rsidRPr="007F3EAA" w:rsidRDefault="005576D5" w:rsidP="005576D5">
      <w:pPr>
        <w:pStyle w:val="Heading2"/>
        <w:rPr>
          <w:lang w:val="fr-CA"/>
        </w:rPr>
      </w:pPr>
      <w:r w:rsidRPr="007F3EAA">
        <w:rPr>
          <w:lang w:val="fr-CA"/>
        </w:rPr>
        <w:t xml:space="preserve">De prendre note </w:t>
      </w:r>
      <w:r w:rsidR="00E3032B" w:rsidRPr="007F3EAA">
        <w:rPr>
          <w:lang w:val="fr-CA"/>
        </w:rPr>
        <w:t>:</w:t>
      </w:r>
    </w:p>
    <w:p w14:paraId="4812891D" w14:textId="752549D8" w:rsidR="00E3032B" w:rsidRPr="007F3EAA" w:rsidRDefault="005576D5" w:rsidP="005576D5">
      <w:pPr>
        <w:pStyle w:val="Heading3"/>
        <w:rPr>
          <w:lang w:val="fr-CA"/>
        </w:rPr>
      </w:pPr>
      <w:r w:rsidRPr="007F3EAA">
        <w:rPr>
          <w:lang w:val="fr-CA"/>
        </w:rPr>
        <w:t>D</w:t>
      </w:r>
      <w:r w:rsidR="00191A1A" w:rsidRPr="007F3EAA">
        <w:rPr>
          <w:lang w:val="fr-CA"/>
        </w:rPr>
        <w:t>es rapports de vérificati</w:t>
      </w:r>
      <w:r w:rsidRPr="007F3EAA">
        <w:rPr>
          <w:lang w:val="fr-CA"/>
        </w:rPr>
        <w:t xml:space="preserve">on financière </w:t>
      </w:r>
      <w:r w:rsidR="00191A1A" w:rsidRPr="007F3EAA">
        <w:rPr>
          <w:lang w:val="fr-CA"/>
        </w:rPr>
        <w:t xml:space="preserve">sur les secteurs de la production de CFC, des halons, de la mousse de polyuréthanne, de l’agent de transformation II, de l’entretien de l’équipement de réfrigération et des solvants de la Chine, présentés dans le document </w:t>
      </w:r>
      <w:r w:rsidR="00E3032B" w:rsidRPr="007F3EAA">
        <w:rPr>
          <w:lang w:val="fr-CA"/>
        </w:rPr>
        <w:t>UNEP/OzL.Pro/ExCom/86/21/Add.</w:t>
      </w:r>
      <w:proofErr w:type="gramStart"/>
      <w:r w:rsidR="00E3032B" w:rsidRPr="007F3EAA">
        <w:rPr>
          <w:lang w:val="fr-CA"/>
        </w:rPr>
        <w:t>1;</w:t>
      </w:r>
      <w:proofErr w:type="gramEnd"/>
      <w:r w:rsidR="00E3032B" w:rsidRPr="007F3EAA">
        <w:rPr>
          <w:lang w:val="fr-CA"/>
        </w:rPr>
        <w:t xml:space="preserve"> </w:t>
      </w:r>
    </w:p>
    <w:p w14:paraId="0A22F1C2" w14:textId="419A71D6" w:rsidR="00E3032B" w:rsidRPr="007F3EAA" w:rsidRDefault="00191A1A" w:rsidP="00E3032B">
      <w:pPr>
        <w:widowControl w:val="0"/>
        <w:numPr>
          <w:ilvl w:val="2"/>
          <w:numId w:val="1"/>
        </w:numPr>
        <w:spacing w:after="240"/>
        <w:outlineLvl w:val="2"/>
        <w:rPr>
          <w:lang w:val="fr-CA"/>
        </w:rPr>
      </w:pPr>
      <w:r w:rsidRPr="007F3EAA">
        <w:rPr>
          <w:lang w:val="fr-CA"/>
        </w:rPr>
        <w:t xml:space="preserve">Que la Banque mondiale restituerait les soldes des secteurs de la production de CFC et de la mousse de </w:t>
      </w:r>
      <w:r w:rsidR="002D3F02" w:rsidRPr="007F3EAA">
        <w:rPr>
          <w:lang w:val="fr-CA"/>
        </w:rPr>
        <w:t>polyuré</w:t>
      </w:r>
      <w:r w:rsidRPr="007F3EAA">
        <w:rPr>
          <w:lang w:val="fr-CA"/>
        </w:rPr>
        <w:t>than</w:t>
      </w:r>
      <w:r w:rsidR="002D3F02" w:rsidRPr="007F3EAA">
        <w:rPr>
          <w:lang w:val="fr-CA"/>
        </w:rPr>
        <w:t>n</w:t>
      </w:r>
      <w:r w:rsidRPr="007F3EAA">
        <w:rPr>
          <w:lang w:val="fr-CA"/>
        </w:rPr>
        <w:t>e</w:t>
      </w:r>
      <w:r w:rsidR="00545F52">
        <w:rPr>
          <w:lang w:val="fr-CA"/>
        </w:rPr>
        <w:t>,</w:t>
      </w:r>
      <w:r w:rsidRPr="007F3EAA">
        <w:rPr>
          <w:lang w:val="fr-CA"/>
        </w:rPr>
        <w:t xml:space="preserve"> s’élevant à 314 015 $US, ainsi que l’intérêt accumulé de 22 119 $US, à la 86</w:t>
      </w:r>
      <w:r w:rsidRPr="007F3EAA">
        <w:rPr>
          <w:vertAlign w:val="superscript"/>
          <w:lang w:val="fr-CA"/>
        </w:rPr>
        <w:t>e</w:t>
      </w:r>
      <w:r w:rsidRPr="007F3EAA">
        <w:rPr>
          <w:lang w:val="fr-CA"/>
        </w:rPr>
        <w:t xml:space="preserve"> </w:t>
      </w:r>
      <w:proofErr w:type="gramStart"/>
      <w:r w:rsidRPr="007F3EAA">
        <w:rPr>
          <w:lang w:val="fr-CA"/>
        </w:rPr>
        <w:t>réunion</w:t>
      </w:r>
      <w:r w:rsidR="00E3032B" w:rsidRPr="007F3EAA">
        <w:rPr>
          <w:lang w:val="fr-CA"/>
        </w:rPr>
        <w:t>;</w:t>
      </w:r>
      <w:proofErr w:type="gramEnd"/>
    </w:p>
    <w:p w14:paraId="79A1593E" w14:textId="1113A087" w:rsidR="00E3032B" w:rsidRPr="007F3EAA" w:rsidRDefault="00191A1A" w:rsidP="00E3032B">
      <w:pPr>
        <w:widowControl w:val="0"/>
        <w:numPr>
          <w:ilvl w:val="2"/>
          <w:numId w:val="1"/>
        </w:numPr>
        <w:spacing w:after="240"/>
        <w:outlineLvl w:val="2"/>
        <w:rPr>
          <w:lang w:val="fr-CA"/>
        </w:rPr>
      </w:pPr>
      <w:r w:rsidRPr="007F3EAA">
        <w:rPr>
          <w:lang w:val="fr-CA"/>
        </w:rPr>
        <w:t xml:space="preserve">Que l’ONUDI restituerait les soldes du plan du secteur de l’entretien de l’équipement de </w:t>
      </w:r>
      <w:r w:rsidR="002D3F02" w:rsidRPr="007F3EAA">
        <w:rPr>
          <w:lang w:val="fr-CA"/>
        </w:rPr>
        <w:t>réfrigération</w:t>
      </w:r>
      <w:r w:rsidRPr="007F3EAA">
        <w:rPr>
          <w:lang w:val="fr-CA"/>
        </w:rPr>
        <w:t xml:space="preserve"> de 752 $US, plus les intérêts accumulés </w:t>
      </w:r>
      <w:r w:rsidR="00545F52">
        <w:rPr>
          <w:lang w:val="fr-CA"/>
        </w:rPr>
        <w:t>d</w:t>
      </w:r>
      <w:r w:rsidRPr="007F3EAA">
        <w:rPr>
          <w:lang w:val="fr-CA"/>
        </w:rPr>
        <w:t>e 99 178 $US à la 86</w:t>
      </w:r>
      <w:r w:rsidRPr="007F3EAA">
        <w:rPr>
          <w:vertAlign w:val="superscript"/>
          <w:lang w:val="fr-CA"/>
        </w:rPr>
        <w:t>e</w:t>
      </w:r>
      <w:r w:rsidRPr="007F3EAA">
        <w:rPr>
          <w:lang w:val="fr-CA"/>
        </w:rPr>
        <w:t xml:space="preserve"> </w:t>
      </w:r>
      <w:proofErr w:type="gramStart"/>
      <w:r w:rsidRPr="007F3EAA">
        <w:rPr>
          <w:lang w:val="fr-CA"/>
        </w:rPr>
        <w:t>réunion</w:t>
      </w:r>
      <w:r w:rsidR="00E3032B" w:rsidRPr="007F3EAA">
        <w:rPr>
          <w:lang w:val="fr-CA"/>
        </w:rPr>
        <w:t>;</w:t>
      </w:r>
      <w:proofErr w:type="gramEnd"/>
    </w:p>
    <w:p w14:paraId="3DE9A173" w14:textId="3074ABB2" w:rsidR="00E3032B" w:rsidRPr="007F3EAA" w:rsidRDefault="00191A1A" w:rsidP="00CE7328">
      <w:pPr>
        <w:keepNext/>
        <w:keepLines/>
        <w:widowControl w:val="0"/>
        <w:numPr>
          <w:ilvl w:val="2"/>
          <w:numId w:val="1"/>
        </w:numPr>
        <w:spacing w:after="240"/>
        <w:outlineLvl w:val="2"/>
        <w:rPr>
          <w:lang w:val="fr-CA"/>
        </w:rPr>
      </w:pPr>
      <w:r w:rsidRPr="007F3EAA">
        <w:rPr>
          <w:lang w:val="fr-CA"/>
        </w:rPr>
        <w:lastRenderedPageBreak/>
        <w:t>Que le PNUD restituerait</w:t>
      </w:r>
      <w:r w:rsidR="00E45630" w:rsidRPr="007F3EAA">
        <w:rPr>
          <w:lang w:val="fr-CA"/>
        </w:rPr>
        <w:t xml:space="preserve"> la somme de 356 151 $US, l’intérêt accumulé du plan du secteur des solvants, à la 86</w:t>
      </w:r>
      <w:r w:rsidR="00E45630" w:rsidRPr="007F3EAA">
        <w:rPr>
          <w:vertAlign w:val="superscript"/>
          <w:lang w:val="fr-CA"/>
        </w:rPr>
        <w:t>e</w:t>
      </w:r>
      <w:r w:rsidR="00E45630" w:rsidRPr="007F3EAA">
        <w:rPr>
          <w:lang w:val="fr-CA"/>
        </w:rPr>
        <w:t xml:space="preserve"> </w:t>
      </w:r>
      <w:proofErr w:type="gramStart"/>
      <w:r w:rsidR="00E45630" w:rsidRPr="007F3EAA">
        <w:rPr>
          <w:lang w:val="fr-CA"/>
        </w:rPr>
        <w:t>réunion</w:t>
      </w:r>
      <w:r w:rsidR="00E3032B" w:rsidRPr="007F3EAA">
        <w:rPr>
          <w:lang w:val="fr-CA"/>
        </w:rPr>
        <w:t>;</w:t>
      </w:r>
      <w:proofErr w:type="gramEnd"/>
    </w:p>
    <w:p w14:paraId="46E3916B" w14:textId="426EA89A" w:rsidR="00E3032B" w:rsidRPr="007F3EAA" w:rsidRDefault="00E45630" w:rsidP="00E300B5">
      <w:pPr>
        <w:pStyle w:val="Heading2"/>
        <w:numPr>
          <w:ilvl w:val="1"/>
          <w:numId w:val="21"/>
        </w:numPr>
        <w:rPr>
          <w:lang w:val="fr-CA"/>
        </w:rPr>
      </w:pPr>
      <w:r w:rsidRPr="007F3EAA">
        <w:rPr>
          <w:lang w:val="fr-CA"/>
        </w:rPr>
        <w:t xml:space="preserve">De demander à la Banque mondiale de </w:t>
      </w:r>
      <w:r w:rsidR="008F408E">
        <w:rPr>
          <w:lang w:val="fr-CA"/>
        </w:rPr>
        <w:t>remettre</w:t>
      </w:r>
      <w:r w:rsidRPr="007F3EAA">
        <w:rPr>
          <w:lang w:val="fr-CA"/>
        </w:rPr>
        <w:t xml:space="preserve"> les rapports de vérification </w:t>
      </w:r>
      <w:r w:rsidR="008F408E">
        <w:rPr>
          <w:lang w:val="fr-CA"/>
        </w:rPr>
        <w:t xml:space="preserve">financière </w:t>
      </w:r>
      <w:r w:rsidRPr="007F3EAA">
        <w:rPr>
          <w:lang w:val="fr-CA"/>
        </w:rPr>
        <w:t>sur les</w:t>
      </w:r>
      <w:r w:rsidR="002D3F02" w:rsidRPr="007F3EAA">
        <w:rPr>
          <w:lang w:val="fr-CA"/>
        </w:rPr>
        <w:t xml:space="preserve"> secteur</w:t>
      </w:r>
      <w:r w:rsidRPr="007F3EAA">
        <w:rPr>
          <w:lang w:val="fr-CA"/>
        </w:rPr>
        <w:t>s des halons et de l’agent de transformation II</w:t>
      </w:r>
      <w:r w:rsidR="008F408E">
        <w:rPr>
          <w:lang w:val="fr-CA"/>
        </w:rPr>
        <w:t>, qui seraient achevés au 31 décembre 2020,</w:t>
      </w:r>
      <w:r w:rsidRPr="007F3EAA">
        <w:rPr>
          <w:lang w:val="fr-CA"/>
        </w:rPr>
        <w:t xml:space="preserve"> conformément </w:t>
      </w:r>
      <w:r w:rsidR="006C662E" w:rsidRPr="007F3EAA">
        <w:rPr>
          <w:lang w:val="fr-CA"/>
        </w:rPr>
        <w:t>à la décision 84/39 b)</w:t>
      </w:r>
      <w:r w:rsidR="008F408E">
        <w:rPr>
          <w:lang w:val="fr-CA"/>
        </w:rPr>
        <w:t>,</w:t>
      </w:r>
      <w:r w:rsidRPr="007F3EAA">
        <w:rPr>
          <w:lang w:val="fr-CA"/>
        </w:rPr>
        <w:t xml:space="preserve"> à la 87</w:t>
      </w:r>
      <w:r w:rsidRPr="007F3EAA">
        <w:rPr>
          <w:vertAlign w:val="superscript"/>
          <w:lang w:val="fr-CA"/>
        </w:rPr>
        <w:t>e</w:t>
      </w:r>
      <w:r w:rsidRPr="007F3EAA">
        <w:rPr>
          <w:lang w:val="fr-CA"/>
        </w:rPr>
        <w:t xml:space="preserve"> réunion, avec les rapports d’achèvement de projet correspondants et les soldes au 31 décembre </w:t>
      </w:r>
      <w:proofErr w:type="gramStart"/>
      <w:r w:rsidRPr="007F3EAA">
        <w:rPr>
          <w:lang w:val="fr-CA"/>
        </w:rPr>
        <w:t>2020</w:t>
      </w:r>
      <w:r w:rsidR="006C662E" w:rsidRPr="007F3EAA">
        <w:rPr>
          <w:lang w:val="fr-CA"/>
        </w:rPr>
        <w:t>;</w:t>
      </w:r>
      <w:proofErr w:type="gramEnd"/>
    </w:p>
    <w:p w14:paraId="234E8B24" w14:textId="76C1C842" w:rsidR="00E3032B" w:rsidRPr="007F3EAA" w:rsidRDefault="006C662E" w:rsidP="00E3032B">
      <w:pPr>
        <w:widowControl w:val="0"/>
        <w:numPr>
          <w:ilvl w:val="1"/>
          <w:numId w:val="1"/>
        </w:numPr>
        <w:spacing w:after="240"/>
        <w:outlineLvl w:val="1"/>
        <w:rPr>
          <w:lang w:val="fr-CA"/>
        </w:rPr>
      </w:pPr>
      <w:r w:rsidRPr="007F3EAA">
        <w:rPr>
          <w:lang w:val="fr-CA"/>
        </w:rPr>
        <w:t>De demander à l’Administrateur prin</w:t>
      </w:r>
      <w:r w:rsidR="008F408E">
        <w:rPr>
          <w:lang w:val="fr-CA"/>
        </w:rPr>
        <w:t>ci</w:t>
      </w:r>
      <w:r w:rsidRPr="007F3EAA">
        <w:rPr>
          <w:lang w:val="fr-CA"/>
        </w:rPr>
        <w:t xml:space="preserve">pal, Suivi et évaluation de collaborer avec les agences d’exécution concernées afin que les rapports d’achèvement de projet pour les secteurs de la production de CFC, de </w:t>
      </w:r>
      <w:r w:rsidR="008F408E">
        <w:rPr>
          <w:lang w:val="fr-CA"/>
        </w:rPr>
        <w:t xml:space="preserve">la </w:t>
      </w:r>
      <w:r w:rsidRPr="007F3EAA">
        <w:rPr>
          <w:lang w:val="fr-CA"/>
        </w:rPr>
        <w:t xml:space="preserve">mousse de polyuréthanne, de l’entretien de l’équipement de réfrigération et des solvants indiquent les décaissements aux bénéficiaires finaux, </w:t>
      </w:r>
      <w:r w:rsidR="001C2F0C" w:rsidRPr="007F3EAA">
        <w:rPr>
          <w:lang w:val="fr-CA"/>
        </w:rPr>
        <w:t>et que ceux-ci correspondent à l’information fournie dans les rapports de vérification financière remis à la 86</w:t>
      </w:r>
      <w:r w:rsidR="001C2F0C" w:rsidRPr="007F3EAA">
        <w:rPr>
          <w:vertAlign w:val="superscript"/>
          <w:lang w:val="fr-CA"/>
        </w:rPr>
        <w:t>e</w:t>
      </w:r>
      <w:r w:rsidR="001C2F0C" w:rsidRPr="007F3EAA">
        <w:rPr>
          <w:lang w:val="fr-CA"/>
        </w:rPr>
        <w:t xml:space="preserve"> réunion</w:t>
      </w:r>
      <w:r w:rsidR="00E3032B" w:rsidRPr="007F3EAA">
        <w:rPr>
          <w:lang w:val="fr-CA"/>
        </w:rPr>
        <w:t xml:space="preserve">. </w:t>
      </w:r>
    </w:p>
    <w:p w14:paraId="173CB2AE" w14:textId="49496E3F" w:rsidR="00E3032B" w:rsidRPr="007F3EAA" w:rsidRDefault="001C2F0C" w:rsidP="00E3032B">
      <w:pPr>
        <w:spacing w:after="240"/>
        <w:outlineLvl w:val="0"/>
        <w:rPr>
          <w:b/>
          <w:lang w:val="fr-CA"/>
        </w:rPr>
      </w:pPr>
      <w:r w:rsidRPr="007F3EAA">
        <w:rPr>
          <w:b/>
          <w:lang w:val="fr-CA"/>
        </w:rPr>
        <w:t>Rapports remis à la 87</w:t>
      </w:r>
      <w:r w:rsidRPr="007F3EAA">
        <w:rPr>
          <w:b/>
          <w:vertAlign w:val="superscript"/>
          <w:lang w:val="fr-CA"/>
        </w:rPr>
        <w:t>e</w:t>
      </w:r>
      <w:r w:rsidRPr="007F3EAA">
        <w:rPr>
          <w:b/>
          <w:lang w:val="fr-CA"/>
        </w:rPr>
        <w:t xml:space="preserve"> réunion</w:t>
      </w:r>
    </w:p>
    <w:p w14:paraId="0E9F8572" w14:textId="5F9D3753" w:rsidR="00E3032B" w:rsidRPr="007F3EAA" w:rsidRDefault="002D3F02" w:rsidP="00E3032B">
      <w:pPr>
        <w:numPr>
          <w:ilvl w:val="0"/>
          <w:numId w:val="1"/>
        </w:numPr>
        <w:spacing w:after="240"/>
        <w:outlineLvl w:val="0"/>
        <w:rPr>
          <w:lang w:val="fr-CA"/>
        </w:rPr>
      </w:pPr>
      <w:r w:rsidRPr="007F3EAA">
        <w:rPr>
          <w:lang w:val="fr-CA"/>
        </w:rPr>
        <w:t>La Banque mondiale a remis à la 87</w:t>
      </w:r>
      <w:r w:rsidRPr="007F3EAA">
        <w:rPr>
          <w:vertAlign w:val="superscript"/>
          <w:lang w:val="fr-CA"/>
        </w:rPr>
        <w:t>e</w:t>
      </w:r>
      <w:r w:rsidRPr="007F3EAA">
        <w:rPr>
          <w:lang w:val="fr-CA"/>
        </w:rPr>
        <w:t xml:space="preserve"> réunion, au nom du gouvernement de la Chine, les rapports de vérification financière au 31 décembre 2020 pour les secteurs des</w:t>
      </w:r>
      <w:r w:rsidR="008F408E">
        <w:rPr>
          <w:lang w:val="fr-CA"/>
        </w:rPr>
        <w:t xml:space="preserve"> halons et de l’a</w:t>
      </w:r>
      <w:r w:rsidRPr="007F3EAA">
        <w:rPr>
          <w:lang w:val="fr-CA"/>
        </w:rPr>
        <w:t>gent de transformation II, ainsi que les rapports d’achèvement de projets correspondants, conformément à la décision 86/41</w:t>
      </w:r>
      <w:r w:rsidR="00E3032B" w:rsidRPr="007F3EAA">
        <w:rPr>
          <w:lang w:val="fr-CA"/>
        </w:rPr>
        <w:t>.</w:t>
      </w:r>
    </w:p>
    <w:p w14:paraId="18CF1DCA" w14:textId="324D12A2" w:rsidR="00E3032B" w:rsidRPr="007F3EAA" w:rsidRDefault="002D3F02" w:rsidP="00657FF8">
      <w:pPr>
        <w:pStyle w:val="Heading1"/>
        <w:rPr>
          <w:lang w:val="fr-CA"/>
        </w:rPr>
      </w:pPr>
      <w:r w:rsidRPr="007F3EAA">
        <w:rPr>
          <w:lang w:val="fr-CA"/>
        </w:rPr>
        <w:t xml:space="preserve">Le rapport de vérification financière fait état d’un solde de 8 723 002 $US (tableau 1) pour le plan du secteur des halons et d’intérêts accumulés de 22 163 $US pour les plans des secteurs des halons et de l’agent de transformation II, à retourner au Fonds multilatéral. </w:t>
      </w:r>
      <w:r w:rsidR="006D6BEB" w:rsidRPr="007F3EAA">
        <w:rPr>
          <w:lang w:val="fr-CA"/>
        </w:rPr>
        <w:t xml:space="preserve">Il n’y a pas de solde pour le plan du secteur de l’agent de transformation II, car les décaissements ont été de 2 416 996 $US en 2020, pour un décaissement cumulatif de 46 832 188 $US, ce qui représente 332 188 $US de plus que les 46 500 000 $US approuvés pour ce </w:t>
      </w:r>
      <w:proofErr w:type="gramStart"/>
      <w:r w:rsidR="006D6BEB" w:rsidRPr="007F3EAA">
        <w:rPr>
          <w:lang w:val="fr-CA"/>
        </w:rPr>
        <w:t>plan;</w:t>
      </w:r>
      <w:proofErr w:type="gramEnd"/>
      <w:r w:rsidR="006D6BEB" w:rsidRPr="007F3EAA">
        <w:rPr>
          <w:lang w:val="fr-CA"/>
        </w:rPr>
        <w:t xml:space="preserve"> ces sommes supplémentaires ont été fournies par le gouvernement en tant que cofinancement pour le suivi et la gestion du plan sectoriel en 2020. Le tableau 1 propose un résumé des soldes et de l’intérêt accumulé dans les plans des secteurs des halons et de l’agent de transformation II</w:t>
      </w:r>
      <w:r w:rsidR="00777D22" w:rsidRPr="007F3EAA">
        <w:rPr>
          <w:lang w:val="fr-CA"/>
        </w:rPr>
        <w:t>.</w:t>
      </w:r>
    </w:p>
    <w:p w14:paraId="5CB68AC6" w14:textId="2AE55D1E" w:rsidR="00E3032B" w:rsidRPr="007F3EAA" w:rsidRDefault="00E3032B" w:rsidP="00E3032B">
      <w:pPr>
        <w:outlineLvl w:val="0"/>
        <w:rPr>
          <w:b/>
          <w:lang w:val="fr-CA"/>
        </w:rPr>
      </w:pPr>
      <w:r w:rsidRPr="007F3EAA">
        <w:rPr>
          <w:b/>
          <w:lang w:val="fr-CA"/>
        </w:rPr>
        <w:t>Table</w:t>
      </w:r>
      <w:r w:rsidR="006D6BEB" w:rsidRPr="007F3EAA">
        <w:rPr>
          <w:b/>
          <w:lang w:val="fr-CA"/>
        </w:rPr>
        <w:t>au</w:t>
      </w:r>
      <w:r w:rsidRPr="007F3EAA">
        <w:rPr>
          <w:b/>
          <w:lang w:val="fr-CA"/>
        </w:rPr>
        <w:t xml:space="preserve"> 1. </w:t>
      </w:r>
      <w:r w:rsidR="006D6BEB" w:rsidRPr="007F3EAA">
        <w:rPr>
          <w:b/>
          <w:lang w:val="fr-CA"/>
        </w:rPr>
        <w:t>Soldes et intérêts des plans des secteurs des halons et de l’agent de transformation II ($US)</w:t>
      </w:r>
    </w:p>
    <w:tbl>
      <w:tblPr>
        <w:tblW w:w="5000" w:type="pct"/>
        <w:tblLook w:val="04A0" w:firstRow="1" w:lastRow="0" w:firstColumn="1" w:lastColumn="0" w:noHBand="0" w:noVBand="1"/>
      </w:tblPr>
      <w:tblGrid>
        <w:gridCol w:w="2481"/>
        <w:gridCol w:w="1919"/>
        <w:gridCol w:w="1894"/>
        <w:gridCol w:w="1339"/>
        <w:gridCol w:w="1717"/>
      </w:tblGrid>
      <w:tr w:rsidR="00E3032B" w:rsidRPr="007F3EAA" w14:paraId="0119C91D" w14:textId="77777777" w:rsidTr="001474DD">
        <w:trPr>
          <w:tblHeader/>
        </w:trPr>
        <w:tc>
          <w:tcPr>
            <w:tcW w:w="1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6B734" w14:textId="05026015" w:rsidR="00E3032B" w:rsidRPr="007F3EAA" w:rsidRDefault="006D6BEB" w:rsidP="00425136">
            <w:pPr>
              <w:jc w:val="left"/>
              <w:rPr>
                <w:b/>
                <w:color w:val="000000"/>
                <w:sz w:val="20"/>
                <w:szCs w:val="20"/>
                <w:lang w:val="fr-CA" w:eastAsia="en-CA"/>
              </w:rPr>
            </w:pPr>
            <w:r w:rsidRPr="007F3EAA">
              <w:rPr>
                <w:b/>
                <w:color w:val="000000"/>
                <w:sz w:val="20"/>
                <w:szCs w:val="20"/>
                <w:lang w:val="fr-CA" w:eastAsia="en-CA"/>
              </w:rPr>
              <w:t>Activité</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14:paraId="50DF2799" w14:textId="761C7FE9" w:rsidR="00E3032B" w:rsidRPr="007F3EAA" w:rsidRDefault="00181A29" w:rsidP="00425136">
            <w:pPr>
              <w:jc w:val="center"/>
              <w:rPr>
                <w:b/>
                <w:color w:val="000000"/>
                <w:sz w:val="20"/>
                <w:szCs w:val="20"/>
                <w:lang w:val="fr-CA" w:eastAsia="en-CA"/>
              </w:rPr>
            </w:pPr>
            <w:r>
              <w:rPr>
                <w:b/>
                <w:color w:val="000000"/>
                <w:sz w:val="20"/>
                <w:szCs w:val="20"/>
                <w:lang w:val="fr-CA" w:eastAsia="en-CA"/>
              </w:rPr>
              <w:t>Solde au 31 </w:t>
            </w:r>
            <w:r w:rsidR="006D6BEB" w:rsidRPr="007F3EAA">
              <w:rPr>
                <w:b/>
                <w:color w:val="000000"/>
                <w:sz w:val="20"/>
                <w:szCs w:val="20"/>
                <w:lang w:val="fr-CA" w:eastAsia="en-CA"/>
              </w:rPr>
              <w:t>décembre 2019</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1BFEED07" w14:textId="60AF6EE4" w:rsidR="00E3032B" w:rsidRPr="007F3EAA" w:rsidRDefault="00181A29" w:rsidP="00425136">
            <w:pPr>
              <w:jc w:val="center"/>
              <w:rPr>
                <w:b/>
                <w:color w:val="000000"/>
                <w:sz w:val="20"/>
                <w:szCs w:val="20"/>
                <w:lang w:val="fr-CA" w:eastAsia="en-CA"/>
              </w:rPr>
            </w:pPr>
            <w:r>
              <w:rPr>
                <w:b/>
                <w:color w:val="000000"/>
                <w:sz w:val="20"/>
                <w:szCs w:val="20"/>
                <w:lang w:val="fr-CA" w:eastAsia="en-CA"/>
              </w:rPr>
              <w:t>Solde au 31 </w:t>
            </w:r>
            <w:r w:rsidR="006D6BEB" w:rsidRPr="007F3EAA">
              <w:rPr>
                <w:b/>
                <w:color w:val="000000"/>
                <w:sz w:val="20"/>
                <w:szCs w:val="20"/>
                <w:lang w:val="fr-CA" w:eastAsia="en-CA"/>
              </w:rPr>
              <w:t>décembre 2020</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1DD7F438" w14:textId="7C32932F" w:rsidR="00E3032B" w:rsidRPr="007F3EAA" w:rsidRDefault="006D6BEB" w:rsidP="00425136">
            <w:pPr>
              <w:jc w:val="center"/>
              <w:rPr>
                <w:b/>
                <w:color w:val="000000"/>
                <w:sz w:val="20"/>
                <w:szCs w:val="20"/>
                <w:lang w:val="fr-CA" w:eastAsia="en-CA"/>
              </w:rPr>
            </w:pPr>
            <w:r w:rsidRPr="007F3EAA">
              <w:rPr>
                <w:b/>
                <w:color w:val="000000"/>
                <w:sz w:val="20"/>
                <w:szCs w:val="20"/>
                <w:lang w:val="fr-CA" w:eastAsia="en-CA"/>
              </w:rPr>
              <w:t>Intérêt accumulé</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0C0D78C" w14:textId="7CE6FA70" w:rsidR="00E3032B" w:rsidRPr="007F3EAA" w:rsidRDefault="006D6BEB" w:rsidP="00425136">
            <w:pPr>
              <w:jc w:val="center"/>
              <w:rPr>
                <w:b/>
                <w:color w:val="000000"/>
                <w:sz w:val="20"/>
                <w:szCs w:val="20"/>
                <w:lang w:val="fr-CA" w:eastAsia="en-CA"/>
              </w:rPr>
            </w:pPr>
            <w:r w:rsidRPr="007F3EAA">
              <w:rPr>
                <w:b/>
                <w:color w:val="000000"/>
                <w:sz w:val="20"/>
                <w:szCs w:val="20"/>
                <w:lang w:val="fr-CA" w:eastAsia="en-CA"/>
              </w:rPr>
              <w:t>Date d’achèvement</w:t>
            </w:r>
          </w:p>
        </w:tc>
      </w:tr>
      <w:tr w:rsidR="00E3032B" w:rsidRPr="007F3EAA" w14:paraId="31F34E0C" w14:textId="77777777" w:rsidTr="001474DD">
        <w:tc>
          <w:tcPr>
            <w:tcW w:w="1327" w:type="pct"/>
            <w:tcBorders>
              <w:top w:val="nil"/>
              <w:left w:val="single" w:sz="4" w:space="0" w:color="auto"/>
              <w:bottom w:val="single" w:sz="4" w:space="0" w:color="auto"/>
              <w:right w:val="single" w:sz="4" w:space="0" w:color="auto"/>
            </w:tcBorders>
            <w:shd w:val="clear" w:color="auto" w:fill="auto"/>
            <w:vAlign w:val="center"/>
            <w:hideMark/>
          </w:tcPr>
          <w:p w14:paraId="55451A4D" w14:textId="15608149" w:rsidR="00E3032B" w:rsidRPr="007F3EAA" w:rsidRDefault="006D6BEB" w:rsidP="00777D22">
            <w:pPr>
              <w:jc w:val="left"/>
              <w:rPr>
                <w:color w:val="000000"/>
                <w:sz w:val="20"/>
                <w:szCs w:val="20"/>
                <w:lang w:val="fr-CA" w:eastAsia="en-CA"/>
              </w:rPr>
            </w:pPr>
            <w:r w:rsidRPr="007F3EAA">
              <w:rPr>
                <w:color w:val="000000"/>
                <w:sz w:val="20"/>
                <w:szCs w:val="20"/>
                <w:lang w:val="fr-CA" w:eastAsia="en-CA"/>
              </w:rPr>
              <w:t>Secteur des halons</w:t>
            </w:r>
            <w:r w:rsidR="00E3032B" w:rsidRPr="007F3EAA">
              <w:rPr>
                <w:color w:val="000000"/>
                <w:sz w:val="20"/>
                <w:szCs w:val="20"/>
                <w:lang w:val="fr-CA" w:eastAsia="en-CA"/>
              </w:rPr>
              <w:t xml:space="preserve"> </w:t>
            </w:r>
          </w:p>
        </w:tc>
        <w:tc>
          <w:tcPr>
            <w:tcW w:w="1026" w:type="pct"/>
            <w:tcBorders>
              <w:top w:val="nil"/>
              <w:left w:val="nil"/>
              <w:bottom w:val="single" w:sz="4" w:space="0" w:color="auto"/>
              <w:right w:val="single" w:sz="4" w:space="0" w:color="auto"/>
            </w:tcBorders>
            <w:shd w:val="clear" w:color="auto" w:fill="auto"/>
            <w:noWrap/>
            <w:vAlign w:val="center"/>
          </w:tcPr>
          <w:p w14:paraId="570EED39" w14:textId="5D68B227" w:rsidR="00E3032B" w:rsidRPr="007F3EAA" w:rsidRDefault="00E3032B" w:rsidP="00425136">
            <w:pPr>
              <w:jc w:val="right"/>
              <w:rPr>
                <w:color w:val="000000"/>
                <w:sz w:val="20"/>
                <w:szCs w:val="20"/>
                <w:lang w:val="fr-CA" w:eastAsia="en-CA"/>
              </w:rPr>
            </w:pPr>
            <w:r w:rsidRPr="007F3EAA">
              <w:rPr>
                <w:color w:val="000000"/>
                <w:sz w:val="20"/>
                <w:szCs w:val="20"/>
                <w:lang w:val="fr-CA" w:eastAsia="en-CA"/>
              </w:rPr>
              <w:t>8</w:t>
            </w:r>
            <w:r w:rsidR="006D6BEB" w:rsidRPr="007F3EAA">
              <w:rPr>
                <w:color w:val="000000"/>
                <w:sz w:val="20"/>
                <w:szCs w:val="20"/>
                <w:lang w:val="fr-CA" w:eastAsia="en-CA"/>
              </w:rPr>
              <w:t xml:space="preserve"> </w:t>
            </w:r>
            <w:r w:rsidRPr="007F3EAA">
              <w:rPr>
                <w:color w:val="000000"/>
                <w:sz w:val="20"/>
                <w:szCs w:val="20"/>
                <w:lang w:val="fr-CA" w:eastAsia="en-CA"/>
              </w:rPr>
              <w:t>913</w:t>
            </w:r>
            <w:r w:rsidR="006D6BEB" w:rsidRPr="007F3EAA">
              <w:rPr>
                <w:color w:val="000000"/>
                <w:sz w:val="20"/>
                <w:szCs w:val="20"/>
                <w:lang w:val="fr-CA" w:eastAsia="en-CA"/>
              </w:rPr>
              <w:t xml:space="preserve"> </w:t>
            </w:r>
            <w:r w:rsidRPr="007F3EAA">
              <w:rPr>
                <w:color w:val="000000"/>
                <w:sz w:val="20"/>
                <w:szCs w:val="20"/>
                <w:lang w:val="fr-CA" w:eastAsia="en-CA"/>
              </w:rPr>
              <w:t>167</w:t>
            </w:r>
          </w:p>
        </w:tc>
        <w:tc>
          <w:tcPr>
            <w:tcW w:w="1013" w:type="pct"/>
            <w:tcBorders>
              <w:top w:val="nil"/>
              <w:left w:val="nil"/>
              <w:bottom w:val="single" w:sz="4" w:space="0" w:color="auto"/>
              <w:right w:val="single" w:sz="4" w:space="0" w:color="auto"/>
            </w:tcBorders>
            <w:shd w:val="clear" w:color="auto" w:fill="auto"/>
            <w:noWrap/>
            <w:vAlign w:val="center"/>
          </w:tcPr>
          <w:p w14:paraId="72AF8EDA" w14:textId="1E7E62FA" w:rsidR="00E3032B" w:rsidRPr="007F3EAA" w:rsidRDefault="00E3032B" w:rsidP="00425136">
            <w:pPr>
              <w:jc w:val="right"/>
              <w:rPr>
                <w:color w:val="000000"/>
                <w:sz w:val="20"/>
                <w:szCs w:val="20"/>
                <w:lang w:val="fr-CA" w:eastAsia="en-CA"/>
              </w:rPr>
            </w:pPr>
            <w:r w:rsidRPr="007F3EAA">
              <w:rPr>
                <w:color w:val="000000"/>
                <w:sz w:val="20"/>
                <w:szCs w:val="20"/>
                <w:lang w:val="fr-CA" w:eastAsia="en-CA"/>
              </w:rPr>
              <w:t>8</w:t>
            </w:r>
            <w:r w:rsidR="006D6BEB" w:rsidRPr="007F3EAA">
              <w:rPr>
                <w:color w:val="000000"/>
                <w:sz w:val="20"/>
                <w:szCs w:val="20"/>
                <w:lang w:val="fr-CA" w:eastAsia="en-CA"/>
              </w:rPr>
              <w:t xml:space="preserve"> </w:t>
            </w:r>
            <w:r w:rsidRPr="007F3EAA">
              <w:rPr>
                <w:color w:val="000000"/>
                <w:sz w:val="20"/>
                <w:szCs w:val="20"/>
                <w:lang w:val="fr-CA" w:eastAsia="en-CA"/>
              </w:rPr>
              <w:t>723</w:t>
            </w:r>
            <w:r w:rsidR="006D6BEB" w:rsidRPr="007F3EAA">
              <w:rPr>
                <w:color w:val="000000"/>
                <w:sz w:val="20"/>
                <w:szCs w:val="20"/>
                <w:lang w:val="fr-CA" w:eastAsia="en-CA"/>
              </w:rPr>
              <w:t xml:space="preserve"> </w:t>
            </w:r>
            <w:r w:rsidRPr="007F3EAA">
              <w:rPr>
                <w:color w:val="000000"/>
                <w:sz w:val="20"/>
                <w:szCs w:val="20"/>
                <w:lang w:val="fr-CA" w:eastAsia="en-CA"/>
              </w:rPr>
              <w:t>002</w:t>
            </w:r>
          </w:p>
        </w:tc>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14:paraId="540837A8" w14:textId="4999FAA7" w:rsidR="00E3032B" w:rsidRPr="007F3EAA" w:rsidRDefault="006D6BEB" w:rsidP="00425136">
            <w:pPr>
              <w:jc w:val="right"/>
              <w:rPr>
                <w:color w:val="000000"/>
                <w:sz w:val="20"/>
                <w:szCs w:val="20"/>
                <w:lang w:val="fr-CA" w:eastAsia="en-CA"/>
              </w:rPr>
            </w:pPr>
            <w:r w:rsidRPr="007F3EAA">
              <w:rPr>
                <w:color w:val="000000"/>
                <w:sz w:val="20"/>
                <w:szCs w:val="20"/>
                <w:lang w:val="fr-CA" w:eastAsia="en-CA"/>
              </w:rPr>
              <w:t xml:space="preserve">22 </w:t>
            </w:r>
            <w:r w:rsidR="00E3032B" w:rsidRPr="007F3EAA">
              <w:rPr>
                <w:color w:val="000000"/>
                <w:sz w:val="20"/>
                <w:szCs w:val="20"/>
                <w:lang w:val="fr-CA" w:eastAsia="en-CA"/>
              </w:rPr>
              <w:t>163</w:t>
            </w:r>
          </w:p>
        </w:tc>
        <w:tc>
          <w:tcPr>
            <w:tcW w:w="918" w:type="pct"/>
            <w:tcBorders>
              <w:top w:val="nil"/>
              <w:left w:val="nil"/>
              <w:bottom w:val="single" w:sz="4" w:space="0" w:color="auto"/>
              <w:right w:val="single" w:sz="4" w:space="0" w:color="auto"/>
            </w:tcBorders>
            <w:shd w:val="clear" w:color="auto" w:fill="auto"/>
            <w:noWrap/>
            <w:vAlign w:val="center"/>
            <w:hideMark/>
          </w:tcPr>
          <w:p w14:paraId="5A4C089D" w14:textId="00D8CF76" w:rsidR="00E3032B" w:rsidRPr="007F3EAA" w:rsidRDefault="006D6BEB" w:rsidP="00101847">
            <w:pPr>
              <w:jc w:val="center"/>
              <w:rPr>
                <w:color w:val="000000"/>
                <w:sz w:val="20"/>
                <w:szCs w:val="20"/>
                <w:lang w:val="fr-CA" w:eastAsia="en-CA"/>
              </w:rPr>
            </w:pPr>
            <w:r w:rsidRPr="007F3EAA">
              <w:rPr>
                <w:color w:val="000000"/>
                <w:sz w:val="20"/>
                <w:szCs w:val="20"/>
                <w:lang w:val="fr-CA" w:eastAsia="en-CA"/>
              </w:rPr>
              <w:t>Décembre</w:t>
            </w:r>
            <w:r w:rsidR="00E3032B" w:rsidRPr="007F3EAA">
              <w:rPr>
                <w:color w:val="000000"/>
                <w:sz w:val="20"/>
                <w:szCs w:val="20"/>
                <w:lang w:val="fr-CA" w:eastAsia="en-CA"/>
              </w:rPr>
              <w:t xml:space="preserve"> 2020</w:t>
            </w:r>
          </w:p>
        </w:tc>
      </w:tr>
      <w:tr w:rsidR="00E3032B" w:rsidRPr="007F3EAA" w14:paraId="40C2F0C7" w14:textId="77777777" w:rsidTr="001474DD">
        <w:tc>
          <w:tcPr>
            <w:tcW w:w="1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5E21F" w14:textId="19811CAB" w:rsidR="00E3032B" w:rsidRPr="007F3EAA" w:rsidRDefault="006D6BEB" w:rsidP="00777D22">
            <w:pPr>
              <w:jc w:val="left"/>
              <w:rPr>
                <w:color w:val="000000"/>
                <w:sz w:val="20"/>
                <w:szCs w:val="20"/>
                <w:lang w:val="fr-CA" w:eastAsia="en-CA"/>
              </w:rPr>
            </w:pPr>
            <w:r w:rsidRPr="007F3EAA">
              <w:rPr>
                <w:color w:val="000000"/>
                <w:sz w:val="20"/>
                <w:szCs w:val="20"/>
                <w:lang w:val="fr-CA" w:eastAsia="en-CA"/>
              </w:rPr>
              <w:t>Agent de transformation II</w:t>
            </w:r>
            <w:r w:rsidR="00E3032B" w:rsidRPr="007F3EAA">
              <w:rPr>
                <w:color w:val="000000"/>
                <w:sz w:val="20"/>
                <w:szCs w:val="20"/>
                <w:lang w:val="fr-CA" w:eastAsia="en-CA"/>
              </w:rPr>
              <w:t xml:space="preserve"> </w:t>
            </w:r>
          </w:p>
        </w:tc>
        <w:tc>
          <w:tcPr>
            <w:tcW w:w="1026" w:type="pct"/>
            <w:tcBorders>
              <w:top w:val="single" w:sz="4" w:space="0" w:color="auto"/>
              <w:left w:val="nil"/>
              <w:bottom w:val="single" w:sz="4" w:space="0" w:color="auto"/>
              <w:right w:val="single" w:sz="4" w:space="0" w:color="auto"/>
            </w:tcBorders>
            <w:shd w:val="clear" w:color="auto" w:fill="auto"/>
            <w:noWrap/>
            <w:vAlign w:val="center"/>
          </w:tcPr>
          <w:p w14:paraId="22C0AF35" w14:textId="6309AE35" w:rsidR="00E3032B" w:rsidRPr="007F3EAA" w:rsidRDefault="00E3032B" w:rsidP="00425136">
            <w:pPr>
              <w:jc w:val="right"/>
              <w:rPr>
                <w:color w:val="000000"/>
                <w:sz w:val="20"/>
                <w:szCs w:val="20"/>
                <w:lang w:val="fr-CA" w:eastAsia="en-CA"/>
              </w:rPr>
            </w:pPr>
            <w:r w:rsidRPr="007F3EAA">
              <w:rPr>
                <w:color w:val="000000"/>
                <w:sz w:val="20"/>
                <w:szCs w:val="20"/>
                <w:lang w:val="fr-CA" w:eastAsia="en-CA"/>
              </w:rPr>
              <w:t>2</w:t>
            </w:r>
            <w:r w:rsidR="006D6BEB" w:rsidRPr="007F3EAA">
              <w:rPr>
                <w:color w:val="000000"/>
                <w:sz w:val="20"/>
                <w:szCs w:val="20"/>
                <w:lang w:val="fr-CA" w:eastAsia="en-CA"/>
              </w:rPr>
              <w:t xml:space="preserve"> </w:t>
            </w:r>
            <w:r w:rsidRPr="007F3EAA">
              <w:rPr>
                <w:color w:val="000000"/>
                <w:sz w:val="20"/>
                <w:szCs w:val="20"/>
                <w:lang w:val="fr-CA" w:eastAsia="en-CA"/>
              </w:rPr>
              <w:t>084</w:t>
            </w:r>
            <w:r w:rsidR="006D6BEB" w:rsidRPr="007F3EAA">
              <w:rPr>
                <w:color w:val="000000"/>
                <w:sz w:val="20"/>
                <w:szCs w:val="20"/>
                <w:lang w:val="fr-CA" w:eastAsia="en-CA"/>
              </w:rPr>
              <w:t xml:space="preserve"> </w:t>
            </w:r>
            <w:r w:rsidRPr="007F3EAA">
              <w:rPr>
                <w:color w:val="000000"/>
                <w:sz w:val="20"/>
                <w:szCs w:val="20"/>
                <w:lang w:val="fr-CA" w:eastAsia="en-CA"/>
              </w:rPr>
              <w:t>808</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550E45F7" w14:textId="450022A9" w:rsidR="00E3032B" w:rsidRPr="007F3EAA" w:rsidRDefault="00E3032B" w:rsidP="00425136">
            <w:pPr>
              <w:jc w:val="right"/>
              <w:rPr>
                <w:color w:val="000000"/>
                <w:sz w:val="20"/>
                <w:szCs w:val="20"/>
                <w:lang w:val="fr-CA" w:eastAsia="en-CA"/>
              </w:rPr>
            </w:pPr>
            <w:r w:rsidRPr="007F3EAA">
              <w:rPr>
                <w:color w:val="000000"/>
                <w:sz w:val="20"/>
                <w:szCs w:val="20"/>
                <w:lang w:val="fr-CA" w:eastAsia="en-CA"/>
              </w:rPr>
              <w:t>-332</w:t>
            </w:r>
            <w:r w:rsidR="006D6BEB" w:rsidRPr="007F3EAA">
              <w:rPr>
                <w:color w:val="000000"/>
                <w:sz w:val="20"/>
                <w:szCs w:val="20"/>
                <w:lang w:val="fr-CA" w:eastAsia="en-CA"/>
              </w:rPr>
              <w:t xml:space="preserve"> </w:t>
            </w:r>
            <w:r w:rsidRPr="007F3EAA">
              <w:rPr>
                <w:color w:val="000000"/>
                <w:sz w:val="20"/>
                <w:szCs w:val="20"/>
                <w:lang w:val="fr-CA" w:eastAsia="en-CA"/>
              </w:rPr>
              <w:t>188*</w:t>
            </w:r>
          </w:p>
        </w:tc>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EFA09" w14:textId="77777777" w:rsidR="00E3032B" w:rsidRPr="007F3EAA" w:rsidRDefault="00E3032B" w:rsidP="00425136">
            <w:pPr>
              <w:jc w:val="left"/>
              <w:rPr>
                <w:color w:val="000000"/>
                <w:sz w:val="20"/>
                <w:szCs w:val="20"/>
                <w:lang w:val="fr-CA" w:eastAsia="en-CA"/>
              </w:rPr>
            </w:pP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14:paraId="30EAF4ED" w14:textId="0ADCFFEB" w:rsidR="00E3032B" w:rsidRPr="007F3EAA" w:rsidRDefault="006D6BEB" w:rsidP="00101847">
            <w:pPr>
              <w:jc w:val="center"/>
              <w:rPr>
                <w:color w:val="000000"/>
                <w:sz w:val="20"/>
                <w:szCs w:val="20"/>
                <w:lang w:val="fr-CA" w:eastAsia="en-CA"/>
              </w:rPr>
            </w:pPr>
            <w:r w:rsidRPr="007F3EAA">
              <w:rPr>
                <w:color w:val="000000"/>
                <w:sz w:val="20"/>
                <w:szCs w:val="20"/>
                <w:lang w:val="fr-CA" w:eastAsia="en-CA"/>
              </w:rPr>
              <w:t>Décembre</w:t>
            </w:r>
            <w:r w:rsidR="00E3032B" w:rsidRPr="007F3EAA">
              <w:rPr>
                <w:color w:val="000000"/>
                <w:sz w:val="20"/>
                <w:szCs w:val="20"/>
                <w:lang w:val="fr-CA" w:eastAsia="en-CA"/>
              </w:rPr>
              <w:t xml:space="preserve"> 2020</w:t>
            </w:r>
          </w:p>
        </w:tc>
      </w:tr>
    </w:tbl>
    <w:p w14:paraId="119BE37A" w14:textId="2FFB605F" w:rsidR="00E3032B" w:rsidRPr="007F3EAA" w:rsidRDefault="00E3032B" w:rsidP="00E3032B">
      <w:pPr>
        <w:spacing w:after="240"/>
        <w:rPr>
          <w:sz w:val="18"/>
          <w:szCs w:val="18"/>
          <w:lang w:val="fr-CA"/>
        </w:rPr>
      </w:pPr>
      <w:r w:rsidRPr="007F3EAA">
        <w:rPr>
          <w:sz w:val="18"/>
          <w:szCs w:val="18"/>
          <w:lang w:val="fr-CA"/>
        </w:rPr>
        <w:t>*</w:t>
      </w:r>
      <w:r w:rsidR="006D6BEB" w:rsidRPr="007F3EAA">
        <w:rPr>
          <w:sz w:val="18"/>
          <w:szCs w:val="18"/>
          <w:lang w:val="fr-CA"/>
        </w:rPr>
        <w:t>Sommes fournies par le gouvernement en tant que cofinancement</w:t>
      </w:r>
      <w:r w:rsidR="00C60F32" w:rsidRPr="007F3EAA">
        <w:rPr>
          <w:sz w:val="18"/>
          <w:szCs w:val="18"/>
          <w:lang w:val="fr-CA"/>
        </w:rPr>
        <w:t xml:space="preserve"> pour le plan sectoriel en 2020</w:t>
      </w:r>
      <w:r w:rsidR="00777D22" w:rsidRPr="007F3EAA">
        <w:rPr>
          <w:sz w:val="18"/>
          <w:szCs w:val="18"/>
          <w:lang w:val="fr-CA"/>
        </w:rPr>
        <w:t>.</w:t>
      </w:r>
    </w:p>
    <w:p w14:paraId="2472895A" w14:textId="05BA6F0E" w:rsidR="00E3032B" w:rsidRPr="007F3EAA" w:rsidRDefault="00C60F32" w:rsidP="00E3032B">
      <w:pPr>
        <w:spacing w:after="240"/>
        <w:rPr>
          <w:b/>
          <w:lang w:val="fr-CA"/>
        </w:rPr>
      </w:pPr>
      <w:r w:rsidRPr="007F3EAA">
        <w:rPr>
          <w:b/>
          <w:lang w:val="fr-CA"/>
        </w:rPr>
        <w:t>Observations du Secrétariat</w:t>
      </w:r>
    </w:p>
    <w:p w14:paraId="590C06DA" w14:textId="78D23A4F" w:rsidR="00E3032B" w:rsidRPr="007F3EAA" w:rsidRDefault="00C60F32" w:rsidP="00E3032B">
      <w:pPr>
        <w:widowControl w:val="0"/>
        <w:numPr>
          <w:ilvl w:val="0"/>
          <w:numId w:val="1"/>
        </w:numPr>
        <w:spacing w:after="240"/>
        <w:outlineLvl w:val="0"/>
        <w:rPr>
          <w:lang w:val="fr-CA"/>
        </w:rPr>
      </w:pPr>
      <w:r w:rsidRPr="007F3EAA">
        <w:rPr>
          <w:lang w:val="fr-CA"/>
        </w:rPr>
        <w:t>Le Secrétariat a pris note avec satisfaction du fait que le gouvernement de la Chine ait achevé les plans des secteurs de la production de CFC, de la mousse de polyuréthanne, des solvants et du secteur de l’entretien au 31 décembre 2019, et des plans des secteurs des halons et de l’agent de transformation II au 31 décembre 2020, et que les soldes associés à ces plans sectoriels, ainsi que l’intérêt accumulé, ont été restitués au Fonds multilatéral ou le seront à la 87</w:t>
      </w:r>
      <w:r w:rsidRPr="007F3EAA">
        <w:rPr>
          <w:vertAlign w:val="superscript"/>
          <w:lang w:val="fr-CA"/>
        </w:rPr>
        <w:t>e</w:t>
      </w:r>
      <w:r w:rsidRPr="007F3EAA">
        <w:rPr>
          <w:lang w:val="fr-CA"/>
        </w:rPr>
        <w:t xml:space="preserve"> réunion</w:t>
      </w:r>
      <w:r w:rsidR="00E3032B" w:rsidRPr="007F3EAA">
        <w:rPr>
          <w:lang w:val="fr-CA"/>
        </w:rPr>
        <w:t>.</w:t>
      </w:r>
    </w:p>
    <w:p w14:paraId="3D6FCC23" w14:textId="0D9B8716" w:rsidR="00E3032B" w:rsidRPr="007F3EAA" w:rsidRDefault="00C60F32" w:rsidP="00E3032B">
      <w:pPr>
        <w:numPr>
          <w:ilvl w:val="0"/>
          <w:numId w:val="1"/>
        </w:numPr>
        <w:spacing w:after="240"/>
        <w:outlineLvl w:val="0"/>
        <w:rPr>
          <w:lang w:val="fr-CA"/>
        </w:rPr>
      </w:pPr>
      <w:r w:rsidRPr="007F3EAA">
        <w:rPr>
          <w:lang w:val="fr-CA"/>
        </w:rPr>
        <w:t xml:space="preserve">Conformément à la décision 84/39 c) </w:t>
      </w:r>
      <w:r w:rsidR="00E3032B" w:rsidRPr="007F3EAA">
        <w:rPr>
          <w:lang w:val="fr-CA"/>
        </w:rPr>
        <w:t>iii),</w:t>
      </w:r>
      <w:r w:rsidR="00E3032B" w:rsidRPr="007F3EAA">
        <w:rPr>
          <w:vertAlign w:val="superscript"/>
          <w:lang w:val="fr-CA"/>
        </w:rPr>
        <w:footnoteReference w:id="6"/>
      </w:r>
      <w:r w:rsidR="00E3032B" w:rsidRPr="007F3EAA">
        <w:rPr>
          <w:lang w:val="fr-CA"/>
        </w:rPr>
        <w:t xml:space="preserve"> </w:t>
      </w:r>
      <w:r w:rsidR="00425136" w:rsidRPr="007F3EAA">
        <w:rPr>
          <w:lang w:val="fr-CA"/>
        </w:rPr>
        <w:t xml:space="preserve">la Banque mondiale a </w:t>
      </w:r>
      <w:r w:rsidR="00181A29">
        <w:rPr>
          <w:lang w:val="fr-CA"/>
        </w:rPr>
        <w:t>indiqué</w:t>
      </w:r>
      <w:r w:rsidR="00425136" w:rsidRPr="007F3EAA">
        <w:rPr>
          <w:lang w:val="fr-CA"/>
        </w:rPr>
        <w:t xml:space="preserve"> que les Bureaux de l’écologie et de l’environnement </w:t>
      </w:r>
      <w:r w:rsidR="00020D41" w:rsidRPr="007F3EAA">
        <w:rPr>
          <w:lang w:val="fr-CA"/>
        </w:rPr>
        <w:t xml:space="preserve">(BEE) </w:t>
      </w:r>
      <w:r w:rsidR="00425136" w:rsidRPr="007F3EAA">
        <w:rPr>
          <w:lang w:val="fr-CA"/>
        </w:rPr>
        <w:t xml:space="preserve">locaux poursuivent leurs efforts de gestion et de suivi des SAO conformément aux politiques et réglementations sur la </w:t>
      </w:r>
      <w:r w:rsidR="00181A29">
        <w:rPr>
          <w:lang w:val="fr-CA"/>
        </w:rPr>
        <w:t>gestion des SAO. Il n’y a pas d’autre</w:t>
      </w:r>
      <w:r w:rsidR="00425136" w:rsidRPr="007F3EAA">
        <w:rPr>
          <w:lang w:val="fr-CA"/>
        </w:rPr>
        <w:t xml:space="preserve"> résultat ni de </w:t>
      </w:r>
      <w:r w:rsidR="00425136" w:rsidRPr="007F3EAA">
        <w:rPr>
          <w:lang w:val="fr-CA"/>
        </w:rPr>
        <w:lastRenderedPageBreak/>
        <w:t>cas de consommation ou de production illicite de CFC-11 pouvant faire l’objet d’un compte rendu supplémentaire entre les 86</w:t>
      </w:r>
      <w:r w:rsidR="00425136" w:rsidRPr="007F3EAA">
        <w:rPr>
          <w:vertAlign w:val="superscript"/>
          <w:lang w:val="fr-CA"/>
        </w:rPr>
        <w:t>e</w:t>
      </w:r>
      <w:r w:rsidR="00521388" w:rsidRPr="007F3EAA">
        <w:rPr>
          <w:vertAlign w:val="superscript"/>
        </w:rPr>
        <w:footnoteReference w:id="7"/>
      </w:r>
      <w:r w:rsidR="00425136" w:rsidRPr="007F3EAA">
        <w:rPr>
          <w:vertAlign w:val="superscript"/>
          <w:lang w:val="fr-CA"/>
        </w:rPr>
        <w:t xml:space="preserve"> </w:t>
      </w:r>
      <w:r w:rsidR="00425136" w:rsidRPr="007F3EAA">
        <w:rPr>
          <w:lang w:val="fr-CA"/>
        </w:rPr>
        <w:t>et 87</w:t>
      </w:r>
      <w:r w:rsidR="00425136" w:rsidRPr="007F3EAA">
        <w:rPr>
          <w:vertAlign w:val="superscript"/>
          <w:lang w:val="fr-CA"/>
        </w:rPr>
        <w:t xml:space="preserve">e </w:t>
      </w:r>
      <w:r w:rsidR="00425136" w:rsidRPr="007F3EAA">
        <w:rPr>
          <w:lang w:val="fr-CA"/>
        </w:rPr>
        <w:t>réunions</w:t>
      </w:r>
      <w:r w:rsidR="00E3032B" w:rsidRPr="007F3EAA">
        <w:rPr>
          <w:lang w:val="fr-CA"/>
        </w:rPr>
        <w:t xml:space="preserve">. </w:t>
      </w:r>
    </w:p>
    <w:p w14:paraId="04F7269F" w14:textId="2B860848" w:rsidR="00E3032B" w:rsidRPr="007F3EAA" w:rsidRDefault="00831084" w:rsidP="00E3032B">
      <w:pPr>
        <w:widowControl w:val="0"/>
        <w:numPr>
          <w:ilvl w:val="0"/>
          <w:numId w:val="1"/>
        </w:numPr>
        <w:spacing w:after="240"/>
        <w:outlineLvl w:val="0"/>
        <w:rPr>
          <w:lang w:val="fr-CA"/>
        </w:rPr>
      </w:pPr>
      <w:r w:rsidRPr="007F3EAA">
        <w:rPr>
          <w:lang w:val="fr-CA"/>
        </w:rPr>
        <w:t>Les</w:t>
      </w:r>
      <w:r w:rsidR="00020D41" w:rsidRPr="007F3EAA">
        <w:rPr>
          <w:lang w:val="fr-CA"/>
        </w:rPr>
        <w:t xml:space="preserve"> rapports d’achèvement de projets des secteurs de la production de CFC, de la mousse de polyuréthanne, des halons et de l’agent de transformation II contiennent des données financières conformes à celles présentées dans les rapports de vérification financière</w:t>
      </w:r>
      <w:r w:rsidR="006578DC" w:rsidRPr="007F3EAA">
        <w:rPr>
          <w:lang w:val="fr-CA"/>
        </w:rPr>
        <w:t xml:space="preserve"> et </w:t>
      </w:r>
      <w:r w:rsidR="00DA4DFD">
        <w:rPr>
          <w:lang w:val="fr-CA"/>
        </w:rPr>
        <w:t>de</w:t>
      </w:r>
      <w:r w:rsidR="006578DC" w:rsidRPr="007F3EAA">
        <w:rPr>
          <w:lang w:val="fr-CA"/>
        </w:rPr>
        <w:t xml:space="preserve"> restitution des soldes au Fonds multilatéral, </w:t>
      </w:r>
      <w:r w:rsidRPr="007F3EAA">
        <w:rPr>
          <w:lang w:val="fr-CA"/>
        </w:rPr>
        <w:t xml:space="preserve">mais ce n’est pas le cas pour les rapports d’achèvement de projet pour les secteurs de l’entretien et des solvants, achevés </w:t>
      </w:r>
      <w:r w:rsidR="005962BD">
        <w:rPr>
          <w:lang w:val="fr-CA"/>
        </w:rPr>
        <w:t>en</w:t>
      </w:r>
      <w:r w:rsidRPr="007F3EAA">
        <w:rPr>
          <w:lang w:val="fr-CA"/>
        </w:rPr>
        <w:t xml:space="preserve"> décembre 2019</w:t>
      </w:r>
      <w:r w:rsidR="00E3032B" w:rsidRPr="007F3EAA">
        <w:rPr>
          <w:lang w:val="fr-CA"/>
        </w:rPr>
        <w:t>.</w:t>
      </w:r>
      <w:r w:rsidRPr="007F3EAA">
        <w:rPr>
          <w:lang w:val="fr-CA"/>
        </w:rPr>
        <w:t xml:space="preserve"> L’agent principal, Suivi et évaluation qui sera nommé en 2021 devra poursuivre les travaux avec les agences d’exécution concernées afin de s’assurer que les données financières soient incluses dans ces rapports d’achèvement de projet.</w:t>
      </w:r>
      <w:r w:rsidR="00E3032B" w:rsidRPr="007F3EAA">
        <w:rPr>
          <w:lang w:val="fr-CA"/>
        </w:rPr>
        <w:t xml:space="preserve"> </w:t>
      </w:r>
    </w:p>
    <w:p w14:paraId="18915551" w14:textId="058B7C5D" w:rsidR="00E3032B" w:rsidRPr="007F3EAA" w:rsidRDefault="006578DC" w:rsidP="00E3032B">
      <w:pPr>
        <w:widowControl w:val="0"/>
        <w:spacing w:after="240"/>
        <w:rPr>
          <w:b/>
          <w:bCs/>
          <w:lang w:val="fr-CA"/>
        </w:rPr>
      </w:pPr>
      <w:r w:rsidRPr="007F3EAA">
        <w:rPr>
          <w:b/>
          <w:bCs/>
          <w:lang w:val="fr-CA"/>
        </w:rPr>
        <w:t>Recomma</w:t>
      </w:r>
      <w:r w:rsidR="00E3032B" w:rsidRPr="007F3EAA">
        <w:rPr>
          <w:b/>
          <w:bCs/>
          <w:lang w:val="fr-CA"/>
        </w:rPr>
        <w:t>ndation</w:t>
      </w:r>
    </w:p>
    <w:p w14:paraId="1A82B6B5" w14:textId="2D34F5A1" w:rsidR="00E3032B" w:rsidRPr="007F3EAA" w:rsidRDefault="006578DC" w:rsidP="00E3032B">
      <w:pPr>
        <w:widowControl w:val="0"/>
        <w:numPr>
          <w:ilvl w:val="0"/>
          <w:numId w:val="1"/>
        </w:numPr>
        <w:spacing w:after="240"/>
        <w:outlineLvl w:val="0"/>
        <w:rPr>
          <w:lang w:val="fr-CA"/>
        </w:rPr>
      </w:pPr>
      <w:r w:rsidRPr="007F3EAA">
        <w:rPr>
          <w:lang w:val="fr-CA"/>
        </w:rPr>
        <w:t xml:space="preserve">Le Comité exécutif pourrait souhaiter prendre note </w:t>
      </w:r>
      <w:r w:rsidR="00E3032B" w:rsidRPr="007F3EAA">
        <w:rPr>
          <w:lang w:val="fr-CA"/>
        </w:rPr>
        <w:t>:</w:t>
      </w:r>
    </w:p>
    <w:p w14:paraId="23A7ECA9" w14:textId="262AF562" w:rsidR="00E3032B" w:rsidRPr="007F3EAA" w:rsidRDefault="006578DC" w:rsidP="00E3032B">
      <w:pPr>
        <w:widowControl w:val="0"/>
        <w:numPr>
          <w:ilvl w:val="1"/>
          <w:numId w:val="1"/>
        </w:numPr>
        <w:spacing w:after="240"/>
        <w:outlineLvl w:val="1"/>
        <w:rPr>
          <w:lang w:val="fr-CA"/>
        </w:rPr>
      </w:pPr>
      <w:r w:rsidRPr="007F3EAA">
        <w:rPr>
          <w:lang w:val="fr-CA"/>
        </w:rPr>
        <w:t>Du rapport de vérification financière pour les plans des secteurs des halons et de l’agent de transformation II en Chine, présenté dans le document</w:t>
      </w:r>
      <w:r w:rsidR="00E3032B" w:rsidRPr="007F3EAA">
        <w:rPr>
          <w:lang w:val="fr-CA"/>
        </w:rPr>
        <w:t> UNEP/OzL.Pro/ExCom/87/</w:t>
      </w:r>
      <w:r w:rsidR="00AD043B" w:rsidRPr="007F3EAA">
        <w:rPr>
          <w:lang w:val="fr-CA"/>
        </w:rPr>
        <w:t>9</w:t>
      </w:r>
      <w:r w:rsidR="00E3032B" w:rsidRPr="007F3EAA">
        <w:rPr>
          <w:lang w:val="fr-CA"/>
        </w:rPr>
        <w:t>/Add.</w:t>
      </w:r>
      <w:proofErr w:type="gramStart"/>
      <w:r w:rsidR="00E3032B" w:rsidRPr="007F3EAA">
        <w:rPr>
          <w:lang w:val="fr-CA"/>
        </w:rPr>
        <w:t>1;</w:t>
      </w:r>
      <w:proofErr w:type="gramEnd"/>
      <w:r w:rsidR="00E3032B" w:rsidRPr="007F3EAA">
        <w:rPr>
          <w:lang w:val="fr-CA"/>
        </w:rPr>
        <w:t xml:space="preserve"> </w:t>
      </w:r>
    </w:p>
    <w:p w14:paraId="7C2EDDFE" w14:textId="4ACC1783" w:rsidR="00E3032B" w:rsidRPr="007F3EAA" w:rsidRDefault="006578DC" w:rsidP="00E3032B">
      <w:pPr>
        <w:widowControl w:val="0"/>
        <w:numPr>
          <w:ilvl w:val="1"/>
          <w:numId w:val="1"/>
        </w:numPr>
        <w:spacing w:after="240"/>
        <w:outlineLvl w:val="1"/>
        <w:rPr>
          <w:lang w:val="fr-CA"/>
        </w:rPr>
      </w:pPr>
      <w:r w:rsidRPr="007F3EAA">
        <w:rPr>
          <w:lang w:val="fr-CA"/>
        </w:rPr>
        <w:t>Que la Banque mondiale restituera le solde de 8 723 002 $US du plan du secteur des halons et les intérêts accumulés de 22 163 $US associés aux plans des secteurs des halons et de l’agent de transformation II, à la 87</w:t>
      </w:r>
      <w:r w:rsidRPr="007F3EAA">
        <w:rPr>
          <w:vertAlign w:val="superscript"/>
          <w:lang w:val="fr-CA"/>
        </w:rPr>
        <w:t>e</w:t>
      </w:r>
      <w:r w:rsidRPr="007F3EAA">
        <w:rPr>
          <w:lang w:val="fr-CA"/>
        </w:rPr>
        <w:t xml:space="preserve"> réunion</w:t>
      </w:r>
      <w:r w:rsidR="00CB4D66" w:rsidRPr="007F3EAA">
        <w:rPr>
          <w:lang w:val="fr-CA"/>
        </w:rPr>
        <w:t>.</w:t>
      </w:r>
    </w:p>
    <w:p w14:paraId="16891671" w14:textId="1D6DD323" w:rsidR="001474DD" w:rsidRPr="007F3EAA" w:rsidRDefault="001474DD">
      <w:pPr>
        <w:jc w:val="left"/>
        <w:rPr>
          <w:b/>
          <w:lang w:val="fr-CA"/>
        </w:rPr>
      </w:pPr>
      <w:r w:rsidRPr="007F3EAA">
        <w:rPr>
          <w:b/>
          <w:lang w:val="fr-CA"/>
        </w:rPr>
        <w:br w:type="page"/>
      </w:r>
    </w:p>
    <w:p w14:paraId="0B5CED63" w14:textId="78E6AD87" w:rsidR="00E3032B" w:rsidRPr="007F3EAA" w:rsidRDefault="00E3032B" w:rsidP="00E3032B">
      <w:pPr>
        <w:spacing w:after="240"/>
        <w:ind w:left="1440" w:hanging="1440"/>
        <w:rPr>
          <w:b/>
          <w:lang w:val="fr-CA"/>
        </w:rPr>
      </w:pPr>
      <w:r w:rsidRPr="007F3EAA">
        <w:rPr>
          <w:b/>
          <w:lang w:val="fr-CA"/>
        </w:rPr>
        <w:lastRenderedPageBreak/>
        <w:t>PART</w:t>
      </w:r>
      <w:r w:rsidR="00144A73" w:rsidRPr="007F3EAA">
        <w:rPr>
          <w:b/>
          <w:lang w:val="fr-CA"/>
        </w:rPr>
        <w:t>IE</w:t>
      </w:r>
      <w:r w:rsidRPr="007F3EAA">
        <w:rPr>
          <w:b/>
          <w:lang w:val="fr-CA"/>
        </w:rPr>
        <w:t xml:space="preserve"> II</w:t>
      </w:r>
      <w:r w:rsidR="00144A73" w:rsidRPr="007F3EAA">
        <w:rPr>
          <w:b/>
          <w:lang w:val="fr-CA"/>
        </w:rPr>
        <w:t> :</w:t>
      </w:r>
      <w:r w:rsidRPr="007F3EAA">
        <w:rPr>
          <w:b/>
          <w:lang w:val="fr-CA"/>
        </w:rPr>
        <w:tab/>
      </w:r>
      <w:r w:rsidR="00144A73" w:rsidRPr="007F3EAA">
        <w:rPr>
          <w:b/>
          <w:lang w:val="fr-CA"/>
        </w:rPr>
        <w:t xml:space="preserve">RAPPORT SUR LES PROGRÈS ACCOMPLIS DANS LA MISE EN ŒUVRE DES ACTIVITÉS FIGURANT DANS LA DÉCISION 83/41 </w:t>
      </w:r>
      <w:r w:rsidR="005962BD">
        <w:rPr>
          <w:b/>
          <w:lang w:val="fr-CA"/>
        </w:rPr>
        <w:t>e)</w:t>
      </w:r>
    </w:p>
    <w:p w14:paraId="070BAB5C" w14:textId="35A136A4" w:rsidR="00E3032B" w:rsidRPr="007F3EAA" w:rsidRDefault="00144A73" w:rsidP="00E3032B">
      <w:pPr>
        <w:rPr>
          <w:b/>
          <w:lang w:val="fr-CA"/>
        </w:rPr>
      </w:pPr>
      <w:r w:rsidRPr="007F3EAA">
        <w:rPr>
          <w:b/>
          <w:lang w:val="fr-CA"/>
        </w:rPr>
        <w:t xml:space="preserve">Contexte </w:t>
      </w:r>
    </w:p>
    <w:p w14:paraId="65B9AB55" w14:textId="77777777" w:rsidR="00E3032B" w:rsidRPr="007F3EAA" w:rsidRDefault="00E3032B" w:rsidP="00E3032B">
      <w:pPr>
        <w:rPr>
          <w:lang w:val="fr-CA"/>
        </w:rPr>
      </w:pPr>
    </w:p>
    <w:p w14:paraId="1EEEBD96" w14:textId="307F8364" w:rsidR="00E3032B" w:rsidRPr="007F3EAA" w:rsidRDefault="00144A73" w:rsidP="00E3032B">
      <w:pPr>
        <w:numPr>
          <w:ilvl w:val="0"/>
          <w:numId w:val="1"/>
        </w:numPr>
        <w:spacing w:after="240"/>
        <w:outlineLvl w:val="0"/>
        <w:rPr>
          <w:lang w:val="fr-CA"/>
        </w:rPr>
      </w:pPr>
      <w:r w:rsidRPr="007F3EAA">
        <w:rPr>
          <w:lang w:val="fr-CA"/>
        </w:rPr>
        <w:t>L</w:t>
      </w:r>
      <w:r w:rsidR="008C1D64" w:rsidRPr="007F3EAA">
        <w:rPr>
          <w:lang w:val="fr-CA"/>
        </w:rPr>
        <w:t>e</w:t>
      </w:r>
      <w:r w:rsidRPr="007F3EAA">
        <w:rPr>
          <w:lang w:val="fr-CA"/>
        </w:rPr>
        <w:t xml:space="preserve"> Comité exécutif, à sa 83</w:t>
      </w:r>
      <w:r w:rsidRPr="007F3EAA">
        <w:rPr>
          <w:vertAlign w:val="superscript"/>
          <w:lang w:val="fr-CA"/>
        </w:rPr>
        <w:t>e</w:t>
      </w:r>
      <w:r w:rsidRPr="007F3EAA">
        <w:rPr>
          <w:lang w:val="fr-CA"/>
        </w:rPr>
        <w:t xml:space="preserve"> réunion, a examiné les deux documents suivants </w:t>
      </w:r>
      <w:r w:rsidR="00E3032B" w:rsidRPr="007F3EAA">
        <w:rPr>
          <w:lang w:val="fr-CA"/>
        </w:rPr>
        <w:t>:</w:t>
      </w:r>
    </w:p>
    <w:p w14:paraId="47EBF7F0" w14:textId="675365B9" w:rsidR="00E3032B" w:rsidRPr="007F3EAA" w:rsidRDefault="008C1D64" w:rsidP="00E3032B">
      <w:pPr>
        <w:widowControl w:val="0"/>
        <w:numPr>
          <w:ilvl w:val="1"/>
          <w:numId w:val="1"/>
        </w:numPr>
        <w:spacing w:after="240"/>
        <w:outlineLvl w:val="1"/>
        <w:rPr>
          <w:lang w:val="fr-CA"/>
        </w:rPr>
      </w:pPr>
      <w:r w:rsidRPr="007F3EAA">
        <w:rPr>
          <w:lang w:val="fr-CA"/>
        </w:rPr>
        <w:t>Examen des systèmes actuels de suivi, établissement de rapports, vérification et exécution dans le contexte des Accords sur les plans de gestion de l’élimination de la production et de la consommation de HCFC entre le gouvernement de la Chine et le Comité exécutif, remis par le PNUD au nom du gouvernement de la Chine, conformément aux décisions 82/65 et 82/7 a</w:t>
      </w:r>
      <w:proofErr w:type="gramStart"/>
      <w:r w:rsidRPr="007F3EAA">
        <w:rPr>
          <w:lang w:val="fr-CA"/>
        </w:rPr>
        <w:t>);</w:t>
      </w:r>
      <w:proofErr w:type="gramEnd"/>
    </w:p>
    <w:p w14:paraId="429380DD" w14:textId="449C1E96" w:rsidR="00E3032B" w:rsidRPr="007F3EAA" w:rsidRDefault="008C1D64" w:rsidP="00E3032B">
      <w:pPr>
        <w:widowControl w:val="0"/>
        <w:numPr>
          <w:ilvl w:val="1"/>
          <w:numId w:val="1"/>
        </w:numPr>
        <w:spacing w:after="240"/>
        <w:outlineLvl w:val="1"/>
        <w:rPr>
          <w:lang w:val="fr-CA"/>
        </w:rPr>
      </w:pPr>
      <w:r w:rsidRPr="007F3EAA">
        <w:rPr>
          <w:lang w:val="fr-CA"/>
        </w:rPr>
        <w:t xml:space="preserve">Étude théorique sur le système actuel de suivi de la consommation d’agents de gonflage de la mousse dans les entreprises ayant reçu de l’assistance à la phase I du plan de gestion de l’élimination des HCFC et </w:t>
      </w:r>
      <w:r w:rsidR="005962BD">
        <w:rPr>
          <w:lang w:val="fr-CA"/>
        </w:rPr>
        <w:t xml:space="preserve">de </w:t>
      </w:r>
      <w:r w:rsidRPr="007F3EAA">
        <w:rPr>
          <w:lang w:val="fr-CA"/>
        </w:rPr>
        <w:t>la méthodologie de vérification présentée par la Banque mondiale au nom du gouvernement de la Chine, conformément à la décision 82/67 c)</w:t>
      </w:r>
      <w:r w:rsidR="00E3032B" w:rsidRPr="007F3EAA">
        <w:rPr>
          <w:lang w:val="fr-CA"/>
        </w:rPr>
        <w:t xml:space="preserve">. </w:t>
      </w:r>
    </w:p>
    <w:p w14:paraId="2FC36D7C" w14:textId="4FF880D5" w:rsidR="00E3032B" w:rsidRPr="007F3EAA" w:rsidRDefault="008C1D64" w:rsidP="00E3032B">
      <w:pPr>
        <w:numPr>
          <w:ilvl w:val="0"/>
          <w:numId w:val="1"/>
        </w:numPr>
        <w:spacing w:after="240"/>
        <w:outlineLvl w:val="0"/>
        <w:rPr>
          <w:lang w:val="fr-CA"/>
        </w:rPr>
      </w:pPr>
      <w:r w:rsidRPr="007F3EAA">
        <w:rPr>
          <w:lang w:val="fr-CA"/>
        </w:rPr>
        <w:t xml:space="preserve">Au cours de </w:t>
      </w:r>
      <w:r w:rsidR="00FB259C" w:rsidRPr="007F3EAA">
        <w:rPr>
          <w:lang w:val="fr-CA"/>
        </w:rPr>
        <w:t xml:space="preserve">ses débats, le Comité exécutif a accueilli plusieurs mesures de réglementation et d’application que devait entreprendre le </w:t>
      </w:r>
      <w:proofErr w:type="gramStart"/>
      <w:r w:rsidR="00FB259C" w:rsidRPr="007F3EAA">
        <w:rPr>
          <w:lang w:val="fr-CA"/>
        </w:rPr>
        <w:t>gouvernement;</w:t>
      </w:r>
      <w:proofErr w:type="gramEnd"/>
      <w:r w:rsidR="00FB259C" w:rsidRPr="007F3EAA">
        <w:rPr>
          <w:lang w:val="fr-CA"/>
        </w:rPr>
        <w:t xml:space="preserve"> a pris note avec satisfaction que le gouvernement entreprendra des mesures supplémentaire</w:t>
      </w:r>
      <w:r w:rsidR="00DA4DFD">
        <w:rPr>
          <w:lang w:val="fr-CA"/>
        </w:rPr>
        <w:t>s</w:t>
      </w:r>
      <w:r w:rsidR="00FB259C" w:rsidRPr="007F3EAA">
        <w:rPr>
          <w:lang w:val="fr-CA"/>
        </w:rPr>
        <w:t xml:space="preserve"> en appui à ses mesures d’application; et a également pris note avec satisfaction que le gouvernement se penchera sur une série de suggestions pour compléter et accroître le nombre de mesures réglementaires et d’application. Le Comité exécutif a également pris note que le gouvernement de la Chine remettra un rapport à la 84</w:t>
      </w:r>
      <w:r w:rsidR="00FB259C" w:rsidRPr="007F3EAA">
        <w:rPr>
          <w:vertAlign w:val="superscript"/>
          <w:lang w:val="fr-CA"/>
        </w:rPr>
        <w:t>e</w:t>
      </w:r>
      <w:r w:rsidR="00FB259C" w:rsidRPr="007F3EAA">
        <w:rPr>
          <w:lang w:val="fr-CA"/>
        </w:rPr>
        <w:t xml:space="preserve"> réunion et de nouveau à la 86</w:t>
      </w:r>
      <w:r w:rsidR="00FB259C" w:rsidRPr="007F3EAA">
        <w:rPr>
          <w:vertAlign w:val="superscript"/>
          <w:lang w:val="fr-CA"/>
        </w:rPr>
        <w:t>e</w:t>
      </w:r>
      <w:r w:rsidR="00FB259C" w:rsidRPr="007F3EAA">
        <w:rPr>
          <w:lang w:val="fr-CA"/>
        </w:rPr>
        <w:t xml:space="preserve"> réunion sur les progrès qu’il a accomplis au titre des activités décrites aux alinéas a) </w:t>
      </w:r>
      <w:r w:rsidR="005962BD">
        <w:rPr>
          <w:lang w:val="fr-CA"/>
        </w:rPr>
        <w:t>à d)</w:t>
      </w:r>
      <w:r w:rsidR="00FB259C" w:rsidRPr="007F3EAA">
        <w:rPr>
          <w:lang w:val="fr-CA"/>
        </w:rPr>
        <w:t xml:space="preserve"> de la décision 83/41</w:t>
      </w:r>
      <w:r w:rsidR="00E3032B" w:rsidRPr="007F3EAA">
        <w:rPr>
          <w:lang w:val="fr-CA"/>
        </w:rPr>
        <w:t>.</w:t>
      </w:r>
    </w:p>
    <w:p w14:paraId="774C07A8" w14:textId="0539D76D" w:rsidR="00E3032B" w:rsidRPr="007F3EAA" w:rsidRDefault="00FB259C" w:rsidP="00E3032B">
      <w:pPr>
        <w:numPr>
          <w:ilvl w:val="0"/>
          <w:numId w:val="1"/>
        </w:numPr>
        <w:spacing w:after="240"/>
        <w:outlineLvl w:val="0"/>
        <w:rPr>
          <w:lang w:val="fr-CA"/>
        </w:rPr>
      </w:pPr>
      <w:r w:rsidRPr="007F3EAA">
        <w:rPr>
          <w:lang w:val="fr-CA"/>
        </w:rPr>
        <w:t>Le Comité exécutif, à sa 84</w:t>
      </w:r>
      <w:r w:rsidRPr="007F3EAA">
        <w:rPr>
          <w:vertAlign w:val="superscript"/>
          <w:lang w:val="fr-CA"/>
        </w:rPr>
        <w:t>e</w:t>
      </w:r>
      <w:r w:rsidRPr="007F3EAA">
        <w:rPr>
          <w:lang w:val="fr-CA"/>
        </w:rPr>
        <w:t xml:space="preserve"> réunion, a examiné le rapport périodique présenté par le gouvernement de la Chine conformément à la décision 83/41 e)</w:t>
      </w:r>
      <w:r w:rsidR="00E3032B" w:rsidRPr="007F3EAA">
        <w:rPr>
          <w:lang w:val="fr-CA"/>
        </w:rPr>
        <w:t>).</w:t>
      </w:r>
      <w:r w:rsidR="00E3032B" w:rsidRPr="007F3EAA">
        <w:rPr>
          <w:vertAlign w:val="superscript"/>
          <w:lang w:val="fr-CA"/>
        </w:rPr>
        <w:footnoteReference w:id="8"/>
      </w:r>
      <w:r w:rsidR="00E3032B" w:rsidRPr="007F3EAA" w:rsidDel="00D959A4">
        <w:rPr>
          <w:lang w:val="fr-CA"/>
        </w:rPr>
        <w:t xml:space="preserve"> </w:t>
      </w:r>
      <w:r w:rsidR="00EE60C7" w:rsidRPr="007F3EAA">
        <w:rPr>
          <w:lang w:val="fr-CA"/>
        </w:rPr>
        <w:t>À l’issue des échanges, le Comité exécutif a pris note des renseignements fournis par le représentant du gouvernement de la Chine au sujet de la mise en œuvre des activités indiquées dans la décision 83/41</w:t>
      </w:r>
      <w:r w:rsidR="00E3032B" w:rsidRPr="007F3EAA">
        <w:rPr>
          <w:lang w:val="fr-CA"/>
        </w:rPr>
        <w:t>.</w:t>
      </w:r>
    </w:p>
    <w:p w14:paraId="3ACEC186" w14:textId="69B628FB" w:rsidR="00E3032B" w:rsidRPr="007F3EAA" w:rsidRDefault="00EE60C7" w:rsidP="00E3032B">
      <w:pPr>
        <w:numPr>
          <w:ilvl w:val="0"/>
          <w:numId w:val="1"/>
        </w:numPr>
        <w:spacing w:after="240"/>
        <w:outlineLvl w:val="0"/>
        <w:rPr>
          <w:lang w:val="fr-CA"/>
        </w:rPr>
      </w:pPr>
      <w:r w:rsidRPr="007F3EAA">
        <w:rPr>
          <w:lang w:val="fr-CA"/>
        </w:rPr>
        <w:t>Le gouvernement de la Chine a remis un rapport périodique en réponse à décision 83</w:t>
      </w:r>
      <w:r w:rsidR="003E184F">
        <w:rPr>
          <w:lang w:val="fr-CA"/>
        </w:rPr>
        <w:t>/</w:t>
      </w:r>
      <w:r w:rsidRPr="007F3EAA">
        <w:rPr>
          <w:lang w:val="fr-CA"/>
        </w:rPr>
        <w:t>41 (</w:t>
      </w:r>
      <w:r w:rsidRPr="007F3EAA">
        <w:rPr>
          <w:i/>
          <w:lang w:val="fr-CA"/>
        </w:rPr>
        <w:t>« Rapport périodique »</w:t>
      </w:r>
      <w:r w:rsidRPr="007F3EAA">
        <w:rPr>
          <w:lang w:val="fr-CA"/>
        </w:rPr>
        <w:t>) à la 86</w:t>
      </w:r>
      <w:r w:rsidRPr="007F3EAA">
        <w:rPr>
          <w:vertAlign w:val="superscript"/>
          <w:lang w:val="fr-CA"/>
        </w:rPr>
        <w:t>e</w:t>
      </w:r>
      <w:r w:rsidRPr="007F3EAA">
        <w:rPr>
          <w:lang w:val="fr-CA"/>
        </w:rPr>
        <w:t xml:space="preserve"> réunion du Comité exécutif. Le Comité exécutif a reporté l’examen du rapport périodique à la 87</w:t>
      </w:r>
      <w:r w:rsidRPr="007F3EAA">
        <w:rPr>
          <w:vertAlign w:val="superscript"/>
          <w:lang w:val="fr-CA"/>
        </w:rPr>
        <w:t>e</w:t>
      </w:r>
      <w:r w:rsidRPr="007F3EAA">
        <w:rPr>
          <w:lang w:val="fr-CA"/>
        </w:rPr>
        <w:t xml:space="preserve"> réunion</w:t>
      </w:r>
      <w:r w:rsidR="003E184F">
        <w:rPr>
          <w:lang w:val="fr-CA"/>
        </w:rPr>
        <w:t>,</w:t>
      </w:r>
      <w:r w:rsidRPr="007F3EAA">
        <w:rPr>
          <w:lang w:val="fr-CA"/>
        </w:rPr>
        <w:t xml:space="preserve"> conformément à la procédure convenue pour la tenue de la 86</w:t>
      </w:r>
      <w:r w:rsidRPr="007F3EAA">
        <w:rPr>
          <w:vertAlign w:val="superscript"/>
          <w:lang w:val="fr-CA"/>
        </w:rPr>
        <w:t>e</w:t>
      </w:r>
      <w:r w:rsidRPr="007F3EAA">
        <w:rPr>
          <w:lang w:val="fr-CA"/>
        </w:rPr>
        <w:t xml:space="preserve"> réunion</w:t>
      </w:r>
      <w:r w:rsidR="00E3032B" w:rsidRPr="007F3EAA">
        <w:rPr>
          <w:lang w:val="fr-CA"/>
        </w:rPr>
        <w:t>.</w:t>
      </w:r>
      <w:r w:rsidR="00E3032B" w:rsidRPr="007F3EAA">
        <w:rPr>
          <w:vertAlign w:val="superscript"/>
          <w:lang w:val="fr-CA"/>
        </w:rPr>
        <w:footnoteReference w:id="9"/>
      </w:r>
      <w:r w:rsidR="00E3032B" w:rsidRPr="007F3EAA">
        <w:rPr>
          <w:lang w:val="fr-CA"/>
        </w:rPr>
        <w:t xml:space="preserve"> </w:t>
      </w:r>
      <w:r w:rsidRPr="007F3EAA">
        <w:rPr>
          <w:lang w:val="fr-CA"/>
        </w:rPr>
        <w:t xml:space="preserve">Le rapport périodique </w:t>
      </w:r>
      <w:r w:rsidR="00521388" w:rsidRPr="007F3EAA">
        <w:rPr>
          <w:lang w:val="fr-CA"/>
        </w:rPr>
        <w:t>intégral, sans révision ni examen supplémentaire, est joint au présent document</w:t>
      </w:r>
      <w:r w:rsidR="00E3032B" w:rsidRPr="007F3EAA">
        <w:rPr>
          <w:lang w:val="fr-CA"/>
        </w:rPr>
        <w:t>.</w:t>
      </w:r>
    </w:p>
    <w:p w14:paraId="544209C7" w14:textId="39DCA393" w:rsidR="001474DD" w:rsidRPr="007F3EAA" w:rsidRDefault="001474DD">
      <w:pPr>
        <w:jc w:val="left"/>
        <w:rPr>
          <w:b/>
          <w:lang w:val="fr-CA"/>
        </w:rPr>
      </w:pPr>
      <w:r w:rsidRPr="007F3EAA">
        <w:rPr>
          <w:b/>
          <w:lang w:val="fr-CA"/>
        </w:rPr>
        <w:br w:type="page"/>
      </w:r>
    </w:p>
    <w:p w14:paraId="2B09AA4C" w14:textId="4EFBEAF2" w:rsidR="00E3032B" w:rsidRPr="007F3EAA" w:rsidRDefault="00E3032B" w:rsidP="00144A73">
      <w:pPr>
        <w:ind w:left="1440" w:hanging="1440"/>
        <w:rPr>
          <w:b/>
          <w:lang w:val="fr-CA"/>
        </w:rPr>
      </w:pPr>
      <w:r w:rsidRPr="007F3EAA">
        <w:rPr>
          <w:b/>
          <w:lang w:val="fr-CA"/>
        </w:rPr>
        <w:lastRenderedPageBreak/>
        <w:t>PART</w:t>
      </w:r>
      <w:r w:rsidR="00144A73" w:rsidRPr="007F3EAA">
        <w:rPr>
          <w:b/>
          <w:lang w:val="fr-CA"/>
        </w:rPr>
        <w:t>IE</w:t>
      </w:r>
      <w:r w:rsidRPr="007F3EAA">
        <w:rPr>
          <w:b/>
          <w:lang w:val="fr-CA"/>
        </w:rPr>
        <w:t xml:space="preserve"> III</w:t>
      </w:r>
      <w:r w:rsidR="00144A73" w:rsidRPr="007F3EAA">
        <w:rPr>
          <w:b/>
          <w:lang w:val="fr-CA"/>
        </w:rPr>
        <w:t xml:space="preserve"> </w:t>
      </w:r>
      <w:r w:rsidRPr="007F3EAA">
        <w:rPr>
          <w:b/>
          <w:lang w:val="fr-CA"/>
        </w:rPr>
        <w:t xml:space="preserve">: </w:t>
      </w:r>
      <w:r w:rsidRPr="007F3EAA">
        <w:rPr>
          <w:b/>
          <w:lang w:val="fr-CA"/>
        </w:rPr>
        <w:tab/>
      </w:r>
      <w:r w:rsidR="00C80C0D" w:rsidRPr="007F3EAA">
        <w:rPr>
          <w:b/>
          <w:lang w:val="fr-CA"/>
        </w:rPr>
        <w:t>ÉTUDE VISANT À DÉTERMINER LES CIRCONSTANCES RÉGLEMENTAIRES, D’APPLICATION, DE POLITIQUE OU DE MARCHÉ QUI AURAIENT PU MENER À LA PRODUCTION ET L’UTILISATION ILLICITES DE CFC-</w:t>
      </w:r>
      <w:r w:rsidR="003E184F">
        <w:rPr>
          <w:b/>
          <w:lang w:val="fr-CA"/>
        </w:rPr>
        <w:t>11 ET DE CFC-12 (DÉCISION 83/41 d</w:t>
      </w:r>
      <w:r w:rsidR="00C80C0D" w:rsidRPr="007F3EAA">
        <w:rPr>
          <w:b/>
          <w:lang w:val="fr-CA"/>
        </w:rPr>
        <w:t>))</w:t>
      </w:r>
    </w:p>
    <w:p w14:paraId="256B562E" w14:textId="77777777" w:rsidR="00144A73" w:rsidRPr="007F3EAA" w:rsidRDefault="00144A73" w:rsidP="00304306">
      <w:pPr>
        <w:rPr>
          <w:b/>
          <w:lang w:val="fr-CA"/>
        </w:rPr>
      </w:pPr>
    </w:p>
    <w:p w14:paraId="2CD6F7CF" w14:textId="61022B45" w:rsidR="00E3032B" w:rsidRPr="007F3EAA" w:rsidRDefault="00C80C0D" w:rsidP="00E3032B">
      <w:pPr>
        <w:rPr>
          <w:b/>
          <w:lang w:val="fr-CA"/>
        </w:rPr>
      </w:pPr>
      <w:r w:rsidRPr="007F3EAA">
        <w:rPr>
          <w:b/>
          <w:lang w:val="fr-CA"/>
        </w:rPr>
        <w:t>Contexte</w:t>
      </w:r>
    </w:p>
    <w:p w14:paraId="4DED7DA4" w14:textId="77777777" w:rsidR="00E3032B" w:rsidRPr="007F3EAA" w:rsidRDefault="00E3032B" w:rsidP="00E3032B">
      <w:pPr>
        <w:rPr>
          <w:lang w:val="fr-CA"/>
        </w:rPr>
      </w:pPr>
    </w:p>
    <w:p w14:paraId="2AF9D452" w14:textId="6AFC9B0D" w:rsidR="00E3032B" w:rsidRPr="007F3EAA" w:rsidRDefault="00C80C0D" w:rsidP="00E3032B">
      <w:pPr>
        <w:numPr>
          <w:ilvl w:val="0"/>
          <w:numId w:val="1"/>
        </w:numPr>
        <w:spacing w:after="240"/>
        <w:outlineLvl w:val="0"/>
        <w:rPr>
          <w:lang w:val="fr-CA"/>
        </w:rPr>
      </w:pPr>
      <w:r w:rsidRPr="007F3EAA">
        <w:rPr>
          <w:lang w:val="fr-CA"/>
        </w:rPr>
        <w:t>Lors de ses échanges sur le système de suivi, établissement de rapports, vérification et exécution de la Chine à sa 83</w:t>
      </w:r>
      <w:r w:rsidRPr="007F3EAA">
        <w:rPr>
          <w:vertAlign w:val="superscript"/>
          <w:lang w:val="fr-CA"/>
        </w:rPr>
        <w:t>e</w:t>
      </w:r>
      <w:r w:rsidRPr="007F3EAA">
        <w:rPr>
          <w:lang w:val="fr-CA"/>
        </w:rPr>
        <w:t xml:space="preserve"> réunion, le Comité exécutif a décidé de prendre note que le gouvernement de la Chine envisagera de rete</w:t>
      </w:r>
      <w:r w:rsidR="00C40688" w:rsidRPr="007F3EAA">
        <w:rPr>
          <w:lang w:val="fr-CA"/>
        </w:rPr>
        <w:t>n</w:t>
      </w:r>
      <w:r w:rsidRPr="007F3EAA">
        <w:rPr>
          <w:lang w:val="fr-CA"/>
        </w:rPr>
        <w:t>ir les services d’</w:t>
      </w:r>
      <w:r w:rsidR="003E184F">
        <w:rPr>
          <w:lang w:val="fr-CA"/>
        </w:rPr>
        <w:t>u</w:t>
      </w:r>
      <w:r w:rsidRPr="007F3EAA">
        <w:rPr>
          <w:lang w:val="fr-CA"/>
        </w:rPr>
        <w:t xml:space="preserve">n consultant non gouvernemental afin d’entreprendre une étude (comprenant des données quantitatives, si elles sont disponibles, et des données qualitatives sur les marchés) </w:t>
      </w:r>
      <w:r w:rsidR="00C40688" w:rsidRPr="007F3EAA">
        <w:rPr>
          <w:lang w:val="fr-CA"/>
        </w:rPr>
        <w:t xml:space="preserve">visant à déterminer les circonstances réglementaires, d’application, de politique ou de marché qui auraient pu mener à la production et l’utilisation </w:t>
      </w:r>
      <w:r w:rsidR="003E184F">
        <w:rPr>
          <w:lang w:val="fr-CA"/>
        </w:rPr>
        <w:t>illicites de CFC-11 et de CFC-</w:t>
      </w:r>
      <w:r w:rsidR="00C40688" w:rsidRPr="007F3EAA">
        <w:rPr>
          <w:lang w:val="fr-CA"/>
        </w:rPr>
        <w:t>12 (décision 83/41 d)</w:t>
      </w:r>
      <w:r w:rsidR="00E3032B" w:rsidRPr="007F3EAA">
        <w:rPr>
          <w:lang w:val="fr-CA"/>
        </w:rPr>
        <w:t xml:space="preserve">. </w:t>
      </w:r>
    </w:p>
    <w:p w14:paraId="4D531C2A" w14:textId="7B528B09" w:rsidR="00E3032B" w:rsidRPr="007F3EAA" w:rsidRDefault="00C40688" w:rsidP="00E3032B">
      <w:pPr>
        <w:numPr>
          <w:ilvl w:val="0"/>
          <w:numId w:val="1"/>
        </w:numPr>
        <w:spacing w:after="240"/>
        <w:outlineLvl w:val="0"/>
        <w:rPr>
          <w:lang w:val="fr-CA"/>
        </w:rPr>
      </w:pPr>
      <w:r w:rsidRPr="007F3EAA">
        <w:rPr>
          <w:lang w:val="fr-CA"/>
        </w:rPr>
        <w:t>À la suite de la décision 83/41 d), le gouvernement de la Chine a remis à la 86</w:t>
      </w:r>
      <w:r w:rsidRPr="007F3EAA">
        <w:rPr>
          <w:vertAlign w:val="superscript"/>
          <w:lang w:val="fr-CA"/>
        </w:rPr>
        <w:t>e</w:t>
      </w:r>
      <w:r w:rsidRPr="007F3EAA">
        <w:rPr>
          <w:lang w:val="fr-CA"/>
        </w:rPr>
        <w:t xml:space="preserve"> réunion l’Étude sur les circonstances de supervision, d’application des lois, de politiqu</w:t>
      </w:r>
      <w:r w:rsidR="003E184F">
        <w:rPr>
          <w:lang w:val="fr-CA"/>
        </w:rPr>
        <w:t>e</w:t>
      </w:r>
      <w:r w:rsidRPr="007F3EAA">
        <w:rPr>
          <w:lang w:val="fr-CA"/>
        </w:rPr>
        <w:t xml:space="preserve"> et de marché des substances qui appauvrissent la couche d’ozone en Chine</w:t>
      </w:r>
      <w:r w:rsidR="003E184F">
        <w:rPr>
          <w:lang w:val="fr-CA"/>
        </w:rPr>
        <w:t>,</w:t>
      </w:r>
      <w:r w:rsidRPr="007F3EAA">
        <w:rPr>
          <w:lang w:val="fr-CA"/>
        </w:rPr>
        <w:t xml:space="preserve"> préparé par le consultant non gouvernemental. Le Comité exécutif a reporté l’examen de l’étude à la 87</w:t>
      </w:r>
      <w:r w:rsidRPr="007F3EAA">
        <w:rPr>
          <w:vertAlign w:val="superscript"/>
          <w:lang w:val="fr-CA"/>
        </w:rPr>
        <w:t>e</w:t>
      </w:r>
      <w:r w:rsidRPr="007F3EAA">
        <w:rPr>
          <w:lang w:val="fr-CA"/>
        </w:rPr>
        <w:t xml:space="preserve"> réunion, conformément aux procédures pour la tenue de la 86</w:t>
      </w:r>
      <w:r w:rsidRPr="007F3EAA">
        <w:rPr>
          <w:vertAlign w:val="superscript"/>
          <w:lang w:val="fr-CA"/>
        </w:rPr>
        <w:t>e</w:t>
      </w:r>
      <w:r w:rsidRPr="007F3EAA">
        <w:rPr>
          <w:lang w:val="fr-CA"/>
        </w:rPr>
        <w:t xml:space="preserve"> réunion</w:t>
      </w:r>
      <w:r w:rsidR="00E3032B" w:rsidRPr="007F3EAA">
        <w:rPr>
          <w:lang w:val="fr-CA"/>
        </w:rPr>
        <w:t>.</w:t>
      </w:r>
      <w:r w:rsidR="00E3032B" w:rsidRPr="007F3EAA">
        <w:rPr>
          <w:vertAlign w:val="superscript"/>
          <w:lang w:val="fr-CA"/>
        </w:rPr>
        <w:footnoteReference w:id="10"/>
      </w:r>
      <w:r w:rsidR="00E3032B" w:rsidRPr="007F3EAA">
        <w:rPr>
          <w:lang w:val="fr-CA"/>
        </w:rPr>
        <w:t xml:space="preserve"> </w:t>
      </w:r>
      <w:r w:rsidR="00FA5B13" w:rsidRPr="007F3EAA">
        <w:rPr>
          <w:lang w:val="fr-CA"/>
        </w:rPr>
        <w:t>Cette étude dans sa version intégrale, sans révision ni examen supplémentaire, est jointe au présent document</w:t>
      </w:r>
      <w:r w:rsidR="00E3032B" w:rsidRPr="007F3EAA">
        <w:rPr>
          <w:lang w:val="fr-CA"/>
        </w:rPr>
        <w:t>.</w:t>
      </w:r>
    </w:p>
    <w:p w14:paraId="086C50F3" w14:textId="77777777" w:rsidR="00E85409" w:rsidRPr="007F3EAA" w:rsidRDefault="00E85409" w:rsidP="004E7F9C">
      <w:pPr>
        <w:rPr>
          <w:lang w:val="fr-CA"/>
        </w:rPr>
      </w:pPr>
    </w:p>
    <w:p w14:paraId="3E6A3E03" w14:textId="77777777" w:rsidR="00E85409" w:rsidRPr="007F3EAA" w:rsidRDefault="00E85409" w:rsidP="004E7F9C">
      <w:pPr>
        <w:rPr>
          <w:lang w:val="fr-CA"/>
        </w:rPr>
      </w:pPr>
    </w:p>
    <w:p w14:paraId="0CD9DABA" w14:textId="77777777" w:rsidR="00E85409" w:rsidRPr="007F3EAA" w:rsidRDefault="00E85409" w:rsidP="004E7F9C">
      <w:pPr>
        <w:rPr>
          <w:lang w:val="fr-CA"/>
        </w:rPr>
      </w:pPr>
    </w:p>
    <w:sectPr w:rsidR="00E85409" w:rsidRPr="007F3EAA"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768A" w14:textId="77777777" w:rsidR="00355B23" w:rsidRDefault="00355B23" w:rsidP="004A504B">
      <w:r>
        <w:separator/>
      </w:r>
    </w:p>
  </w:endnote>
  <w:endnote w:type="continuationSeparator" w:id="0">
    <w:p w14:paraId="6D2B39C7" w14:textId="77777777" w:rsidR="00355B23" w:rsidRDefault="00355B2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8485" w14:textId="7B537814" w:rsidR="00425136" w:rsidRPr="0033525D" w:rsidRDefault="00425136">
    <w:pPr>
      <w:jc w:val="center"/>
    </w:pPr>
    <w:r>
      <w:fldChar w:fldCharType="begin"/>
    </w:r>
    <w:r>
      <w:instrText xml:space="preserve"> PAGE </w:instrText>
    </w:r>
    <w:r>
      <w:fldChar w:fldCharType="separate"/>
    </w:r>
    <w:r w:rsidR="00CD54C2">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2DE8" w14:textId="7AEE2699" w:rsidR="00425136" w:rsidRPr="0033525D" w:rsidRDefault="00425136">
    <w:pPr>
      <w:jc w:val="center"/>
    </w:pPr>
    <w:r>
      <w:fldChar w:fldCharType="begin"/>
    </w:r>
    <w:r>
      <w:instrText xml:space="preserve"> PAGE </w:instrText>
    </w:r>
    <w:r>
      <w:fldChar w:fldCharType="separate"/>
    </w:r>
    <w:r w:rsidR="00CD54C2">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DDA6" w14:textId="77777777" w:rsidR="00425136" w:rsidRDefault="00425136" w:rsidP="00D12721">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14:paraId="28BE50F9" w14:textId="3B542ADB" w:rsidR="00425136" w:rsidRPr="00D12721" w:rsidRDefault="00425136" w:rsidP="00D12721">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D12721">
      <w:rPr>
        <w:sz w:val="18"/>
        <w:szCs w:val="18"/>
        <w:lang w:val="fr-CA"/>
      </w:rPr>
      <w:t>.</w:t>
    </w:r>
  </w:p>
  <w:p w14:paraId="28353175" w14:textId="77777777" w:rsidR="00425136" w:rsidRPr="00D12721" w:rsidRDefault="00425136"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E9BC1" w14:textId="77777777" w:rsidR="00355B23" w:rsidRDefault="00355B23" w:rsidP="004A504B">
      <w:r>
        <w:separator/>
      </w:r>
    </w:p>
  </w:footnote>
  <w:footnote w:type="continuationSeparator" w:id="0">
    <w:p w14:paraId="5AC9038A" w14:textId="77777777" w:rsidR="00355B23" w:rsidRDefault="00355B23" w:rsidP="004A504B">
      <w:r>
        <w:continuationSeparator/>
      </w:r>
    </w:p>
  </w:footnote>
  <w:footnote w:id="1">
    <w:p w14:paraId="4C39C728" w14:textId="1DFC0627" w:rsidR="00425136" w:rsidRDefault="00425136" w:rsidP="00E3032B">
      <w:pPr>
        <w:pStyle w:val="FootnoteText"/>
        <w:rPr>
          <w:lang w:val="en-US"/>
        </w:rPr>
      </w:pPr>
      <w:r w:rsidRPr="00467C40">
        <w:rPr>
          <w:rStyle w:val="FootnoteReference"/>
        </w:rPr>
        <w:footnoteRef/>
      </w:r>
      <w:r w:rsidRPr="00467C40">
        <w:t xml:space="preserve"> </w:t>
      </w:r>
      <w:r w:rsidRPr="00467C40">
        <w:rPr>
          <w:lang w:val="en-US"/>
        </w:rPr>
        <w:t>UNEP/</w:t>
      </w:r>
      <w:proofErr w:type="spellStart"/>
      <w:r w:rsidRPr="00467C40">
        <w:rPr>
          <w:lang w:val="en-US"/>
        </w:rPr>
        <w:t>OzL.Pro</w:t>
      </w:r>
      <w:proofErr w:type="spellEnd"/>
      <w:r w:rsidRPr="00467C40">
        <w:rPr>
          <w:lang w:val="en-US"/>
        </w:rPr>
        <w:t>/</w:t>
      </w:r>
      <w:proofErr w:type="spellStart"/>
      <w:r w:rsidRPr="00467C40">
        <w:rPr>
          <w:lang w:val="en-US"/>
        </w:rPr>
        <w:t>ExCom</w:t>
      </w:r>
      <w:proofErr w:type="spellEnd"/>
      <w:r w:rsidRPr="00467C40">
        <w:rPr>
          <w:lang w:val="en-US"/>
        </w:rPr>
        <w:t>/86/</w:t>
      </w:r>
      <w:proofErr w:type="spellStart"/>
      <w:r w:rsidRPr="00467C40">
        <w:rPr>
          <w:lang w:val="en-US"/>
        </w:rPr>
        <w:t>IAPext</w:t>
      </w:r>
      <w:proofErr w:type="spellEnd"/>
      <w:r w:rsidRPr="00467C40">
        <w:rPr>
          <w:lang w:val="en-US"/>
        </w:rPr>
        <w:t>/1/Rev.1</w:t>
      </w:r>
    </w:p>
    <w:p w14:paraId="6884B838" w14:textId="77777777" w:rsidR="00CE7328" w:rsidRPr="00D128EB" w:rsidRDefault="00CE7328" w:rsidP="00E3032B">
      <w:pPr>
        <w:pStyle w:val="FootnoteText"/>
        <w:rPr>
          <w:lang w:val="en-US"/>
        </w:rPr>
      </w:pPr>
    </w:p>
  </w:footnote>
  <w:footnote w:id="2">
    <w:p w14:paraId="5F9A3534" w14:textId="128C9F8C" w:rsidR="00425136" w:rsidRPr="002D3F02" w:rsidRDefault="00425136" w:rsidP="00E3032B">
      <w:pPr>
        <w:pStyle w:val="FootnoteText"/>
        <w:rPr>
          <w:lang w:val="fr-CA"/>
        </w:rPr>
      </w:pPr>
      <w:r w:rsidRPr="002D3F02">
        <w:rPr>
          <w:rStyle w:val="FootnoteReference"/>
          <w:lang w:val="fr-CA"/>
        </w:rPr>
        <w:footnoteRef/>
      </w:r>
      <w:r w:rsidRPr="002D3F02">
        <w:rPr>
          <w:lang w:val="fr-CA"/>
        </w:rPr>
        <w:t xml:space="preserve"> Paragraphes 6-105 du document UNEP/OzL.Pro/ExCom/84/22/Add.1 </w:t>
      </w:r>
    </w:p>
  </w:footnote>
  <w:footnote w:id="3">
    <w:p w14:paraId="39F7E668" w14:textId="64035CA5" w:rsidR="00425136" w:rsidRPr="002D3F02" w:rsidRDefault="00425136" w:rsidP="00E3032B">
      <w:pPr>
        <w:pStyle w:val="FootnoteText"/>
        <w:rPr>
          <w:lang w:val="fr-CA"/>
        </w:rPr>
      </w:pPr>
      <w:r w:rsidRPr="002D3F02">
        <w:rPr>
          <w:rStyle w:val="FootnoteReference"/>
          <w:lang w:val="fr-CA"/>
        </w:rPr>
        <w:footnoteRef/>
      </w:r>
      <w:r w:rsidRPr="002D3F02">
        <w:rPr>
          <w:lang w:val="fr-CA"/>
        </w:rPr>
        <w:t xml:space="preserve"> UNEP/OzL.Pro/ExCom/85/9</w:t>
      </w:r>
    </w:p>
  </w:footnote>
  <w:footnote w:id="4">
    <w:p w14:paraId="764EE770" w14:textId="4C9D6FBA" w:rsidR="00425136" w:rsidRPr="002D3F02" w:rsidRDefault="00425136" w:rsidP="00E3032B">
      <w:pPr>
        <w:pStyle w:val="FootnoteText"/>
        <w:rPr>
          <w:lang w:val="fr-CA"/>
        </w:rPr>
      </w:pPr>
      <w:r w:rsidRPr="002D3F02">
        <w:rPr>
          <w:rStyle w:val="FootnoteReference"/>
          <w:lang w:val="fr-CA"/>
        </w:rPr>
        <w:footnoteRef/>
      </w:r>
      <w:r w:rsidRPr="002D3F02">
        <w:rPr>
          <w:lang w:val="fr-CA"/>
        </w:rPr>
        <w:t xml:space="preserve"> UNEP/OzL.Pro/ExCom/86/21/Add.1</w:t>
      </w:r>
    </w:p>
  </w:footnote>
  <w:footnote w:id="5">
    <w:p w14:paraId="4C11B4B7" w14:textId="7A1814D9" w:rsidR="00425136" w:rsidRPr="002D3F02" w:rsidRDefault="00425136" w:rsidP="00E3032B">
      <w:pPr>
        <w:pStyle w:val="FootnoteText"/>
        <w:rPr>
          <w:lang w:val="fr-CA"/>
        </w:rPr>
      </w:pPr>
      <w:r w:rsidRPr="002D3F02">
        <w:rPr>
          <w:rStyle w:val="FootnoteReference"/>
          <w:lang w:val="fr-CA"/>
        </w:rPr>
        <w:footnoteRef/>
      </w:r>
      <w:r w:rsidRPr="002D3F02">
        <w:rPr>
          <w:lang w:val="fr-CA"/>
        </w:rPr>
        <w:t xml:space="preserve"> Décision 86/41.</w:t>
      </w:r>
    </w:p>
  </w:footnote>
  <w:footnote w:id="6">
    <w:p w14:paraId="5E4EA23A" w14:textId="0B8E14A1" w:rsidR="00425136" w:rsidRPr="00020D41" w:rsidRDefault="00425136" w:rsidP="00E3032B">
      <w:pPr>
        <w:pStyle w:val="FootnoteText"/>
        <w:rPr>
          <w:lang w:val="fr-CA"/>
        </w:rPr>
      </w:pPr>
      <w:r>
        <w:rPr>
          <w:rStyle w:val="FootnoteReference"/>
        </w:rPr>
        <w:footnoteRef/>
      </w:r>
      <w:r w:rsidRPr="00020D41">
        <w:rPr>
          <w:lang w:val="fr-CA"/>
        </w:rPr>
        <w:t xml:space="preserve"> </w:t>
      </w:r>
      <w:r w:rsidR="00020D41">
        <w:rPr>
          <w:lang w:val="fr-CA"/>
        </w:rPr>
        <w:t>Le Comité exécutif a demandé au gouvernement de la Chine, par l’entremise de l’agence d’exécution concernée, de faire rapport des résultats des efforts de suivi du BEE local, notamment les cas de détection de CFC-11, dans les futurs rapports de vérification financière</w:t>
      </w:r>
      <w:r w:rsidRPr="00020D41">
        <w:rPr>
          <w:lang w:val="fr-CA"/>
        </w:rPr>
        <w:t>.</w:t>
      </w:r>
    </w:p>
  </w:footnote>
  <w:footnote w:id="7">
    <w:p w14:paraId="5C2E4371" w14:textId="0EECB931" w:rsidR="00521388" w:rsidRPr="00521388" w:rsidRDefault="00521388" w:rsidP="00521388">
      <w:pPr>
        <w:pStyle w:val="FootnoteText"/>
        <w:rPr>
          <w:lang w:val="fr-CA"/>
        </w:rPr>
      </w:pPr>
      <w:r>
        <w:rPr>
          <w:rStyle w:val="FootnoteReference"/>
        </w:rPr>
        <w:footnoteRef/>
      </w:r>
      <w:r w:rsidRPr="00521388">
        <w:rPr>
          <w:lang w:val="fr-CA"/>
        </w:rPr>
        <w:t xml:space="preserve"> La partie IV du document UNEP/OzL.Pro/ExCom/86/21/Add.1. </w:t>
      </w:r>
      <w:proofErr w:type="gramStart"/>
      <w:r>
        <w:rPr>
          <w:lang w:val="fr-CA"/>
        </w:rPr>
        <w:t>offre</w:t>
      </w:r>
      <w:proofErr w:type="gramEnd"/>
      <w:r>
        <w:rPr>
          <w:lang w:val="fr-CA"/>
        </w:rPr>
        <w:t xml:space="preserve"> un compte rendu jusqu’à la 86</w:t>
      </w:r>
      <w:r w:rsidRPr="00521388">
        <w:rPr>
          <w:vertAlign w:val="superscript"/>
          <w:lang w:val="fr-CA"/>
        </w:rPr>
        <w:t>e</w:t>
      </w:r>
      <w:r>
        <w:rPr>
          <w:lang w:val="fr-CA"/>
        </w:rPr>
        <w:t xml:space="preserve"> réunion</w:t>
      </w:r>
      <w:r w:rsidRPr="00521388">
        <w:rPr>
          <w:lang w:val="fr-CA"/>
        </w:rPr>
        <w:t xml:space="preserve">. </w:t>
      </w:r>
    </w:p>
  </w:footnote>
  <w:footnote w:id="8">
    <w:p w14:paraId="1CD02511" w14:textId="2D13846A" w:rsidR="00425136" w:rsidRPr="00D959A4" w:rsidRDefault="00425136" w:rsidP="00E3032B">
      <w:pPr>
        <w:pStyle w:val="FootnoteText"/>
      </w:pPr>
      <w:r>
        <w:rPr>
          <w:rStyle w:val="FootnoteReference"/>
        </w:rPr>
        <w:footnoteRef/>
      </w:r>
      <w:r>
        <w:t xml:space="preserve"> </w:t>
      </w:r>
      <w:r w:rsidRPr="00D959A4">
        <w:t>UNEP/OzL.Pro/ExCom/84/22/Add.1</w:t>
      </w:r>
    </w:p>
  </w:footnote>
  <w:footnote w:id="9">
    <w:p w14:paraId="782AC94D" w14:textId="2B4E15F3" w:rsidR="00425136" w:rsidRPr="00D128EB" w:rsidRDefault="00425136" w:rsidP="00E3032B">
      <w:pPr>
        <w:pStyle w:val="FootnoteText"/>
        <w:rPr>
          <w:lang w:val="en-US"/>
        </w:rPr>
      </w:pPr>
      <w:r w:rsidRPr="00774AE8">
        <w:rPr>
          <w:rStyle w:val="FootnoteReference"/>
        </w:rPr>
        <w:footnoteRef/>
      </w:r>
      <w:r w:rsidRPr="00774AE8">
        <w:t xml:space="preserve"> </w:t>
      </w:r>
      <w:r w:rsidRPr="00774AE8">
        <w:rPr>
          <w:lang w:val="en-US"/>
        </w:rPr>
        <w:t>UNEP/</w:t>
      </w:r>
      <w:proofErr w:type="spellStart"/>
      <w:r w:rsidRPr="00774AE8">
        <w:rPr>
          <w:lang w:val="en-US"/>
        </w:rPr>
        <w:t>OzL.Pro</w:t>
      </w:r>
      <w:proofErr w:type="spellEnd"/>
      <w:r w:rsidRPr="00774AE8">
        <w:rPr>
          <w:lang w:val="en-US"/>
        </w:rPr>
        <w:t>/</w:t>
      </w:r>
      <w:proofErr w:type="spellStart"/>
      <w:r w:rsidRPr="00774AE8">
        <w:rPr>
          <w:lang w:val="en-US"/>
        </w:rPr>
        <w:t>ExCom</w:t>
      </w:r>
      <w:proofErr w:type="spellEnd"/>
      <w:r w:rsidRPr="00774AE8">
        <w:rPr>
          <w:lang w:val="en-US"/>
        </w:rPr>
        <w:t>/86/</w:t>
      </w:r>
      <w:proofErr w:type="spellStart"/>
      <w:r w:rsidRPr="00774AE8">
        <w:rPr>
          <w:lang w:val="en-US"/>
        </w:rPr>
        <w:t>IAPext</w:t>
      </w:r>
      <w:proofErr w:type="spellEnd"/>
      <w:r w:rsidRPr="00774AE8">
        <w:rPr>
          <w:lang w:val="en-US"/>
        </w:rPr>
        <w:t>/1/Rev.1</w:t>
      </w:r>
    </w:p>
  </w:footnote>
  <w:footnote w:id="10">
    <w:p w14:paraId="1C797DCB" w14:textId="394D94FF" w:rsidR="00425136" w:rsidRPr="00D128EB" w:rsidRDefault="00425136" w:rsidP="00E3032B">
      <w:pPr>
        <w:pStyle w:val="FootnoteText"/>
        <w:rPr>
          <w:lang w:val="en-US"/>
        </w:rPr>
      </w:pPr>
      <w:r w:rsidRPr="007978DE">
        <w:rPr>
          <w:rStyle w:val="FootnoteReference"/>
        </w:rPr>
        <w:footnoteRef/>
      </w:r>
      <w:r w:rsidRPr="007978DE">
        <w:t xml:space="preserve"> </w:t>
      </w:r>
      <w:r w:rsidRPr="007978DE">
        <w:rPr>
          <w:lang w:val="en-US"/>
        </w:rPr>
        <w:t>UNEP/</w:t>
      </w:r>
      <w:proofErr w:type="spellStart"/>
      <w:r w:rsidRPr="007978DE">
        <w:rPr>
          <w:lang w:val="en-US"/>
        </w:rPr>
        <w:t>OzL.Pro</w:t>
      </w:r>
      <w:proofErr w:type="spellEnd"/>
      <w:r w:rsidRPr="007978DE">
        <w:rPr>
          <w:lang w:val="en-US"/>
        </w:rPr>
        <w:t>/</w:t>
      </w:r>
      <w:proofErr w:type="spellStart"/>
      <w:r w:rsidRPr="007978DE">
        <w:rPr>
          <w:lang w:val="en-US"/>
        </w:rPr>
        <w:t>ExCom</w:t>
      </w:r>
      <w:proofErr w:type="spellEnd"/>
      <w:r w:rsidRPr="007978DE">
        <w:rPr>
          <w:lang w:val="en-US"/>
        </w:rPr>
        <w:t>/86/</w:t>
      </w:r>
      <w:proofErr w:type="spellStart"/>
      <w:r w:rsidRPr="007978DE">
        <w:rPr>
          <w:lang w:val="en-US"/>
        </w:rPr>
        <w:t>IAPext</w:t>
      </w:r>
      <w:proofErr w:type="spellEnd"/>
      <w:r w:rsidRPr="007978DE">
        <w:rPr>
          <w:lang w:val="en-US"/>
        </w:rPr>
        <w:t>/1/Rev.1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9730" w14:textId="77777777" w:rsidR="00425136" w:rsidRPr="0033525D" w:rsidRDefault="00CD54C2">
    <w:r>
      <w:fldChar w:fldCharType="begin"/>
    </w:r>
    <w:r>
      <w:instrText xml:space="preserve"> DOCPROPERTY "Document number"  \* MERGEFORMAT </w:instrText>
    </w:r>
    <w:r>
      <w:fldChar w:fldCharType="separate"/>
    </w:r>
    <w:r w:rsidR="000802BF">
      <w:t>UNEP/OzL.Pro/ExCom/87/9/Add.1</w:t>
    </w:r>
    <w:r>
      <w:fldChar w:fldCharType="end"/>
    </w:r>
  </w:p>
  <w:p w14:paraId="7BC7F1AA" w14:textId="77777777" w:rsidR="00425136" w:rsidRPr="0033525D" w:rsidRDefault="00425136"/>
  <w:p w14:paraId="408EEFCF" w14:textId="77777777" w:rsidR="00425136" w:rsidRPr="0033525D" w:rsidRDefault="0042513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918E" w14:textId="77777777" w:rsidR="00425136" w:rsidRPr="0033525D" w:rsidRDefault="00891733">
    <w:pPr>
      <w:jc w:val="right"/>
    </w:pPr>
    <w:r>
      <w:fldChar w:fldCharType="begin"/>
    </w:r>
    <w:r>
      <w:instrText xml:space="preserve"> DOCPROPERTY "Document number"  \* MERGEFORMAT </w:instrText>
    </w:r>
    <w:r>
      <w:fldChar w:fldCharType="separate"/>
    </w:r>
    <w:r w:rsidR="000802BF">
      <w:t>UNEP/</w:t>
    </w:r>
    <w:proofErr w:type="spellStart"/>
    <w:r w:rsidR="000802BF">
      <w:t>OzL.Pro</w:t>
    </w:r>
    <w:proofErr w:type="spellEnd"/>
    <w:r w:rsidR="000802BF">
      <w:t>/</w:t>
    </w:r>
    <w:proofErr w:type="spellStart"/>
    <w:r w:rsidR="000802BF">
      <w:t>ExCom</w:t>
    </w:r>
    <w:proofErr w:type="spellEnd"/>
    <w:r w:rsidR="000802BF">
      <w:t>/87/9/Add.1</w:t>
    </w:r>
    <w:r>
      <w:fldChar w:fldCharType="end"/>
    </w:r>
  </w:p>
  <w:p w14:paraId="7C9A9387" w14:textId="77777777" w:rsidR="00425136" w:rsidRPr="0033525D" w:rsidRDefault="00425136"/>
  <w:p w14:paraId="511AA2EC" w14:textId="77777777" w:rsidR="00425136" w:rsidRPr="0033525D" w:rsidRDefault="004251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0DEFBA6"/>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rPr>
        <w:rFonts w:ascii="Times New Roman" w:eastAsia="Times New Roman" w:hAnsi="Times New Roman" w:cs="Times New Roman"/>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E3032B"/>
    <w:rsid w:val="00000FED"/>
    <w:rsid w:val="0000434E"/>
    <w:rsid w:val="00020D41"/>
    <w:rsid w:val="000211A9"/>
    <w:rsid w:val="00031260"/>
    <w:rsid w:val="0003681A"/>
    <w:rsid w:val="000372B7"/>
    <w:rsid w:val="00050F6E"/>
    <w:rsid w:val="00061EC2"/>
    <w:rsid w:val="00066CE8"/>
    <w:rsid w:val="0007272C"/>
    <w:rsid w:val="000802BF"/>
    <w:rsid w:val="00080ED0"/>
    <w:rsid w:val="00085B8F"/>
    <w:rsid w:val="00090481"/>
    <w:rsid w:val="000A3826"/>
    <w:rsid w:val="000A6C26"/>
    <w:rsid w:val="000B48FB"/>
    <w:rsid w:val="000D52A4"/>
    <w:rsid w:val="000E07BC"/>
    <w:rsid w:val="000F1CD4"/>
    <w:rsid w:val="000F4103"/>
    <w:rsid w:val="000F70A7"/>
    <w:rsid w:val="00101847"/>
    <w:rsid w:val="00113CCA"/>
    <w:rsid w:val="00122F25"/>
    <w:rsid w:val="001239B1"/>
    <w:rsid w:val="00125FBF"/>
    <w:rsid w:val="00135980"/>
    <w:rsid w:val="00144A73"/>
    <w:rsid w:val="001474DD"/>
    <w:rsid w:val="00162336"/>
    <w:rsid w:val="00164719"/>
    <w:rsid w:val="00166FC4"/>
    <w:rsid w:val="001677AC"/>
    <w:rsid w:val="001804EA"/>
    <w:rsid w:val="00181A29"/>
    <w:rsid w:val="00190A61"/>
    <w:rsid w:val="00191A1A"/>
    <w:rsid w:val="001A2215"/>
    <w:rsid w:val="001A3342"/>
    <w:rsid w:val="001A3E3D"/>
    <w:rsid w:val="001A7049"/>
    <w:rsid w:val="001B1E40"/>
    <w:rsid w:val="001C2F0C"/>
    <w:rsid w:val="001C764E"/>
    <w:rsid w:val="001E1052"/>
    <w:rsid w:val="001E21B1"/>
    <w:rsid w:val="001E2F93"/>
    <w:rsid w:val="001E4554"/>
    <w:rsid w:val="001E61E5"/>
    <w:rsid w:val="001F2159"/>
    <w:rsid w:val="001F2E86"/>
    <w:rsid w:val="00210B8B"/>
    <w:rsid w:val="00214863"/>
    <w:rsid w:val="002156B4"/>
    <w:rsid w:val="002217AB"/>
    <w:rsid w:val="00224FCD"/>
    <w:rsid w:val="00253222"/>
    <w:rsid w:val="00262847"/>
    <w:rsid w:val="00281BB2"/>
    <w:rsid w:val="002A5EE1"/>
    <w:rsid w:val="002B254E"/>
    <w:rsid w:val="002B72E9"/>
    <w:rsid w:val="002C7998"/>
    <w:rsid w:val="002D3F02"/>
    <w:rsid w:val="002F1E53"/>
    <w:rsid w:val="002F2CAA"/>
    <w:rsid w:val="0030052C"/>
    <w:rsid w:val="00304306"/>
    <w:rsid w:val="003306E1"/>
    <w:rsid w:val="003320E4"/>
    <w:rsid w:val="0033525D"/>
    <w:rsid w:val="003414F3"/>
    <w:rsid w:val="00355B23"/>
    <w:rsid w:val="0035613E"/>
    <w:rsid w:val="00363EE9"/>
    <w:rsid w:val="00372C9D"/>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184F"/>
    <w:rsid w:val="003E7906"/>
    <w:rsid w:val="003F3C50"/>
    <w:rsid w:val="00406A6A"/>
    <w:rsid w:val="00406B22"/>
    <w:rsid w:val="00425136"/>
    <w:rsid w:val="004328A7"/>
    <w:rsid w:val="00434C74"/>
    <w:rsid w:val="00456EB4"/>
    <w:rsid w:val="00467C40"/>
    <w:rsid w:val="004718F3"/>
    <w:rsid w:val="00475040"/>
    <w:rsid w:val="004826F1"/>
    <w:rsid w:val="00490C2B"/>
    <w:rsid w:val="00493D40"/>
    <w:rsid w:val="004967B6"/>
    <w:rsid w:val="004A504B"/>
    <w:rsid w:val="004A6911"/>
    <w:rsid w:val="004B54E0"/>
    <w:rsid w:val="004B7384"/>
    <w:rsid w:val="004C4269"/>
    <w:rsid w:val="004D26D1"/>
    <w:rsid w:val="004D6236"/>
    <w:rsid w:val="004D7F90"/>
    <w:rsid w:val="004E1BEA"/>
    <w:rsid w:val="004E4DBB"/>
    <w:rsid w:val="004E4E41"/>
    <w:rsid w:val="004E7F9C"/>
    <w:rsid w:val="004F3493"/>
    <w:rsid w:val="004F5143"/>
    <w:rsid w:val="00512B09"/>
    <w:rsid w:val="00517B10"/>
    <w:rsid w:val="00521388"/>
    <w:rsid w:val="005220ED"/>
    <w:rsid w:val="00533796"/>
    <w:rsid w:val="00537343"/>
    <w:rsid w:val="00545F52"/>
    <w:rsid w:val="00555D75"/>
    <w:rsid w:val="005576D5"/>
    <w:rsid w:val="00560DF0"/>
    <w:rsid w:val="0056759C"/>
    <w:rsid w:val="00586461"/>
    <w:rsid w:val="0059513E"/>
    <w:rsid w:val="005962BD"/>
    <w:rsid w:val="005A6AA4"/>
    <w:rsid w:val="005A6D9F"/>
    <w:rsid w:val="005B48FF"/>
    <w:rsid w:val="005D363F"/>
    <w:rsid w:val="00604C15"/>
    <w:rsid w:val="006158D5"/>
    <w:rsid w:val="00625D83"/>
    <w:rsid w:val="00635D6A"/>
    <w:rsid w:val="006578DC"/>
    <w:rsid w:val="00657FF8"/>
    <w:rsid w:val="006623E7"/>
    <w:rsid w:val="00662B80"/>
    <w:rsid w:val="00670F6C"/>
    <w:rsid w:val="006852C7"/>
    <w:rsid w:val="006852CE"/>
    <w:rsid w:val="00692D14"/>
    <w:rsid w:val="006B65C7"/>
    <w:rsid w:val="006C1727"/>
    <w:rsid w:val="006C32FD"/>
    <w:rsid w:val="006C39CE"/>
    <w:rsid w:val="006C662E"/>
    <w:rsid w:val="006D0FCC"/>
    <w:rsid w:val="006D21F5"/>
    <w:rsid w:val="006D6BEB"/>
    <w:rsid w:val="006E126D"/>
    <w:rsid w:val="006E1FC3"/>
    <w:rsid w:val="006E3190"/>
    <w:rsid w:val="00704CE9"/>
    <w:rsid w:val="0070616B"/>
    <w:rsid w:val="00706295"/>
    <w:rsid w:val="00706FDA"/>
    <w:rsid w:val="00711F9A"/>
    <w:rsid w:val="00713810"/>
    <w:rsid w:val="007303A5"/>
    <w:rsid w:val="00730B3E"/>
    <w:rsid w:val="0073420B"/>
    <w:rsid w:val="0074760E"/>
    <w:rsid w:val="00754ABA"/>
    <w:rsid w:val="00774AE8"/>
    <w:rsid w:val="00777D22"/>
    <w:rsid w:val="007978DE"/>
    <w:rsid w:val="007A1546"/>
    <w:rsid w:val="007A228C"/>
    <w:rsid w:val="007A368E"/>
    <w:rsid w:val="007A5868"/>
    <w:rsid w:val="007B04CE"/>
    <w:rsid w:val="007B6871"/>
    <w:rsid w:val="007B7A2F"/>
    <w:rsid w:val="007C3D33"/>
    <w:rsid w:val="007D294A"/>
    <w:rsid w:val="007D47D2"/>
    <w:rsid w:val="007D6EC0"/>
    <w:rsid w:val="007D7E1D"/>
    <w:rsid w:val="007F3EAA"/>
    <w:rsid w:val="00831084"/>
    <w:rsid w:val="00831979"/>
    <w:rsid w:val="00851352"/>
    <w:rsid w:val="00857077"/>
    <w:rsid w:val="00863230"/>
    <w:rsid w:val="00865BD0"/>
    <w:rsid w:val="008717D8"/>
    <w:rsid w:val="0087215C"/>
    <w:rsid w:val="00875D25"/>
    <w:rsid w:val="00880E35"/>
    <w:rsid w:val="00884D76"/>
    <w:rsid w:val="008875FE"/>
    <w:rsid w:val="00887F8E"/>
    <w:rsid w:val="00891733"/>
    <w:rsid w:val="00896234"/>
    <w:rsid w:val="00897E43"/>
    <w:rsid w:val="008C1D64"/>
    <w:rsid w:val="008C5738"/>
    <w:rsid w:val="008C7EAD"/>
    <w:rsid w:val="008D0CFE"/>
    <w:rsid w:val="008D6152"/>
    <w:rsid w:val="008E7BA9"/>
    <w:rsid w:val="008F0F81"/>
    <w:rsid w:val="008F27BF"/>
    <w:rsid w:val="008F408E"/>
    <w:rsid w:val="009142EC"/>
    <w:rsid w:val="009154C3"/>
    <w:rsid w:val="00923540"/>
    <w:rsid w:val="00926767"/>
    <w:rsid w:val="009361D5"/>
    <w:rsid w:val="009428A4"/>
    <w:rsid w:val="009659F4"/>
    <w:rsid w:val="00970D60"/>
    <w:rsid w:val="0099390E"/>
    <w:rsid w:val="009960E5"/>
    <w:rsid w:val="009A7ADC"/>
    <w:rsid w:val="009B0D30"/>
    <w:rsid w:val="009B705C"/>
    <w:rsid w:val="009C19B7"/>
    <w:rsid w:val="009C5ABB"/>
    <w:rsid w:val="009D53C8"/>
    <w:rsid w:val="009D7C51"/>
    <w:rsid w:val="009E196C"/>
    <w:rsid w:val="009F36BF"/>
    <w:rsid w:val="00A111B6"/>
    <w:rsid w:val="00A23BB6"/>
    <w:rsid w:val="00A26D27"/>
    <w:rsid w:val="00A376EE"/>
    <w:rsid w:val="00A42A99"/>
    <w:rsid w:val="00A5151A"/>
    <w:rsid w:val="00A57E0A"/>
    <w:rsid w:val="00A750D5"/>
    <w:rsid w:val="00A823F6"/>
    <w:rsid w:val="00A8719E"/>
    <w:rsid w:val="00AA0A89"/>
    <w:rsid w:val="00AA6429"/>
    <w:rsid w:val="00AC01AA"/>
    <w:rsid w:val="00AC4F72"/>
    <w:rsid w:val="00AD043B"/>
    <w:rsid w:val="00AF3B7D"/>
    <w:rsid w:val="00AF741A"/>
    <w:rsid w:val="00B01ADB"/>
    <w:rsid w:val="00B04161"/>
    <w:rsid w:val="00B056F9"/>
    <w:rsid w:val="00B11E3D"/>
    <w:rsid w:val="00B17E82"/>
    <w:rsid w:val="00B36559"/>
    <w:rsid w:val="00B4575A"/>
    <w:rsid w:val="00B575BA"/>
    <w:rsid w:val="00B71608"/>
    <w:rsid w:val="00B76429"/>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688"/>
    <w:rsid w:val="00C40C41"/>
    <w:rsid w:val="00C45885"/>
    <w:rsid w:val="00C50F22"/>
    <w:rsid w:val="00C57971"/>
    <w:rsid w:val="00C60F32"/>
    <w:rsid w:val="00C65BD7"/>
    <w:rsid w:val="00C76BA4"/>
    <w:rsid w:val="00C80C0D"/>
    <w:rsid w:val="00C83A48"/>
    <w:rsid w:val="00C85865"/>
    <w:rsid w:val="00C85E85"/>
    <w:rsid w:val="00CA2EAE"/>
    <w:rsid w:val="00CA43CE"/>
    <w:rsid w:val="00CA4AC1"/>
    <w:rsid w:val="00CB0316"/>
    <w:rsid w:val="00CB0B11"/>
    <w:rsid w:val="00CB426A"/>
    <w:rsid w:val="00CB4D66"/>
    <w:rsid w:val="00CB5354"/>
    <w:rsid w:val="00CC337F"/>
    <w:rsid w:val="00CC3C9E"/>
    <w:rsid w:val="00CC6A14"/>
    <w:rsid w:val="00CC70A3"/>
    <w:rsid w:val="00CD4442"/>
    <w:rsid w:val="00CD53C3"/>
    <w:rsid w:val="00CD54C2"/>
    <w:rsid w:val="00CD574E"/>
    <w:rsid w:val="00CE4C22"/>
    <w:rsid w:val="00CE7328"/>
    <w:rsid w:val="00CF0D0B"/>
    <w:rsid w:val="00CF41EC"/>
    <w:rsid w:val="00CF5D04"/>
    <w:rsid w:val="00D04DE4"/>
    <w:rsid w:val="00D063F1"/>
    <w:rsid w:val="00D12721"/>
    <w:rsid w:val="00D14F22"/>
    <w:rsid w:val="00D4741C"/>
    <w:rsid w:val="00D57918"/>
    <w:rsid w:val="00D73DC6"/>
    <w:rsid w:val="00D74C1A"/>
    <w:rsid w:val="00D754C1"/>
    <w:rsid w:val="00D77393"/>
    <w:rsid w:val="00D77A35"/>
    <w:rsid w:val="00D81B3E"/>
    <w:rsid w:val="00D90C70"/>
    <w:rsid w:val="00D90E49"/>
    <w:rsid w:val="00D96ADE"/>
    <w:rsid w:val="00DA0CE2"/>
    <w:rsid w:val="00DA4DFD"/>
    <w:rsid w:val="00DC6A10"/>
    <w:rsid w:val="00DE1BBF"/>
    <w:rsid w:val="00DE657E"/>
    <w:rsid w:val="00DE6668"/>
    <w:rsid w:val="00DF4704"/>
    <w:rsid w:val="00E024AA"/>
    <w:rsid w:val="00E15C77"/>
    <w:rsid w:val="00E250F1"/>
    <w:rsid w:val="00E300B5"/>
    <w:rsid w:val="00E3032B"/>
    <w:rsid w:val="00E3550D"/>
    <w:rsid w:val="00E45630"/>
    <w:rsid w:val="00E52838"/>
    <w:rsid w:val="00E614E0"/>
    <w:rsid w:val="00E73F7F"/>
    <w:rsid w:val="00E85409"/>
    <w:rsid w:val="00EA429F"/>
    <w:rsid w:val="00EA4F9E"/>
    <w:rsid w:val="00EA63CA"/>
    <w:rsid w:val="00EA6D3B"/>
    <w:rsid w:val="00EB00AD"/>
    <w:rsid w:val="00EB136C"/>
    <w:rsid w:val="00EB480E"/>
    <w:rsid w:val="00EB5EC6"/>
    <w:rsid w:val="00EB7FC9"/>
    <w:rsid w:val="00ED27E8"/>
    <w:rsid w:val="00ED60BB"/>
    <w:rsid w:val="00ED7137"/>
    <w:rsid w:val="00EE60C7"/>
    <w:rsid w:val="00EF06EA"/>
    <w:rsid w:val="00F21088"/>
    <w:rsid w:val="00F327E7"/>
    <w:rsid w:val="00F35746"/>
    <w:rsid w:val="00F447C7"/>
    <w:rsid w:val="00F459B4"/>
    <w:rsid w:val="00F5211B"/>
    <w:rsid w:val="00F554A9"/>
    <w:rsid w:val="00F716FD"/>
    <w:rsid w:val="00F80355"/>
    <w:rsid w:val="00F87C43"/>
    <w:rsid w:val="00FA5722"/>
    <w:rsid w:val="00FA5B13"/>
    <w:rsid w:val="00FB0C81"/>
    <w:rsid w:val="00FB259C"/>
    <w:rsid w:val="00FB748D"/>
    <w:rsid w:val="00FC2200"/>
    <w:rsid w:val="00FC2540"/>
    <w:rsid w:val="00FC4F56"/>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CEA7A"/>
  <w15:docId w15:val="{8A73FC44-A797-4BDE-A934-380649AB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table" w:customStyle="1" w:styleId="TableGrid10">
    <w:name w:val="Table Grid1"/>
    <w:basedOn w:val="TableNormal"/>
    <w:next w:val="TableGrid"/>
    <w:qFormat/>
    <w:rsid w:val="00E303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UNEP/OzL.Pro/ExCom/87/9/Add.1</Document_x0020_Number>
  </documentManagement>
</p:properties>
</file>

<file path=customXml/itemProps1.xml><?xml version="1.0" encoding="utf-8"?>
<ds:datastoreItem xmlns:ds="http://schemas.openxmlformats.org/officeDocument/2006/customXml" ds:itemID="{7BD95948-6A1F-403B-AD8D-E6F6623C0C3E}"/>
</file>

<file path=customXml/itemProps2.xml><?xml version="1.0" encoding="utf-8"?>
<ds:datastoreItem xmlns:ds="http://schemas.openxmlformats.org/officeDocument/2006/customXml" ds:itemID="{03B5EF4F-7FB6-477A-8903-EF6676D51A58}"/>
</file>

<file path=customXml/itemProps3.xml><?xml version="1.0" encoding="utf-8"?>
<ds:datastoreItem xmlns:ds="http://schemas.openxmlformats.org/officeDocument/2006/customXml" ds:itemID="{F19BBB13-ECA5-410F-8E15-586335DDE488}"/>
</file>

<file path=customXml/itemProps4.xml><?xml version="1.0" encoding="utf-8"?>
<ds:datastoreItem xmlns:ds="http://schemas.openxmlformats.org/officeDocument/2006/customXml" ds:itemID="{473DA073-E3A4-4C78-B544-AEF4AB2FC2EF}"/>
</file>

<file path=docProps/app.xml><?xml version="1.0" encoding="utf-8"?>
<Properties xmlns="http://schemas.openxmlformats.org/officeDocument/2006/extended-properties" xmlns:vt="http://schemas.openxmlformats.org/officeDocument/2006/docPropsVTypes">
  <Template>Normal</Template>
  <TotalTime>184</TotalTime>
  <Pages>6</Pages>
  <Words>2108</Words>
  <Characters>10838</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Rapports sur les projets comportant des exigences particulières de remise de rapports</vt:lpstr>
      <vt:lpstr>Reports on projects with specific reporting requirements</vt:lpstr>
    </vt:vector>
  </TitlesOfParts>
  <Company>UNMFS</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sur les projets comportant des exigences particulières de remise de rapports</dc:title>
  <dc:creator>Joel Pare-Julien</dc:creator>
  <cp:lastModifiedBy>HB</cp:lastModifiedBy>
  <cp:revision>11</cp:revision>
  <cp:lastPrinted>2021-06-21T13:48:00Z</cp:lastPrinted>
  <dcterms:created xsi:type="dcterms:W3CDTF">2021-06-21T11:06:00Z</dcterms:created>
  <dcterms:modified xsi:type="dcterms:W3CDTF">2021-06-27T13:06:00Z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UNEP/OzL.Pro/ExCom/87/9/Add.1</vt:lpwstr>
  </property>
  <property fmtid="{D5CDD505-2E9C-101B-9397-08002B2CF9AE}" pid="3" name="Revision date">
    <vt:lpwstr>6/14/2021</vt:lpwstr>
  </property>
  <property fmtid="{D5CDD505-2E9C-101B-9397-08002B2CF9AE}" pid="4" name="ContentTypeId">
    <vt:lpwstr>0x0101006D54131ACC863C4CBCCC233143506327</vt:lpwstr>
  </property>
</Properties>
</file>