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C27E03" w14:paraId="00CDF7DB" w14:textId="77777777" w:rsidTr="00F5401A">
        <w:trPr>
          <w:trHeight w:val="720"/>
        </w:trPr>
        <w:tc>
          <w:tcPr>
            <w:tcW w:w="7061" w:type="dxa"/>
            <w:gridSpan w:val="2"/>
            <w:tcBorders>
              <w:bottom w:val="single" w:sz="18" w:space="0" w:color="auto"/>
            </w:tcBorders>
          </w:tcPr>
          <w:p w14:paraId="1D7BBFA6" w14:textId="77777777" w:rsidR="00C27E03" w:rsidRDefault="00C27E03" w:rsidP="00F5401A">
            <w:pPr>
              <w:tabs>
                <w:tab w:val="left" w:pos="604"/>
                <w:tab w:val="left" w:pos="1029"/>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2F740744" w14:textId="77777777" w:rsidR="00C27E03" w:rsidRDefault="00C27E03" w:rsidP="00F5401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11478BE1" w14:textId="2ADBC943" w:rsidR="00C27E03" w:rsidRDefault="00F5401A" w:rsidP="00F5401A">
            <w:pPr>
              <w:tabs>
                <w:tab w:val="left" w:pos="3010"/>
              </w:tabs>
              <w:jc w:val="center"/>
              <w:rPr>
                <w:sz w:val="52"/>
                <w:szCs w:val="52"/>
              </w:rPr>
            </w:pPr>
            <w:r>
              <w:rPr>
                <w:rFonts w:ascii="Univers Bold" w:hAnsi="Univers Bold"/>
                <w:b/>
                <w:sz w:val="72"/>
                <w:lang w:val="fr-CA"/>
              </w:rPr>
              <w:t>     </w:t>
            </w:r>
            <w:r w:rsidR="00C27E03">
              <w:rPr>
                <w:rFonts w:ascii="Univers Bold" w:hAnsi="Univers Bold"/>
                <w:b/>
                <w:sz w:val="72"/>
                <w:lang w:val="fr-CA"/>
              </w:rPr>
              <w:t>EP</w:t>
            </w:r>
          </w:p>
        </w:tc>
      </w:tr>
      <w:tr w:rsidR="00C27E03" w14:paraId="2C655BF8" w14:textId="77777777" w:rsidTr="00F54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8AA3A1D" w14:textId="77777777" w:rsidR="00C27E03" w:rsidRDefault="00C27E03" w:rsidP="00F5401A">
            <w:pPr>
              <w:spacing w:before="120"/>
            </w:pPr>
            <w:r>
              <w:rPr>
                <w:noProof/>
                <w:lang w:val="en-US"/>
              </w:rPr>
              <w:drawing>
                <wp:anchor distT="0" distB="0" distL="114300" distR="114300" simplePos="0" relativeHeight="251659264" behindDoc="0" locked="0" layoutInCell="1" allowOverlap="1" wp14:anchorId="33CA6486" wp14:editId="3431FDC5">
                  <wp:simplePos x="0" y="0"/>
                  <wp:positionH relativeFrom="column">
                    <wp:posOffset>367002</wp:posOffset>
                  </wp:positionH>
                  <wp:positionV relativeFrom="paragraph">
                    <wp:posOffset>889193</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0288" behindDoc="1" locked="0" layoutInCell="0" allowOverlap="1" wp14:anchorId="0B94F514" wp14:editId="6C8AB02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35845529" w14:textId="77777777" w:rsidR="00C27E03" w:rsidRDefault="00C27E03" w:rsidP="00F5401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30C3D731" w14:textId="77777777" w:rsidR="00C27E03" w:rsidRDefault="00C27E03" w:rsidP="00F5401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64234FB6" w14:textId="77777777" w:rsidR="00C27E03" w:rsidRDefault="00C27E03" w:rsidP="00F5401A">
            <w:pPr>
              <w:rPr>
                <w:rFonts w:ascii="Univers" w:hAnsi="Univers"/>
                <w:b/>
                <w:sz w:val="32"/>
                <w:lang w:val="fr-CA"/>
              </w:rPr>
            </w:pPr>
            <w:r>
              <w:rPr>
                <w:rFonts w:ascii="Univers" w:hAnsi="Univers"/>
                <w:b/>
                <w:sz w:val="32"/>
                <w:lang w:val="fr-CA"/>
              </w:rPr>
              <w:t>Nations Unies pour</w:t>
            </w:r>
          </w:p>
          <w:p w14:paraId="39B5DBF3" w14:textId="01E1F801" w:rsidR="00C27E03" w:rsidRDefault="00C27E03" w:rsidP="00F5401A">
            <w:pPr>
              <w:rPr>
                <w:rFonts w:ascii="Univers" w:hAnsi="Univers"/>
                <w:b/>
                <w:sz w:val="32"/>
                <w:lang w:val="fr-CA"/>
              </w:rPr>
            </w:pPr>
            <w:r>
              <w:rPr>
                <w:rFonts w:ascii="Univers" w:hAnsi="Univers"/>
                <w:b/>
                <w:sz w:val="32"/>
                <w:lang w:val="fr-CA"/>
              </w:rPr>
              <w:t>l</w:t>
            </w:r>
            <w:r w:rsidR="00F5401A">
              <w:rPr>
                <w:rFonts w:ascii="Univers" w:hAnsi="Univers"/>
                <w:b/>
                <w:sz w:val="32"/>
                <w:lang w:val="fr-CA"/>
              </w:rPr>
              <w:t>’</w:t>
            </w:r>
            <w:r>
              <w:rPr>
                <w:rFonts w:ascii="Univers" w:hAnsi="Univers"/>
                <w:b/>
                <w:sz w:val="32"/>
                <w:lang w:val="fr-CA"/>
              </w:rPr>
              <w:t>environnement</w:t>
            </w:r>
          </w:p>
          <w:p w14:paraId="10C3C329" w14:textId="77777777" w:rsidR="00C27E03" w:rsidRDefault="00C27E03" w:rsidP="00F5401A">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4122B31E" w14:textId="77777777" w:rsidR="00C27E03" w:rsidRDefault="00C27E03" w:rsidP="00F5401A">
            <w:pPr>
              <w:rPr>
                <w:lang w:val="fr-FR"/>
              </w:rPr>
            </w:pPr>
          </w:p>
          <w:p w14:paraId="6B3E5AB7" w14:textId="77777777" w:rsidR="00C27E03" w:rsidRPr="00DD3433" w:rsidRDefault="00C27E03" w:rsidP="00F5401A">
            <w:pPr>
              <w:rPr>
                <w:lang w:val="fr-FR"/>
              </w:rPr>
            </w:pPr>
            <w:r w:rsidRPr="00DD3433">
              <w:rPr>
                <w:lang w:val="fr-FR"/>
              </w:rPr>
              <w:t>Distr.</w:t>
            </w:r>
          </w:p>
          <w:p w14:paraId="522B0FFF" w14:textId="77777777" w:rsidR="00C27E03" w:rsidRPr="00DD3433" w:rsidRDefault="00C27E03" w:rsidP="00F5401A">
            <w:pPr>
              <w:rPr>
                <w:lang w:val="fr-FR"/>
              </w:rPr>
            </w:pPr>
            <w:r w:rsidRPr="00DD3433">
              <w:rPr>
                <w:lang w:val="fr-FR"/>
              </w:rPr>
              <w:t>GÉNÉRALE</w:t>
            </w:r>
          </w:p>
          <w:p w14:paraId="59118AAB" w14:textId="77777777" w:rsidR="00C27E03" w:rsidRPr="00DD3433" w:rsidRDefault="00C27E03" w:rsidP="00F5401A">
            <w:pPr>
              <w:rPr>
                <w:lang w:val="fr-FR"/>
              </w:rPr>
            </w:pPr>
          </w:p>
          <w:p w14:paraId="1101A494" w14:textId="6C0D7911" w:rsidR="00C27E03" w:rsidRPr="00714F80" w:rsidRDefault="00C27E03" w:rsidP="00F5401A">
            <w:pPr>
              <w:rPr>
                <w:lang w:val="fr-FR"/>
              </w:rPr>
            </w:pPr>
            <w:r>
              <w:fldChar w:fldCharType="begin"/>
            </w:r>
            <w:r w:rsidRPr="00714F80">
              <w:rPr>
                <w:lang w:val="fr-FR"/>
              </w:rPr>
              <w:instrText xml:space="preserve"> DOCPROPERTY "Document number"  \* MERGEFORMAT </w:instrText>
            </w:r>
            <w:r>
              <w:fldChar w:fldCharType="separate"/>
            </w:r>
            <w:r w:rsidRPr="00714F80">
              <w:rPr>
                <w:lang w:val="fr-FR"/>
              </w:rPr>
              <w:t>UNEP/OzL.Pro/ExCom/87/1</w:t>
            </w:r>
            <w:r>
              <w:fldChar w:fldCharType="end"/>
            </w:r>
            <w:r w:rsidRPr="00714F80">
              <w:rPr>
                <w:lang w:val="fr-FR"/>
              </w:rPr>
              <w:t>0</w:t>
            </w:r>
          </w:p>
          <w:p w14:paraId="07138F2C" w14:textId="3B23EB7A" w:rsidR="00C27E03" w:rsidRPr="00714F80" w:rsidRDefault="00C27E03" w:rsidP="00F5401A">
            <w:pPr>
              <w:rPr>
                <w:lang w:val="fr-FR"/>
              </w:rPr>
            </w:pPr>
            <w:r>
              <w:fldChar w:fldCharType="begin"/>
            </w:r>
            <w:r w:rsidRPr="00714F80">
              <w:rPr>
                <w:lang w:val="fr-FR"/>
              </w:rPr>
              <w:instrText xml:space="preserve"> DOCPROPERTY "Revision date" \@ "d MMMM YYYY"  \* MERGEFORMAT </w:instrText>
            </w:r>
            <w:r>
              <w:fldChar w:fldCharType="separate"/>
            </w:r>
            <w:r w:rsidRPr="00714F80">
              <w:rPr>
                <w:lang w:val="fr-FR"/>
              </w:rPr>
              <w:t>16 juin 2021</w:t>
            </w:r>
            <w:r>
              <w:fldChar w:fldCharType="end"/>
            </w:r>
          </w:p>
          <w:p w14:paraId="14683074" w14:textId="77777777" w:rsidR="00C27E03" w:rsidRDefault="00C27E03" w:rsidP="00F5401A">
            <w:pPr>
              <w:rPr>
                <w:caps/>
                <w:lang w:val="fr-FR"/>
              </w:rPr>
            </w:pPr>
            <w:r w:rsidRPr="00714F80">
              <w:rPr>
                <w:caps/>
                <w:lang w:val="fr-FR"/>
              </w:rPr>
              <w:br/>
            </w:r>
            <w:r>
              <w:rPr>
                <w:caps/>
                <w:lang w:val="fr-FR"/>
              </w:rPr>
              <w:t>FRANÇAIS</w:t>
            </w:r>
          </w:p>
          <w:p w14:paraId="7C177EB8" w14:textId="5BEA6188" w:rsidR="00C27E03" w:rsidRDefault="00C27E03" w:rsidP="00F5401A">
            <w:r>
              <w:t>ORIGINAL : ANGLAIS</w:t>
            </w:r>
          </w:p>
        </w:tc>
      </w:tr>
    </w:tbl>
    <w:p w14:paraId="18FD1874" w14:textId="77777777" w:rsidR="00C27E03" w:rsidRDefault="00C27E03" w:rsidP="00C27E03">
      <w:pPr>
        <w:jc w:val="left"/>
        <w:rPr>
          <w:lang w:val="fr-CA"/>
        </w:rPr>
      </w:pPr>
      <w:r>
        <w:rPr>
          <w:lang w:val="fr-CA"/>
        </w:rPr>
        <w:t>COMITÉ EXÉCUTIF</w:t>
      </w:r>
    </w:p>
    <w:p w14:paraId="6E00D53F" w14:textId="61CAF080" w:rsidR="0036729E" w:rsidRPr="00714F80" w:rsidRDefault="00F5401A" w:rsidP="00C27E03">
      <w:pPr>
        <w:jc w:val="left"/>
        <w:rPr>
          <w:lang w:val="fr-CA"/>
        </w:rPr>
      </w:pPr>
      <w:r>
        <w:rPr>
          <w:lang w:val="fr-FR"/>
        </w:rPr>
        <w:t> </w:t>
      </w:r>
      <w:r w:rsidR="00FA7D5A" w:rsidRPr="00FA7D5A">
        <w:rPr>
          <w:lang w:val="fr-FR"/>
        </w:rPr>
        <w:t xml:space="preserve">DU FONDS MULTILATÉRAL AUX FINS </w:t>
      </w:r>
      <w:r w:rsidR="00FA7D5A" w:rsidRPr="00FA7D5A">
        <w:rPr>
          <w:lang w:val="fr-FR"/>
        </w:rPr>
        <w:br/>
      </w:r>
      <w:r>
        <w:rPr>
          <w:lang w:val="fr-FR"/>
        </w:rPr>
        <w:t> </w:t>
      </w:r>
      <w:r w:rsidR="00FA7D5A" w:rsidRPr="00FA7D5A">
        <w:rPr>
          <w:lang w:val="fr-FR"/>
        </w:rPr>
        <w:t>D</w:t>
      </w:r>
      <w:r>
        <w:rPr>
          <w:lang w:val="fr-FR"/>
        </w:rPr>
        <w:t>’</w:t>
      </w:r>
      <w:r w:rsidR="00FA7D5A" w:rsidRPr="00FA7D5A">
        <w:rPr>
          <w:lang w:val="fr-FR"/>
        </w:rPr>
        <w:t>APPLICATION DU PROTOCOLE DE MONTRÉAL</w:t>
      </w:r>
      <w:r w:rsidR="00FA7D5A" w:rsidRPr="00FA7D5A">
        <w:rPr>
          <w:lang w:val="fr-FR"/>
        </w:rPr>
        <w:br/>
        <w:t>Quatre-vingt-septième réunion</w:t>
      </w:r>
    </w:p>
    <w:p w14:paraId="3101B65E" w14:textId="4EEB2EA8" w:rsidR="0036729E" w:rsidRPr="00714F80" w:rsidRDefault="00FA7D5A" w:rsidP="0036729E">
      <w:pPr>
        <w:jc w:val="left"/>
        <w:rPr>
          <w:lang w:val="fr-CA"/>
        </w:rPr>
      </w:pPr>
      <w:r w:rsidRPr="00FA7D5A">
        <w:rPr>
          <w:lang w:val="fr-FR"/>
        </w:rPr>
        <w:t>Montréal, 28 juin – 2 juillet 2021</w:t>
      </w:r>
      <w:r w:rsidRPr="00FA7D5A">
        <w:rPr>
          <w:rStyle w:val="FootnoteReference"/>
          <w:lang w:val="fr-FR"/>
        </w:rPr>
        <w:footnoteReference w:id="1"/>
      </w:r>
    </w:p>
    <w:p w14:paraId="2971A647" w14:textId="77777777" w:rsidR="005220ED" w:rsidRPr="00714F80" w:rsidRDefault="005220ED" w:rsidP="00605D6D">
      <w:pPr>
        <w:widowControl w:val="0"/>
        <w:jc w:val="left"/>
        <w:rPr>
          <w:lang w:val="fr-CA"/>
        </w:rPr>
      </w:pPr>
    </w:p>
    <w:p w14:paraId="3921ED40" w14:textId="7277F021" w:rsidR="00C15867" w:rsidRDefault="00C15867" w:rsidP="00605D6D">
      <w:pPr>
        <w:widowControl w:val="0"/>
        <w:jc w:val="left"/>
        <w:rPr>
          <w:lang w:val="fr-CA"/>
        </w:rPr>
      </w:pPr>
    </w:p>
    <w:p w14:paraId="7E441407" w14:textId="77777777" w:rsidR="00E90CE9" w:rsidRPr="00714F80" w:rsidRDefault="00E90CE9" w:rsidP="00605D6D">
      <w:pPr>
        <w:widowControl w:val="0"/>
        <w:jc w:val="left"/>
        <w:rPr>
          <w:lang w:val="fr-CA"/>
        </w:rPr>
      </w:pPr>
    </w:p>
    <w:p w14:paraId="01CD23B4" w14:textId="3B3353A5" w:rsidR="00222C40" w:rsidRDefault="00714F80" w:rsidP="00FA7D5A">
      <w:pPr>
        <w:widowControl w:val="0"/>
        <w:spacing w:after="240"/>
        <w:jc w:val="center"/>
        <w:rPr>
          <w:b/>
          <w:lang w:val="fr-FR"/>
        </w:rPr>
      </w:pPr>
      <w:r w:rsidRPr="00FA7D5A">
        <w:rPr>
          <w:b/>
          <w:lang w:val="fr-FR"/>
        </w:rPr>
        <w:t>RAPPORT GLOBAL D</w:t>
      </w:r>
      <w:r>
        <w:rPr>
          <w:b/>
          <w:lang w:val="fr-FR"/>
        </w:rPr>
        <w:t>’</w:t>
      </w:r>
      <w:r w:rsidRPr="00FA7D5A">
        <w:rPr>
          <w:b/>
          <w:lang w:val="fr-FR"/>
        </w:rPr>
        <w:t>ACHEVEMENT DE PROJET DE 2021 </w:t>
      </w:r>
    </w:p>
    <w:p w14:paraId="3B1CA31B" w14:textId="77777777" w:rsidR="00E90CE9" w:rsidRPr="00714F80" w:rsidRDefault="00E90CE9" w:rsidP="00FA7D5A">
      <w:pPr>
        <w:widowControl w:val="0"/>
        <w:spacing w:after="240"/>
        <w:jc w:val="center"/>
        <w:rPr>
          <w:b/>
          <w:caps/>
          <w:lang w:val="fr-CA"/>
        </w:rPr>
      </w:pPr>
    </w:p>
    <w:p w14:paraId="35DF65F7" w14:textId="60F50703" w:rsidR="00222C40" w:rsidRPr="00FA7D5A" w:rsidRDefault="00FA7D5A" w:rsidP="00FA7D5A">
      <w:pPr>
        <w:pStyle w:val="StyleHeader4Para4Left0Firstline0"/>
        <w:numPr>
          <w:ilvl w:val="0"/>
          <w:numId w:val="0"/>
        </w:numPr>
        <w:rPr>
          <w:b/>
          <w:sz w:val="22"/>
        </w:rPr>
      </w:pPr>
      <w:r w:rsidRPr="00FA7D5A">
        <w:rPr>
          <w:b/>
          <w:sz w:val="22"/>
          <w:lang w:val="fr-FR"/>
        </w:rPr>
        <w:t>Contexte</w:t>
      </w:r>
    </w:p>
    <w:p w14:paraId="1F3AC6D7" w14:textId="7C4845F9" w:rsidR="00FA7D5A" w:rsidRPr="00714F80" w:rsidRDefault="00FA7D5A" w:rsidP="00FA7D5A">
      <w:pPr>
        <w:pStyle w:val="Heading1"/>
        <w:widowControl w:val="0"/>
        <w:numPr>
          <w:ilvl w:val="0"/>
          <w:numId w:val="21"/>
        </w:numPr>
        <w:tabs>
          <w:tab w:val="clear" w:pos="0"/>
          <w:tab w:val="num" w:pos="720"/>
        </w:tabs>
        <w:rPr>
          <w:lang w:val="fr-CA"/>
        </w:rPr>
      </w:pPr>
      <w:r w:rsidRPr="00FA7D5A">
        <w:rPr>
          <w:lang w:val="fr-FR"/>
        </w:rPr>
        <w:t>À</w:t>
      </w:r>
      <w:r w:rsidR="00F5401A">
        <w:rPr>
          <w:lang w:val="fr-FR"/>
        </w:rPr>
        <w:t> </w:t>
      </w:r>
      <w:r w:rsidRPr="00FA7D5A">
        <w:rPr>
          <w:lang w:val="fr-FR"/>
        </w:rPr>
        <w:t>chacune de ses réunions, le Comité exécutif examine la question des rapports d</w:t>
      </w:r>
      <w:r w:rsidR="00F5401A">
        <w:rPr>
          <w:lang w:val="fr-FR"/>
        </w:rPr>
        <w:t>’</w:t>
      </w:r>
      <w:r w:rsidRPr="00FA7D5A">
        <w:rPr>
          <w:lang w:val="fr-FR"/>
        </w:rPr>
        <w:t xml:space="preserve">achèvement de projets </w:t>
      </w:r>
      <w:r>
        <w:rPr>
          <w:lang w:val="fr-FR"/>
        </w:rPr>
        <w:t xml:space="preserve">(RAP) </w:t>
      </w:r>
      <w:r w:rsidRPr="00FA7D5A">
        <w:rPr>
          <w:lang w:val="fr-FR"/>
        </w:rPr>
        <w:t>en souffrance.</w:t>
      </w:r>
      <w:r w:rsidRPr="00714F80">
        <w:rPr>
          <w:lang w:val="fr-CA"/>
        </w:rPr>
        <w:t xml:space="preserve"> </w:t>
      </w:r>
      <w:r w:rsidRPr="00FA7D5A">
        <w:rPr>
          <w:lang w:val="fr-FR"/>
        </w:rPr>
        <w:t>À sa 86</w:t>
      </w:r>
      <w:r w:rsidRPr="00FA7D5A">
        <w:rPr>
          <w:vertAlign w:val="superscript"/>
          <w:lang w:val="fr-FR"/>
        </w:rPr>
        <w:t>e</w:t>
      </w:r>
      <w:r w:rsidRPr="00FA7D5A">
        <w:rPr>
          <w:lang w:val="fr-FR"/>
        </w:rPr>
        <w:t xml:space="preserve"> réunion, le Comité exécutif a entre autres exhorté les agences bilatérales et d</w:t>
      </w:r>
      <w:r w:rsidR="00F5401A">
        <w:rPr>
          <w:lang w:val="fr-FR"/>
        </w:rPr>
        <w:t>’</w:t>
      </w:r>
      <w:r w:rsidRPr="00FA7D5A">
        <w:rPr>
          <w:lang w:val="fr-FR"/>
        </w:rPr>
        <w:t>exécution à soumettre à la 87</w:t>
      </w:r>
      <w:r w:rsidRPr="00FA7D5A">
        <w:rPr>
          <w:vertAlign w:val="superscript"/>
          <w:lang w:val="fr-FR"/>
        </w:rPr>
        <w:t>e</w:t>
      </w:r>
      <w:r w:rsidRPr="00FA7D5A">
        <w:rPr>
          <w:lang w:val="fr-FR"/>
        </w:rPr>
        <w:t xml:space="preserve"> réunion les rapports d</w:t>
      </w:r>
      <w:r w:rsidR="00F5401A">
        <w:rPr>
          <w:lang w:val="fr-FR"/>
        </w:rPr>
        <w:t>’</w:t>
      </w:r>
      <w:r w:rsidRPr="00FA7D5A">
        <w:rPr>
          <w:lang w:val="fr-FR"/>
        </w:rPr>
        <w:t xml:space="preserve">achèvement de projet (RAP) en souffrance pour les accords pluriannuels et les projets individuels, ou bien </w:t>
      </w:r>
      <w:r w:rsidR="00273F5E">
        <w:rPr>
          <w:lang w:val="fr-FR"/>
        </w:rPr>
        <w:t>à</w:t>
      </w:r>
      <w:r w:rsidRPr="00FA7D5A">
        <w:rPr>
          <w:lang w:val="fr-FR"/>
        </w:rPr>
        <w:t xml:space="preserve"> fournir les raisons pour lesquelles ces rapports n</w:t>
      </w:r>
      <w:r w:rsidR="00F5401A">
        <w:rPr>
          <w:lang w:val="fr-FR"/>
        </w:rPr>
        <w:t>’</w:t>
      </w:r>
      <w:r w:rsidRPr="00FA7D5A">
        <w:rPr>
          <w:lang w:val="fr-FR"/>
        </w:rPr>
        <w:t>ont pas pu être soumis.</w:t>
      </w:r>
      <w:r w:rsidRPr="00714F80">
        <w:rPr>
          <w:lang w:val="fr-CA"/>
        </w:rPr>
        <w:t xml:space="preserve"> </w:t>
      </w:r>
      <w:r w:rsidRPr="00FA7D5A">
        <w:rPr>
          <w:lang w:val="fr-FR"/>
        </w:rPr>
        <w:t>Le Comité a également exhorté les agences principales et de coopération à coordonner étroitement leurs travaux pour achever leurs sections des rapports d</w:t>
      </w:r>
      <w:r w:rsidR="00F5401A">
        <w:rPr>
          <w:lang w:val="fr-FR"/>
        </w:rPr>
        <w:t>’</w:t>
      </w:r>
      <w:r w:rsidRPr="00FA7D5A">
        <w:rPr>
          <w:lang w:val="fr-FR"/>
        </w:rPr>
        <w:t>achèvement de projets, afin de permettre à l</w:t>
      </w:r>
      <w:r w:rsidR="00F5401A">
        <w:rPr>
          <w:lang w:val="fr-FR"/>
        </w:rPr>
        <w:t>’</w:t>
      </w:r>
      <w:r w:rsidRPr="00FA7D5A">
        <w:rPr>
          <w:lang w:val="fr-FR"/>
        </w:rPr>
        <w:t>agence d</w:t>
      </w:r>
      <w:r w:rsidR="00F5401A">
        <w:rPr>
          <w:lang w:val="fr-FR"/>
        </w:rPr>
        <w:t>’</w:t>
      </w:r>
      <w:r w:rsidRPr="00FA7D5A">
        <w:rPr>
          <w:lang w:val="fr-FR"/>
        </w:rPr>
        <w:t>exécution principale de les remettre aux dates prévues (décision 86/43(b) et (c)).</w:t>
      </w:r>
      <w:r w:rsidRPr="00714F80">
        <w:rPr>
          <w:lang w:val="fr-CA"/>
        </w:rPr>
        <w:t xml:space="preserve"> </w:t>
      </w:r>
    </w:p>
    <w:p w14:paraId="725CFF8A" w14:textId="5E5B6962" w:rsidR="00FA7D5A" w:rsidRPr="00714F80" w:rsidRDefault="00FA7D5A" w:rsidP="00FA7D5A">
      <w:pPr>
        <w:pStyle w:val="Heading1"/>
        <w:widowControl w:val="0"/>
        <w:numPr>
          <w:ilvl w:val="0"/>
          <w:numId w:val="21"/>
        </w:numPr>
        <w:tabs>
          <w:tab w:val="clear" w:pos="0"/>
          <w:tab w:val="num" w:pos="720"/>
        </w:tabs>
        <w:rPr>
          <w:lang w:val="fr-CA"/>
        </w:rPr>
      </w:pPr>
      <w:r w:rsidRPr="00FA7D5A">
        <w:rPr>
          <w:lang w:val="fr-FR"/>
        </w:rPr>
        <w:t>En raison du coronavirus (COVID-19), les 85</w:t>
      </w:r>
      <w:r w:rsidRPr="00FA7D5A">
        <w:rPr>
          <w:vertAlign w:val="superscript"/>
          <w:lang w:val="fr-FR"/>
        </w:rPr>
        <w:t>e</w:t>
      </w:r>
      <w:r w:rsidRPr="00FA7D5A">
        <w:rPr>
          <w:lang w:val="fr-FR"/>
        </w:rPr>
        <w:t xml:space="preserve"> et 86</w:t>
      </w:r>
      <w:r w:rsidRPr="00FA7D5A">
        <w:rPr>
          <w:vertAlign w:val="superscript"/>
          <w:lang w:val="fr-FR"/>
        </w:rPr>
        <w:t>e</w:t>
      </w:r>
      <w:r w:rsidRPr="00FA7D5A">
        <w:rPr>
          <w:lang w:val="fr-FR"/>
        </w:rPr>
        <w:t xml:space="preserve"> réunions ont été reportées, et le Comité exécutif a accepté de mettre en place un processus d</w:t>
      </w:r>
      <w:r w:rsidR="00F5401A">
        <w:rPr>
          <w:lang w:val="fr-FR"/>
        </w:rPr>
        <w:t>’</w:t>
      </w:r>
      <w:r w:rsidRPr="00FA7D5A">
        <w:rPr>
          <w:lang w:val="fr-FR"/>
        </w:rPr>
        <w:t>approbation en période intersessions (IAP) afin d</w:t>
      </w:r>
      <w:r w:rsidR="00F5401A">
        <w:rPr>
          <w:lang w:val="fr-FR"/>
        </w:rPr>
        <w:t>’</w:t>
      </w:r>
      <w:r w:rsidRPr="00FA7D5A">
        <w:rPr>
          <w:lang w:val="fr-FR"/>
        </w:rPr>
        <w:t>examiner certains rapports et projets.</w:t>
      </w:r>
      <w:r w:rsidRPr="00714F80">
        <w:rPr>
          <w:lang w:val="fr-CA"/>
        </w:rPr>
        <w:t xml:space="preserve"> </w:t>
      </w:r>
      <w:r w:rsidRPr="00FA7D5A">
        <w:rPr>
          <w:lang w:val="fr-FR"/>
        </w:rPr>
        <w:t>Le Comité exécutif a en outre convenu d</w:t>
      </w:r>
      <w:r w:rsidR="00F5401A">
        <w:rPr>
          <w:lang w:val="fr-FR"/>
        </w:rPr>
        <w:t>’</w:t>
      </w:r>
      <w:r w:rsidRPr="00FA7D5A">
        <w:rPr>
          <w:lang w:val="fr-FR"/>
        </w:rPr>
        <w:t xml:space="preserve">aborder le rapport </w:t>
      </w:r>
      <w:r w:rsidR="00473D95">
        <w:rPr>
          <w:lang w:val="fr-FR"/>
        </w:rPr>
        <w:t>global</w:t>
      </w:r>
      <w:r w:rsidRPr="00FA7D5A">
        <w:rPr>
          <w:lang w:val="fr-FR"/>
        </w:rPr>
        <w:t xml:space="preserve"> d</w:t>
      </w:r>
      <w:r w:rsidR="00F5401A">
        <w:rPr>
          <w:lang w:val="fr-FR"/>
        </w:rPr>
        <w:t>’</w:t>
      </w:r>
      <w:r w:rsidRPr="00FA7D5A">
        <w:rPr>
          <w:lang w:val="fr-FR"/>
        </w:rPr>
        <w:t>achèvement d</w:t>
      </w:r>
      <w:r w:rsidR="00273F5E">
        <w:rPr>
          <w:lang w:val="fr-FR"/>
        </w:rPr>
        <w:t>e</w:t>
      </w:r>
      <w:r w:rsidRPr="00FA7D5A">
        <w:rPr>
          <w:lang w:val="fr-FR"/>
        </w:rPr>
        <w:t xml:space="preserve"> projet </w:t>
      </w:r>
      <w:r w:rsidR="00473D95">
        <w:rPr>
          <w:lang w:val="fr-FR"/>
        </w:rPr>
        <w:t xml:space="preserve">de </w:t>
      </w:r>
      <w:r w:rsidRPr="00FA7D5A">
        <w:rPr>
          <w:lang w:val="fr-FR"/>
        </w:rPr>
        <w:t>2020 lors de l</w:t>
      </w:r>
      <w:r w:rsidR="00F5401A">
        <w:rPr>
          <w:lang w:val="fr-FR"/>
        </w:rPr>
        <w:t>’</w:t>
      </w:r>
      <w:r w:rsidRPr="00FA7D5A">
        <w:rPr>
          <w:lang w:val="fr-FR"/>
        </w:rPr>
        <w:t>IAP prolongé mis en place pour la 86</w:t>
      </w:r>
      <w:r w:rsidRPr="00FA7D5A">
        <w:rPr>
          <w:vertAlign w:val="superscript"/>
          <w:lang w:val="fr-FR"/>
        </w:rPr>
        <w:t>e</w:t>
      </w:r>
      <w:r w:rsidRPr="00FA7D5A">
        <w:rPr>
          <w:lang w:val="fr-FR"/>
        </w:rPr>
        <w:t> réunion.</w:t>
      </w:r>
      <w:r w:rsidRPr="00714F80">
        <w:rPr>
          <w:lang w:val="fr-CA"/>
        </w:rPr>
        <w:t xml:space="preserve"> </w:t>
      </w:r>
      <w:r w:rsidRPr="00FA7D5A">
        <w:rPr>
          <w:lang w:val="fr-FR"/>
        </w:rPr>
        <w:t>Par conséquent, les listes des RAP reçus et dus pour le présent rapport remontent</w:t>
      </w:r>
      <w:r w:rsidR="00473D95">
        <w:rPr>
          <w:lang w:val="fr-FR"/>
        </w:rPr>
        <w:t xml:space="preserve"> </w:t>
      </w:r>
      <w:r w:rsidRPr="00FA7D5A">
        <w:rPr>
          <w:lang w:val="fr-FR"/>
        </w:rPr>
        <w:t xml:space="preserve">à </w:t>
      </w:r>
      <w:r w:rsidR="00473D95">
        <w:rPr>
          <w:lang w:val="fr-FR"/>
        </w:rPr>
        <w:t xml:space="preserve">la </w:t>
      </w:r>
      <w:r w:rsidRPr="00FA7D5A">
        <w:rPr>
          <w:lang w:val="fr-FR"/>
        </w:rPr>
        <w:t>fin septembre 2020 et à la date limite de soumission du 3 mai 2021.</w:t>
      </w:r>
      <w:r w:rsidRPr="00714F80">
        <w:rPr>
          <w:lang w:val="fr-CA"/>
        </w:rPr>
        <w:t xml:space="preserve"> </w:t>
      </w:r>
    </w:p>
    <w:p w14:paraId="68E79D6F" w14:textId="2F12BCE3" w:rsidR="00FA7D5A" w:rsidRPr="00714F80" w:rsidRDefault="00FA7D5A" w:rsidP="00FA7D5A">
      <w:pPr>
        <w:pStyle w:val="Heading1"/>
        <w:widowControl w:val="0"/>
        <w:numPr>
          <w:ilvl w:val="0"/>
          <w:numId w:val="21"/>
        </w:numPr>
        <w:tabs>
          <w:tab w:val="clear" w:pos="0"/>
          <w:tab w:val="num" w:pos="720"/>
        </w:tabs>
        <w:rPr>
          <w:lang w:val="fr-CA"/>
        </w:rPr>
      </w:pPr>
      <w:r w:rsidRPr="00FA7D5A">
        <w:rPr>
          <w:lang w:val="fr-FR"/>
        </w:rPr>
        <w:t>Conformément à la décision 86/43(b) et (c), la liste de tous les RAP dus a été envoyée le 3 mars 2021 aux agences bilatérales et aux agences d</w:t>
      </w:r>
      <w:r w:rsidR="00F5401A">
        <w:rPr>
          <w:lang w:val="fr-FR"/>
        </w:rPr>
        <w:t>’</w:t>
      </w:r>
      <w:r w:rsidRPr="00FA7D5A">
        <w:rPr>
          <w:lang w:val="fr-FR"/>
        </w:rPr>
        <w:t>exécution.</w:t>
      </w:r>
    </w:p>
    <w:p w14:paraId="0154DCEA" w14:textId="510153DD" w:rsidR="00222C40" w:rsidRPr="00FA7D5A" w:rsidRDefault="00FA7D5A" w:rsidP="00FA7D5A">
      <w:pPr>
        <w:pStyle w:val="lisa"/>
        <w:numPr>
          <w:ilvl w:val="0"/>
          <w:numId w:val="0"/>
        </w:numPr>
        <w:tabs>
          <w:tab w:val="left" w:pos="720"/>
        </w:tabs>
        <w:rPr>
          <w:szCs w:val="22"/>
          <w:lang w:val="fr-CA"/>
        </w:rPr>
      </w:pPr>
      <w:r w:rsidRPr="00FA7D5A">
        <w:rPr>
          <w:szCs w:val="22"/>
          <w:lang w:val="fr-FR"/>
        </w:rPr>
        <w:t>Rapports</w:t>
      </w:r>
      <w:r w:rsidR="00F5401A">
        <w:rPr>
          <w:szCs w:val="22"/>
          <w:lang w:val="fr-FR"/>
        </w:rPr>
        <w:t> </w:t>
      </w:r>
      <w:r w:rsidRPr="00FA7D5A">
        <w:rPr>
          <w:szCs w:val="22"/>
          <w:lang w:val="fr-FR"/>
        </w:rPr>
        <w:t>d</w:t>
      </w:r>
      <w:r w:rsidR="00F5401A">
        <w:rPr>
          <w:szCs w:val="22"/>
          <w:lang w:val="fr-FR"/>
        </w:rPr>
        <w:t>’</w:t>
      </w:r>
      <w:r w:rsidRPr="00FA7D5A">
        <w:rPr>
          <w:szCs w:val="22"/>
          <w:lang w:val="fr-FR"/>
        </w:rPr>
        <w:t>achèvement de projet reçus pour des accords pluriannuels</w:t>
      </w:r>
    </w:p>
    <w:p w14:paraId="20262655" w14:textId="19DA0597" w:rsidR="00FA7D5A" w:rsidRPr="00714F80" w:rsidRDefault="00FA7D5A" w:rsidP="00FA7D5A">
      <w:pPr>
        <w:pStyle w:val="Heading1"/>
        <w:widowControl w:val="0"/>
        <w:numPr>
          <w:ilvl w:val="0"/>
          <w:numId w:val="21"/>
        </w:numPr>
        <w:tabs>
          <w:tab w:val="clear" w:pos="0"/>
          <w:tab w:val="num" w:pos="720"/>
        </w:tabs>
        <w:rPr>
          <w:lang w:val="fr-CA"/>
        </w:rPr>
      </w:pPr>
      <w:r w:rsidRPr="00FA7D5A">
        <w:rPr>
          <w:lang w:val="fr-FR"/>
        </w:rPr>
        <w:t>Sur les 208 accords pluriannuels achevés, les agences bilatérales et d</w:t>
      </w:r>
      <w:r w:rsidR="00F5401A">
        <w:rPr>
          <w:lang w:val="fr-FR"/>
        </w:rPr>
        <w:t>’</w:t>
      </w:r>
      <w:r w:rsidRPr="00FA7D5A">
        <w:rPr>
          <w:lang w:val="fr-FR"/>
        </w:rPr>
        <w:t>exécution ont remis 199 rapports d</w:t>
      </w:r>
      <w:r w:rsidR="00F5401A">
        <w:rPr>
          <w:lang w:val="fr-FR"/>
        </w:rPr>
        <w:t>’</w:t>
      </w:r>
      <w:r w:rsidRPr="00FA7D5A">
        <w:rPr>
          <w:lang w:val="fr-FR"/>
        </w:rPr>
        <w:t>achèvement de projet (RAP) avant la 87</w:t>
      </w:r>
      <w:r w:rsidRPr="00FA7D5A">
        <w:rPr>
          <w:vertAlign w:val="superscript"/>
          <w:lang w:val="fr-FR"/>
        </w:rPr>
        <w:t>e</w:t>
      </w:r>
      <w:r w:rsidRPr="00FA7D5A">
        <w:rPr>
          <w:lang w:val="fr-FR"/>
        </w:rPr>
        <w:t xml:space="preserve"> réunion, </w:t>
      </w:r>
      <w:r w:rsidR="00473D95">
        <w:rPr>
          <w:lang w:val="fr-FR"/>
        </w:rPr>
        <w:t>laissant</w:t>
      </w:r>
      <w:r w:rsidRPr="00FA7D5A">
        <w:rPr>
          <w:lang w:val="fr-FR"/>
        </w:rPr>
        <w:t xml:space="preserve"> 9 rapports en instance, comme </w:t>
      </w:r>
      <w:r w:rsidRPr="00FA7D5A">
        <w:rPr>
          <w:lang w:val="fr-FR"/>
        </w:rPr>
        <w:lastRenderedPageBreak/>
        <w:t>l</w:t>
      </w:r>
      <w:r w:rsidR="00F5401A">
        <w:rPr>
          <w:lang w:val="fr-FR"/>
        </w:rPr>
        <w:t>’</w:t>
      </w:r>
      <w:r w:rsidRPr="00FA7D5A">
        <w:rPr>
          <w:lang w:val="fr-FR"/>
        </w:rPr>
        <w:t>indique le tableau 1. La liste des 7 RAP remis après la 86</w:t>
      </w:r>
      <w:r w:rsidRPr="00FA7D5A">
        <w:rPr>
          <w:vertAlign w:val="superscript"/>
          <w:lang w:val="fr-FR"/>
        </w:rPr>
        <w:t>e</w:t>
      </w:r>
      <w:r w:rsidRPr="00FA7D5A">
        <w:rPr>
          <w:lang w:val="fr-FR"/>
        </w:rPr>
        <w:t xml:space="preserve"> réunion figure à l</w:t>
      </w:r>
      <w:r w:rsidR="00F5401A">
        <w:rPr>
          <w:lang w:val="fr-FR"/>
        </w:rPr>
        <w:t>’</w:t>
      </w:r>
      <w:r w:rsidRPr="00FA7D5A">
        <w:rPr>
          <w:lang w:val="fr-FR"/>
        </w:rPr>
        <w:t>annexe I au présent rapport.</w:t>
      </w:r>
      <w:r w:rsidRPr="00714F80">
        <w:rPr>
          <w:lang w:val="fr-CA"/>
        </w:rPr>
        <w:t xml:space="preserve"> </w:t>
      </w:r>
    </w:p>
    <w:p w14:paraId="691CD107" w14:textId="35BB57B8" w:rsidR="00222C40" w:rsidRPr="00714F80" w:rsidRDefault="00FA7D5A" w:rsidP="00605D6D">
      <w:pPr>
        <w:pStyle w:val="Heading1"/>
        <w:keepNext/>
        <w:keepLines/>
        <w:widowControl w:val="0"/>
        <w:numPr>
          <w:ilvl w:val="0"/>
          <w:numId w:val="0"/>
        </w:numPr>
        <w:tabs>
          <w:tab w:val="left" w:pos="720"/>
        </w:tabs>
        <w:spacing w:after="0"/>
        <w:rPr>
          <w:b/>
          <w:lang w:val="fr-CA"/>
        </w:rPr>
      </w:pPr>
      <w:r w:rsidRPr="00FA7D5A">
        <w:rPr>
          <w:b/>
          <w:lang w:val="fr-FR"/>
        </w:rPr>
        <w:t>Tableau 1. Vue d</w:t>
      </w:r>
      <w:r w:rsidR="00F5401A">
        <w:rPr>
          <w:b/>
          <w:lang w:val="fr-FR"/>
        </w:rPr>
        <w:t>’</w:t>
      </w:r>
      <w:r w:rsidRPr="00FA7D5A">
        <w:rPr>
          <w:b/>
          <w:lang w:val="fr-FR"/>
        </w:rPr>
        <w:t>ensemble des RAP pour les accords pluriannuels</w:t>
      </w:r>
    </w:p>
    <w:tbl>
      <w:tblPr>
        <w:tblW w:w="9365" w:type="dxa"/>
        <w:tblInd w:w="-5" w:type="dxa"/>
        <w:tblLayout w:type="fixed"/>
        <w:tblLook w:val="04A0" w:firstRow="1" w:lastRow="0" w:firstColumn="1" w:lastColumn="0" w:noHBand="0" w:noVBand="1"/>
      </w:tblPr>
      <w:tblGrid>
        <w:gridCol w:w="1389"/>
        <w:gridCol w:w="1875"/>
        <w:gridCol w:w="2128"/>
        <w:gridCol w:w="1986"/>
        <w:gridCol w:w="1987"/>
      </w:tblGrid>
      <w:tr w:rsidR="00222C40" w:rsidRPr="00210DFF" w14:paraId="2BCF2E05" w14:textId="77777777" w:rsidTr="000717D0">
        <w:trPr>
          <w:tblHeader/>
        </w:trPr>
        <w:tc>
          <w:tcPr>
            <w:tcW w:w="1389" w:type="dxa"/>
            <w:tcBorders>
              <w:top w:val="single" w:sz="4" w:space="0" w:color="auto"/>
              <w:left w:val="single" w:sz="4" w:space="0" w:color="auto"/>
              <w:bottom w:val="single" w:sz="4" w:space="0" w:color="auto"/>
              <w:right w:val="single" w:sz="4" w:space="0" w:color="auto"/>
            </w:tcBorders>
            <w:noWrap/>
            <w:vAlign w:val="center"/>
            <w:hideMark/>
          </w:tcPr>
          <w:p w14:paraId="118BE8ED" w14:textId="4D19F4FD" w:rsidR="00222C40" w:rsidRPr="00FA7D5A" w:rsidRDefault="00FA7D5A" w:rsidP="00D82CA5">
            <w:pPr>
              <w:keepNext/>
              <w:keepLines/>
              <w:widowControl w:val="0"/>
              <w:jc w:val="left"/>
              <w:rPr>
                <w:b/>
                <w:bCs/>
                <w:color w:val="000000"/>
                <w:sz w:val="20"/>
                <w:szCs w:val="20"/>
                <w:lang w:val="en-CA" w:eastAsia="en-CA"/>
              </w:rPr>
            </w:pPr>
            <w:r w:rsidRPr="00FA7D5A">
              <w:rPr>
                <w:b/>
                <w:bCs/>
                <w:color w:val="000000"/>
                <w:sz w:val="20"/>
                <w:szCs w:val="20"/>
                <w:lang w:val="fr-FR" w:eastAsia="en-CA"/>
              </w:rPr>
              <w:t>Agence</w:t>
            </w:r>
            <w:r w:rsidR="00F5401A">
              <w:rPr>
                <w:b/>
                <w:bCs/>
                <w:color w:val="000000"/>
                <w:sz w:val="20"/>
                <w:szCs w:val="20"/>
                <w:lang w:val="fr-FR" w:eastAsia="en-CA"/>
              </w:rPr>
              <w:t> </w:t>
            </w:r>
            <w:r w:rsidRPr="00FA7D5A">
              <w:rPr>
                <w:b/>
                <w:bCs/>
                <w:color w:val="000000"/>
                <w:sz w:val="20"/>
                <w:szCs w:val="20"/>
                <w:lang w:val="fr-FR" w:eastAsia="en-CA"/>
              </w:rPr>
              <w:t>principale</w:t>
            </w:r>
          </w:p>
        </w:tc>
        <w:tc>
          <w:tcPr>
            <w:tcW w:w="1875" w:type="dxa"/>
            <w:tcBorders>
              <w:top w:val="single" w:sz="4" w:space="0" w:color="auto"/>
              <w:left w:val="nil"/>
              <w:bottom w:val="single" w:sz="4" w:space="0" w:color="auto"/>
              <w:right w:val="single" w:sz="4" w:space="0" w:color="auto"/>
            </w:tcBorders>
            <w:noWrap/>
            <w:vAlign w:val="center"/>
            <w:hideMark/>
          </w:tcPr>
          <w:p w14:paraId="3F739321" w14:textId="476F8721" w:rsidR="00222C40" w:rsidRPr="00FA7D5A" w:rsidRDefault="00FA7D5A" w:rsidP="00D82CA5">
            <w:pPr>
              <w:keepNext/>
              <w:keepLines/>
              <w:widowControl w:val="0"/>
              <w:jc w:val="center"/>
              <w:rPr>
                <w:b/>
                <w:bCs/>
                <w:color w:val="000000"/>
                <w:sz w:val="20"/>
                <w:szCs w:val="20"/>
                <w:lang w:val="en-CA" w:eastAsia="en-CA"/>
              </w:rPr>
            </w:pPr>
            <w:r w:rsidRPr="00FA7D5A">
              <w:rPr>
                <w:b/>
                <w:bCs/>
                <w:color w:val="000000"/>
                <w:sz w:val="20"/>
                <w:szCs w:val="20"/>
                <w:lang w:val="fr-FR" w:eastAsia="en-CA"/>
              </w:rPr>
              <w:t>Achevés</w:t>
            </w:r>
          </w:p>
        </w:tc>
        <w:tc>
          <w:tcPr>
            <w:tcW w:w="2128" w:type="dxa"/>
            <w:tcBorders>
              <w:top w:val="single" w:sz="4" w:space="0" w:color="auto"/>
              <w:left w:val="nil"/>
              <w:bottom w:val="single" w:sz="4" w:space="0" w:color="auto"/>
              <w:right w:val="single" w:sz="4" w:space="0" w:color="auto"/>
            </w:tcBorders>
            <w:vAlign w:val="center"/>
            <w:hideMark/>
          </w:tcPr>
          <w:p w14:paraId="4FE03A52" w14:textId="4513B6C8" w:rsidR="00222C40" w:rsidRPr="00714F80" w:rsidRDefault="00FA7D5A" w:rsidP="00D82CA5">
            <w:pPr>
              <w:keepNext/>
              <w:keepLines/>
              <w:widowControl w:val="0"/>
              <w:jc w:val="center"/>
              <w:rPr>
                <w:b/>
                <w:bCs/>
                <w:sz w:val="20"/>
                <w:szCs w:val="20"/>
                <w:lang w:val="fr-CA" w:eastAsia="en-CA"/>
              </w:rPr>
            </w:pPr>
            <w:r w:rsidRPr="00FA7D5A">
              <w:rPr>
                <w:b/>
                <w:bCs/>
                <w:sz w:val="20"/>
                <w:szCs w:val="20"/>
                <w:lang w:val="fr-FR" w:eastAsia="en-CA"/>
              </w:rPr>
              <w:t>Reçus avant la 86</w:t>
            </w:r>
            <w:r w:rsidRPr="00FA7D5A">
              <w:rPr>
                <w:b/>
                <w:bCs/>
                <w:sz w:val="20"/>
                <w:szCs w:val="20"/>
                <w:vertAlign w:val="superscript"/>
                <w:lang w:val="fr-FR" w:eastAsia="en-CA"/>
              </w:rPr>
              <w:t>e</w:t>
            </w:r>
            <w:r w:rsidR="00F5401A">
              <w:rPr>
                <w:b/>
                <w:bCs/>
                <w:sz w:val="20"/>
                <w:szCs w:val="20"/>
                <w:lang w:val="fr-FR" w:eastAsia="en-CA"/>
              </w:rPr>
              <w:t> </w:t>
            </w:r>
            <w:r w:rsidRPr="00FA7D5A">
              <w:rPr>
                <w:b/>
                <w:bCs/>
                <w:sz w:val="20"/>
                <w:szCs w:val="20"/>
                <w:lang w:val="fr-FR" w:eastAsia="en-CA"/>
              </w:rPr>
              <w:t>réunion</w:t>
            </w:r>
          </w:p>
        </w:tc>
        <w:tc>
          <w:tcPr>
            <w:tcW w:w="1986" w:type="dxa"/>
            <w:tcBorders>
              <w:top w:val="single" w:sz="4" w:space="0" w:color="auto"/>
              <w:left w:val="nil"/>
              <w:bottom w:val="single" w:sz="4" w:space="0" w:color="auto"/>
              <w:right w:val="single" w:sz="4" w:space="0" w:color="auto"/>
            </w:tcBorders>
            <w:vAlign w:val="center"/>
            <w:hideMark/>
          </w:tcPr>
          <w:p w14:paraId="682A33C1" w14:textId="6A897499" w:rsidR="00222C40" w:rsidRPr="00714F80" w:rsidRDefault="00FA7D5A" w:rsidP="00D82CA5">
            <w:pPr>
              <w:keepNext/>
              <w:keepLines/>
              <w:widowControl w:val="0"/>
              <w:jc w:val="center"/>
              <w:rPr>
                <w:b/>
                <w:bCs/>
                <w:sz w:val="20"/>
                <w:szCs w:val="20"/>
                <w:lang w:val="fr-CA" w:eastAsia="en-CA"/>
              </w:rPr>
            </w:pPr>
            <w:r w:rsidRPr="00FA7D5A">
              <w:rPr>
                <w:b/>
                <w:bCs/>
                <w:sz w:val="20"/>
                <w:szCs w:val="20"/>
                <w:lang w:val="fr-FR" w:eastAsia="en-CA"/>
              </w:rPr>
              <w:t>Reçus après la 86</w:t>
            </w:r>
            <w:r w:rsidRPr="00FA7D5A">
              <w:rPr>
                <w:b/>
                <w:bCs/>
                <w:sz w:val="20"/>
                <w:szCs w:val="20"/>
                <w:vertAlign w:val="superscript"/>
                <w:lang w:val="fr-FR" w:eastAsia="en-CA"/>
              </w:rPr>
              <w:t>e</w:t>
            </w:r>
            <w:r w:rsidR="00F5401A">
              <w:rPr>
                <w:b/>
                <w:bCs/>
                <w:sz w:val="20"/>
                <w:szCs w:val="20"/>
                <w:lang w:val="fr-FR" w:eastAsia="en-CA"/>
              </w:rPr>
              <w:t> </w:t>
            </w:r>
            <w:r w:rsidRPr="00FA7D5A">
              <w:rPr>
                <w:b/>
                <w:bCs/>
                <w:sz w:val="20"/>
                <w:szCs w:val="20"/>
                <w:lang w:val="fr-FR" w:eastAsia="en-CA"/>
              </w:rPr>
              <w:t>réunion</w:t>
            </w:r>
          </w:p>
        </w:tc>
        <w:tc>
          <w:tcPr>
            <w:tcW w:w="1987" w:type="dxa"/>
            <w:tcBorders>
              <w:top w:val="single" w:sz="4" w:space="0" w:color="auto"/>
              <w:left w:val="nil"/>
              <w:bottom w:val="single" w:sz="4" w:space="0" w:color="auto"/>
              <w:right w:val="single" w:sz="4" w:space="0" w:color="auto"/>
            </w:tcBorders>
            <w:vAlign w:val="center"/>
            <w:hideMark/>
          </w:tcPr>
          <w:p w14:paraId="36105665" w14:textId="3A425825" w:rsidR="00222C40" w:rsidRPr="00850631" w:rsidRDefault="00FA7D5A" w:rsidP="00D82CA5">
            <w:pPr>
              <w:keepNext/>
              <w:keepLines/>
              <w:widowControl w:val="0"/>
              <w:jc w:val="center"/>
              <w:rPr>
                <w:b/>
                <w:bCs/>
                <w:sz w:val="20"/>
                <w:szCs w:val="20"/>
                <w:lang w:val="en-CA" w:eastAsia="en-CA"/>
              </w:rPr>
            </w:pPr>
            <w:r w:rsidRPr="00850631">
              <w:rPr>
                <w:b/>
                <w:bCs/>
                <w:sz w:val="20"/>
                <w:szCs w:val="20"/>
                <w:lang w:val="fr-FR" w:eastAsia="en-CA"/>
              </w:rPr>
              <w:t xml:space="preserve">En </w:t>
            </w:r>
            <w:r w:rsidR="00850631" w:rsidRPr="00850631">
              <w:rPr>
                <w:b/>
                <w:bCs/>
                <w:sz w:val="20"/>
                <w:szCs w:val="20"/>
                <w:lang w:val="fr-FR" w:eastAsia="en-CA"/>
              </w:rPr>
              <w:t>instance</w:t>
            </w:r>
          </w:p>
        </w:tc>
      </w:tr>
      <w:tr w:rsidR="00222C40" w:rsidRPr="00210DFF" w14:paraId="50BCE5BB"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46253AAD" w14:textId="09CE279F" w:rsidR="00222C40" w:rsidRPr="00850631" w:rsidRDefault="00850631" w:rsidP="00D82CA5">
            <w:pPr>
              <w:keepNext/>
              <w:keepLines/>
              <w:widowControl w:val="0"/>
              <w:rPr>
                <w:color w:val="000000"/>
                <w:sz w:val="20"/>
                <w:szCs w:val="20"/>
                <w:lang w:val="en-CA" w:eastAsia="en-CA"/>
              </w:rPr>
            </w:pPr>
            <w:r w:rsidRPr="00850631">
              <w:rPr>
                <w:color w:val="000000"/>
                <w:sz w:val="20"/>
                <w:szCs w:val="20"/>
                <w:lang w:val="fr-FR" w:eastAsia="en-CA"/>
              </w:rPr>
              <w:t>Canada</w:t>
            </w:r>
          </w:p>
        </w:tc>
        <w:tc>
          <w:tcPr>
            <w:tcW w:w="1875" w:type="dxa"/>
            <w:tcBorders>
              <w:top w:val="nil"/>
              <w:left w:val="nil"/>
              <w:bottom w:val="single" w:sz="4" w:space="0" w:color="auto"/>
              <w:right w:val="single" w:sz="4" w:space="0" w:color="auto"/>
            </w:tcBorders>
            <w:noWrap/>
            <w:vAlign w:val="bottom"/>
            <w:hideMark/>
          </w:tcPr>
          <w:p w14:paraId="1D48D5EB"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3</w:t>
            </w:r>
          </w:p>
        </w:tc>
        <w:tc>
          <w:tcPr>
            <w:tcW w:w="2128" w:type="dxa"/>
            <w:tcBorders>
              <w:top w:val="nil"/>
              <w:left w:val="nil"/>
              <w:bottom w:val="single" w:sz="4" w:space="0" w:color="auto"/>
              <w:right w:val="single" w:sz="4" w:space="0" w:color="auto"/>
            </w:tcBorders>
            <w:noWrap/>
            <w:vAlign w:val="center"/>
            <w:hideMark/>
          </w:tcPr>
          <w:p w14:paraId="0E434E66"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3</w:t>
            </w:r>
          </w:p>
        </w:tc>
        <w:tc>
          <w:tcPr>
            <w:tcW w:w="1986" w:type="dxa"/>
            <w:tcBorders>
              <w:top w:val="nil"/>
              <w:left w:val="nil"/>
              <w:bottom w:val="single" w:sz="4" w:space="0" w:color="auto"/>
              <w:right w:val="single" w:sz="4" w:space="0" w:color="auto"/>
            </w:tcBorders>
            <w:noWrap/>
            <w:vAlign w:val="center"/>
            <w:hideMark/>
          </w:tcPr>
          <w:p w14:paraId="4723511B"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30EB5F89"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0</w:t>
            </w:r>
          </w:p>
        </w:tc>
      </w:tr>
      <w:tr w:rsidR="00222C40" w:rsidRPr="00210DFF" w14:paraId="53475DDF"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79C62467" w14:textId="61630776" w:rsidR="00222C40" w:rsidRPr="00850631" w:rsidRDefault="00850631" w:rsidP="00D82CA5">
            <w:pPr>
              <w:keepNext/>
              <w:keepLines/>
              <w:widowControl w:val="0"/>
              <w:rPr>
                <w:color w:val="000000"/>
                <w:sz w:val="20"/>
                <w:szCs w:val="20"/>
                <w:lang w:val="en-CA" w:eastAsia="en-CA"/>
              </w:rPr>
            </w:pPr>
            <w:r w:rsidRPr="00850631">
              <w:rPr>
                <w:color w:val="000000"/>
                <w:sz w:val="20"/>
                <w:szCs w:val="20"/>
                <w:lang w:val="fr-FR" w:eastAsia="en-CA"/>
              </w:rPr>
              <w:t>France</w:t>
            </w:r>
          </w:p>
        </w:tc>
        <w:tc>
          <w:tcPr>
            <w:tcW w:w="1875" w:type="dxa"/>
            <w:tcBorders>
              <w:top w:val="nil"/>
              <w:left w:val="nil"/>
              <w:bottom w:val="single" w:sz="4" w:space="0" w:color="auto"/>
              <w:right w:val="single" w:sz="4" w:space="0" w:color="auto"/>
            </w:tcBorders>
            <w:noWrap/>
            <w:vAlign w:val="bottom"/>
            <w:hideMark/>
          </w:tcPr>
          <w:p w14:paraId="416F6BB8"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6</w:t>
            </w:r>
          </w:p>
        </w:tc>
        <w:tc>
          <w:tcPr>
            <w:tcW w:w="2128" w:type="dxa"/>
            <w:tcBorders>
              <w:top w:val="nil"/>
              <w:left w:val="nil"/>
              <w:bottom w:val="single" w:sz="4" w:space="0" w:color="auto"/>
              <w:right w:val="single" w:sz="4" w:space="0" w:color="auto"/>
            </w:tcBorders>
            <w:noWrap/>
            <w:vAlign w:val="center"/>
            <w:hideMark/>
          </w:tcPr>
          <w:p w14:paraId="6A8445B0" w14:textId="42A0096A" w:rsidR="00222C40" w:rsidRPr="001834DF" w:rsidRDefault="00832407" w:rsidP="00605D6D">
            <w:pPr>
              <w:keepNext/>
              <w:keepLines/>
              <w:widowControl w:val="0"/>
              <w:jc w:val="center"/>
              <w:rPr>
                <w:sz w:val="20"/>
                <w:szCs w:val="20"/>
                <w:lang w:val="en-CA" w:eastAsia="en-CA"/>
              </w:rPr>
            </w:pPr>
            <w:r w:rsidRPr="001834DF">
              <w:rPr>
                <w:sz w:val="20"/>
                <w:szCs w:val="20"/>
                <w:lang w:val="en-CA" w:eastAsia="en-CA"/>
              </w:rPr>
              <w:t>6</w:t>
            </w:r>
          </w:p>
        </w:tc>
        <w:tc>
          <w:tcPr>
            <w:tcW w:w="1986" w:type="dxa"/>
            <w:tcBorders>
              <w:top w:val="nil"/>
              <w:left w:val="nil"/>
              <w:bottom w:val="single" w:sz="4" w:space="0" w:color="auto"/>
              <w:right w:val="single" w:sz="4" w:space="0" w:color="auto"/>
            </w:tcBorders>
            <w:noWrap/>
            <w:vAlign w:val="center"/>
            <w:hideMark/>
          </w:tcPr>
          <w:p w14:paraId="6F725497" w14:textId="4C166E53" w:rsidR="00222C40" w:rsidRPr="001834DF" w:rsidRDefault="00832407" w:rsidP="00605D6D">
            <w:pPr>
              <w:keepNext/>
              <w:keepLines/>
              <w:widowControl w:val="0"/>
              <w:jc w:val="center"/>
              <w:rPr>
                <w:sz w:val="20"/>
                <w:szCs w:val="20"/>
                <w:lang w:val="en-CA" w:eastAsia="en-CA"/>
              </w:rPr>
            </w:pPr>
            <w:r w:rsidRPr="00183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0241507"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0</w:t>
            </w:r>
          </w:p>
        </w:tc>
      </w:tr>
      <w:tr w:rsidR="00222C40" w:rsidRPr="00210DFF" w14:paraId="021D5B74"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73E913EB" w14:textId="4B3AE2D4" w:rsidR="00222C40" w:rsidRPr="00850631" w:rsidRDefault="00850631" w:rsidP="00D82CA5">
            <w:pPr>
              <w:keepNext/>
              <w:keepLines/>
              <w:widowControl w:val="0"/>
              <w:rPr>
                <w:color w:val="000000"/>
                <w:sz w:val="20"/>
                <w:szCs w:val="20"/>
                <w:lang w:val="en-CA" w:eastAsia="en-CA"/>
              </w:rPr>
            </w:pPr>
            <w:r w:rsidRPr="00850631">
              <w:rPr>
                <w:color w:val="000000"/>
                <w:sz w:val="20"/>
                <w:szCs w:val="20"/>
                <w:lang w:val="fr-FR" w:eastAsia="en-CA"/>
              </w:rPr>
              <w:t>Allemagne</w:t>
            </w:r>
          </w:p>
        </w:tc>
        <w:tc>
          <w:tcPr>
            <w:tcW w:w="1875" w:type="dxa"/>
            <w:tcBorders>
              <w:top w:val="nil"/>
              <w:left w:val="nil"/>
              <w:bottom w:val="single" w:sz="4" w:space="0" w:color="auto"/>
              <w:right w:val="single" w:sz="4" w:space="0" w:color="auto"/>
            </w:tcBorders>
            <w:noWrap/>
            <w:vAlign w:val="bottom"/>
            <w:hideMark/>
          </w:tcPr>
          <w:p w14:paraId="4FAE0B64"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10</w:t>
            </w:r>
          </w:p>
        </w:tc>
        <w:tc>
          <w:tcPr>
            <w:tcW w:w="2128" w:type="dxa"/>
            <w:tcBorders>
              <w:top w:val="nil"/>
              <w:left w:val="nil"/>
              <w:bottom w:val="single" w:sz="4" w:space="0" w:color="auto"/>
              <w:right w:val="single" w:sz="4" w:space="0" w:color="auto"/>
            </w:tcBorders>
            <w:noWrap/>
            <w:vAlign w:val="bottom"/>
            <w:hideMark/>
          </w:tcPr>
          <w:p w14:paraId="62F7E041"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9</w:t>
            </w:r>
          </w:p>
        </w:tc>
        <w:tc>
          <w:tcPr>
            <w:tcW w:w="1986" w:type="dxa"/>
            <w:tcBorders>
              <w:top w:val="nil"/>
              <w:left w:val="nil"/>
              <w:bottom w:val="single" w:sz="4" w:space="0" w:color="auto"/>
              <w:right w:val="single" w:sz="4" w:space="0" w:color="auto"/>
            </w:tcBorders>
            <w:noWrap/>
            <w:vAlign w:val="center"/>
            <w:hideMark/>
          </w:tcPr>
          <w:p w14:paraId="5A631127"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2595E275" w14:textId="77777777" w:rsidR="00222C40" w:rsidRPr="001834DF" w:rsidRDefault="00222C40" w:rsidP="00605D6D">
            <w:pPr>
              <w:keepNext/>
              <w:keepLines/>
              <w:widowControl w:val="0"/>
              <w:jc w:val="center"/>
              <w:rPr>
                <w:sz w:val="20"/>
                <w:szCs w:val="20"/>
                <w:lang w:val="en-CA" w:eastAsia="en-CA"/>
              </w:rPr>
            </w:pPr>
            <w:r w:rsidRPr="001834DF">
              <w:rPr>
                <w:sz w:val="20"/>
                <w:szCs w:val="20"/>
                <w:lang w:val="en-CA" w:eastAsia="en-CA"/>
              </w:rPr>
              <w:t>1</w:t>
            </w:r>
          </w:p>
        </w:tc>
      </w:tr>
      <w:tr w:rsidR="00222C40" w:rsidRPr="00210DFF" w14:paraId="73625747"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3B4A266A" w14:textId="423457FF" w:rsidR="00222C40" w:rsidRPr="00850631" w:rsidRDefault="00850631" w:rsidP="00D82CA5">
            <w:pPr>
              <w:widowControl w:val="0"/>
              <w:rPr>
                <w:color w:val="000000"/>
                <w:sz w:val="20"/>
                <w:szCs w:val="20"/>
                <w:lang w:val="en-CA" w:eastAsia="en-CA"/>
              </w:rPr>
            </w:pPr>
            <w:r w:rsidRPr="00850631">
              <w:rPr>
                <w:color w:val="000000"/>
                <w:sz w:val="20"/>
                <w:szCs w:val="20"/>
                <w:lang w:val="fr-FR" w:eastAsia="en-CA"/>
              </w:rPr>
              <w:t>Japon</w:t>
            </w:r>
          </w:p>
        </w:tc>
        <w:tc>
          <w:tcPr>
            <w:tcW w:w="1875" w:type="dxa"/>
            <w:tcBorders>
              <w:top w:val="nil"/>
              <w:left w:val="nil"/>
              <w:bottom w:val="single" w:sz="4" w:space="0" w:color="auto"/>
              <w:right w:val="single" w:sz="4" w:space="0" w:color="auto"/>
            </w:tcBorders>
            <w:noWrap/>
            <w:vAlign w:val="bottom"/>
            <w:hideMark/>
          </w:tcPr>
          <w:p w14:paraId="26B08FF8" w14:textId="77777777" w:rsidR="00222C40" w:rsidRPr="001834DF" w:rsidRDefault="00222C40" w:rsidP="00605D6D">
            <w:pPr>
              <w:widowControl w:val="0"/>
              <w:jc w:val="center"/>
              <w:rPr>
                <w:sz w:val="20"/>
                <w:szCs w:val="20"/>
                <w:lang w:val="en-CA" w:eastAsia="en-CA"/>
              </w:rPr>
            </w:pPr>
            <w:r w:rsidRPr="001834DF">
              <w:rPr>
                <w:sz w:val="20"/>
                <w:szCs w:val="20"/>
                <w:lang w:val="en-CA" w:eastAsia="en-CA"/>
              </w:rPr>
              <w:t>1</w:t>
            </w:r>
          </w:p>
        </w:tc>
        <w:tc>
          <w:tcPr>
            <w:tcW w:w="2128" w:type="dxa"/>
            <w:tcBorders>
              <w:top w:val="nil"/>
              <w:left w:val="nil"/>
              <w:bottom w:val="single" w:sz="4" w:space="0" w:color="auto"/>
              <w:right w:val="single" w:sz="4" w:space="0" w:color="auto"/>
            </w:tcBorders>
            <w:noWrap/>
            <w:vAlign w:val="bottom"/>
            <w:hideMark/>
          </w:tcPr>
          <w:p w14:paraId="5E8FF74E" w14:textId="77777777" w:rsidR="00222C40" w:rsidRPr="001834DF" w:rsidRDefault="00222C40" w:rsidP="00605D6D">
            <w:pPr>
              <w:widowControl w:val="0"/>
              <w:jc w:val="center"/>
              <w:rPr>
                <w:sz w:val="20"/>
                <w:szCs w:val="20"/>
                <w:lang w:val="en-CA" w:eastAsia="en-CA"/>
              </w:rPr>
            </w:pPr>
            <w:r w:rsidRPr="001834DF">
              <w:rPr>
                <w:sz w:val="20"/>
                <w:szCs w:val="20"/>
                <w:lang w:val="en-CA" w:eastAsia="en-CA"/>
              </w:rPr>
              <w:t>1</w:t>
            </w:r>
          </w:p>
        </w:tc>
        <w:tc>
          <w:tcPr>
            <w:tcW w:w="1986" w:type="dxa"/>
            <w:tcBorders>
              <w:top w:val="nil"/>
              <w:left w:val="nil"/>
              <w:bottom w:val="single" w:sz="4" w:space="0" w:color="auto"/>
              <w:right w:val="single" w:sz="4" w:space="0" w:color="auto"/>
            </w:tcBorders>
            <w:noWrap/>
            <w:vAlign w:val="center"/>
            <w:hideMark/>
          </w:tcPr>
          <w:p w14:paraId="540F5FD9" w14:textId="77777777" w:rsidR="00222C40" w:rsidRPr="001834DF" w:rsidRDefault="00222C40" w:rsidP="00605D6D">
            <w:pPr>
              <w:widowControl w:val="0"/>
              <w:jc w:val="center"/>
              <w:rPr>
                <w:sz w:val="20"/>
                <w:szCs w:val="20"/>
                <w:lang w:val="en-CA" w:eastAsia="en-CA"/>
              </w:rPr>
            </w:pPr>
            <w:r w:rsidRPr="00183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6CDCF2FA" w14:textId="77777777" w:rsidR="00222C40" w:rsidRPr="001834DF" w:rsidRDefault="00222C40" w:rsidP="00605D6D">
            <w:pPr>
              <w:widowControl w:val="0"/>
              <w:jc w:val="center"/>
              <w:rPr>
                <w:sz w:val="20"/>
                <w:szCs w:val="20"/>
                <w:lang w:val="en-CA" w:eastAsia="en-CA"/>
              </w:rPr>
            </w:pPr>
            <w:r w:rsidRPr="001834DF">
              <w:rPr>
                <w:sz w:val="20"/>
                <w:szCs w:val="20"/>
                <w:lang w:val="en-CA" w:eastAsia="en-CA"/>
              </w:rPr>
              <w:t>0</w:t>
            </w:r>
          </w:p>
        </w:tc>
      </w:tr>
      <w:tr w:rsidR="00222C40" w:rsidRPr="00210DFF" w14:paraId="5DE1C7E6"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1EBB45BE" w14:textId="1B1CC4F3" w:rsidR="00222C40" w:rsidRPr="00850631" w:rsidRDefault="00850631" w:rsidP="00D82CA5">
            <w:pPr>
              <w:widowControl w:val="0"/>
              <w:rPr>
                <w:color w:val="000000"/>
                <w:sz w:val="20"/>
                <w:szCs w:val="20"/>
                <w:lang w:val="en-CA" w:eastAsia="en-CA"/>
              </w:rPr>
            </w:pPr>
            <w:r w:rsidRPr="00850631">
              <w:rPr>
                <w:color w:val="000000"/>
                <w:sz w:val="20"/>
                <w:szCs w:val="20"/>
                <w:lang w:val="fr-FR" w:eastAsia="en-CA"/>
              </w:rPr>
              <w:t>PNUD</w:t>
            </w:r>
          </w:p>
        </w:tc>
        <w:tc>
          <w:tcPr>
            <w:tcW w:w="1875" w:type="dxa"/>
            <w:tcBorders>
              <w:top w:val="nil"/>
              <w:left w:val="nil"/>
              <w:bottom w:val="single" w:sz="4" w:space="0" w:color="auto"/>
              <w:right w:val="single" w:sz="4" w:space="0" w:color="auto"/>
            </w:tcBorders>
            <w:noWrap/>
            <w:vAlign w:val="bottom"/>
            <w:hideMark/>
          </w:tcPr>
          <w:p w14:paraId="116F42BF" w14:textId="77777777" w:rsidR="00222C40" w:rsidRPr="001834DF" w:rsidRDefault="00A5518B" w:rsidP="00605D6D">
            <w:pPr>
              <w:widowControl w:val="0"/>
              <w:jc w:val="center"/>
              <w:rPr>
                <w:sz w:val="20"/>
                <w:szCs w:val="20"/>
                <w:lang w:val="en-CA" w:eastAsia="en-CA"/>
              </w:rPr>
            </w:pPr>
            <w:r w:rsidRPr="001834DF">
              <w:rPr>
                <w:sz w:val="20"/>
                <w:szCs w:val="20"/>
                <w:lang w:val="en-CA" w:eastAsia="en-CA"/>
              </w:rPr>
              <w:t>44</w:t>
            </w:r>
          </w:p>
        </w:tc>
        <w:tc>
          <w:tcPr>
            <w:tcW w:w="2128" w:type="dxa"/>
            <w:tcBorders>
              <w:top w:val="nil"/>
              <w:left w:val="nil"/>
              <w:bottom w:val="single" w:sz="4" w:space="0" w:color="auto"/>
              <w:right w:val="single" w:sz="4" w:space="0" w:color="auto"/>
            </w:tcBorders>
            <w:noWrap/>
            <w:vAlign w:val="bottom"/>
            <w:hideMark/>
          </w:tcPr>
          <w:p w14:paraId="7460601E" w14:textId="63FB54BF" w:rsidR="00222C40" w:rsidRPr="001834DF" w:rsidRDefault="00222C40" w:rsidP="00605D6D">
            <w:pPr>
              <w:widowControl w:val="0"/>
              <w:jc w:val="center"/>
              <w:rPr>
                <w:sz w:val="20"/>
                <w:szCs w:val="20"/>
                <w:lang w:val="en-CA" w:eastAsia="en-CA"/>
              </w:rPr>
            </w:pPr>
            <w:r w:rsidRPr="001834DF">
              <w:rPr>
                <w:sz w:val="20"/>
                <w:szCs w:val="20"/>
                <w:lang w:val="en-CA" w:eastAsia="en-CA"/>
              </w:rPr>
              <w:t>4</w:t>
            </w:r>
            <w:r w:rsidR="00832407" w:rsidRPr="001834DF">
              <w:rPr>
                <w:sz w:val="20"/>
                <w:szCs w:val="20"/>
                <w:lang w:val="en-CA" w:eastAsia="en-CA"/>
              </w:rPr>
              <w:t>4</w:t>
            </w:r>
          </w:p>
        </w:tc>
        <w:tc>
          <w:tcPr>
            <w:tcW w:w="1986" w:type="dxa"/>
            <w:tcBorders>
              <w:top w:val="nil"/>
              <w:left w:val="nil"/>
              <w:bottom w:val="single" w:sz="4" w:space="0" w:color="auto"/>
              <w:right w:val="single" w:sz="4" w:space="0" w:color="auto"/>
            </w:tcBorders>
            <w:noWrap/>
            <w:vAlign w:val="center"/>
            <w:hideMark/>
          </w:tcPr>
          <w:p w14:paraId="30544AB9" w14:textId="2715BAC5" w:rsidR="00222C40" w:rsidRPr="001834DF" w:rsidRDefault="007B6F73" w:rsidP="00605D6D">
            <w:pPr>
              <w:widowControl w:val="0"/>
              <w:jc w:val="center"/>
              <w:rPr>
                <w:sz w:val="20"/>
                <w:szCs w:val="20"/>
                <w:lang w:val="en-CA" w:eastAsia="en-CA"/>
              </w:rPr>
            </w:pPr>
            <w:r>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2CC35D5F" w14:textId="77777777" w:rsidR="00222C40" w:rsidRPr="001834DF" w:rsidRDefault="006948D0" w:rsidP="00605D6D">
            <w:pPr>
              <w:widowControl w:val="0"/>
              <w:jc w:val="center"/>
              <w:rPr>
                <w:sz w:val="20"/>
                <w:szCs w:val="20"/>
                <w:lang w:val="en-CA" w:eastAsia="en-CA"/>
              </w:rPr>
            </w:pPr>
            <w:r w:rsidRPr="001834DF">
              <w:rPr>
                <w:sz w:val="20"/>
                <w:szCs w:val="20"/>
                <w:lang w:val="en-CA" w:eastAsia="en-CA"/>
              </w:rPr>
              <w:t>0</w:t>
            </w:r>
          </w:p>
        </w:tc>
      </w:tr>
      <w:tr w:rsidR="00222C40" w:rsidRPr="00210DFF" w14:paraId="21BE07B1"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39BE99D9" w14:textId="0A8D5449" w:rsidR="00222C40" w:rsidRPr="00850631" w:rsidRDefault="00850631" w:rsidP="00D82CA5">
            <w:pPr>
              <w:widowControl w:val="0"/>
              <w:rPr>
                <w:color w:val="000000"/>
                <w:sz w:val="20"/>
                <w:szCs w:val="20"/>
                <w:lang w:val="en-CA" w:eastAsia="en-CA"/>
              </w:rPr>
            </w:pPr>
            <w:r w:rsidRPr="00850631">
              <w:rPr>
                <w:color w:val="000000"/>
                <w:sz w:val="20"/>
                <w:szCs w:val="20"/>
                <w:lang w:val="fr-FR" w:eastAsia="en-CA"/>
              </w:rPr>
              <w:t>PNUE</w:t>
            </w:r>
          </w:p>
        </w:tc>
        <w:tc>
          <w:tcPr>
            <w:tcW w:w="1875" w:type="dxa"/>
            <w:tcBorders>
              <w:top w:val="nil"/>
              <w:left w:val="nil"/>
              <w:bottom w:val="single" w:sz="4" w:space="0" w:color="auto"/>
              <w:right w:val="single" w:sz="4" w:space="0" w:color="auto"/>
            </w:tcBorders>
            <w:noWrap/>
            <w:vAlign w:val="bottom"/>
            <w:hideMark/>
          </w:tcPr>
          <w:p w14:paraId="6020E4C2" w14:textId="04628E1F" w:rsidR="00222C40" w:rsidRPr="001834DF" w:rsidRDefault="00A5518B" w:rsidP="00605D6D">
            <w:pPr>
              <w:widowControl w:val="0"/>
              <w:jc w:val="center"/>
              <w:rPr>
                <w:sz w:val="20"/>
                <w:szCs w:val="20"/>
                <w:lang w:val="en-CA" w:eastAsia="en-CA"/>
              </w:rPr>
            </w:pPr>
            <w:r w:rsidRPr="001834DF">
              <w:rPr>
                <w:sz w:val="20"/>
                <w:szCs w:val="20"/>
                <w:lang w:val="en-CA" w:eastAsia="en-CA"/>
              </w:rPr>
              <w:t>6</w:t>
            </w:r>
            <w:r w:rsidR="000424C6" w:rsidRPr="001834DF">
              <w:rPr>
                <w:sz w:val="20"/>
                <w:szCs w:val="20"/>
                <w:lang w:val="en-CA" w:eastAsia="en-CA"/>
              </w:rPr>
              <w:t>2</w:t>
            </w:r>
          </w:p>
        </w:tc>
        <w:tc>
          <w:tcPr>
            <w:tcW w:w="2128" w:type="dxa"/>
            <w:tcBorders>
              <w:top w:val="nil"/>
              <w:left w:val="nil"/>
              <w:bottom w:val="single" w:sz="4" w:space="0" w:color="auto"/>
              <w:right w:val="single" w:sz="4" w:space="0" w:color="auto"/>
            </w:tcBorders>
            <w:noWrap/>
            <w:vAlign w:val="bottom"/>
            <w:hideMark/>
          </w:tcPr>
          <w:p w14:paraId="68F4D8E4" w14:textId="4F07A39A" w:rsidR="00222C40" w:rsidRPr="001834DF" w:rsidRDefault="00832407" w:rsidP="00605D6D">
            <w:pPr>
              <w:widowControl w:val="0"/>
              <w:jc w:val="center"/>
              <w:rPr>
                <w:sz w:val="20"/>
                <w:szCs w:val="20"/>
                <w:lang w:val="en-CA" w:eastAsia="en-CA"/>
              </w:rPr>
            </w:pPr>
            <w:r w:rsidRPr="001834DF">
              <w:rPr>
                <w:sz w:val="20"/>
                <w:szCs w:val="20"/>
                <w:lang w:val="en-CA" w:eastAsia="en-CA"/>
              </w:rPr>
              <w:t>59</w:t>
            </w:r>
          </w:p>
        </w:tc>
        <w:tc>
          <w:tcPr>
            <w:tcW w:w="1986" w:type="dxa"/>
            <w:tcBorders>
              <w:top w:val="nil"/>
              <w:left w:val="nil"/>
              <w:bottom w:val="single" w:sz="4" w:space="0" w:color="auto"/>
              <w:right w:val="single" w:sz="4" w:space="0" w:color="auto"/>
            </w:tcBorders>
            <w:noWrap/>
            <w:vAlign w:val="center"/>
            <w:hideMark/>
          </w:tcPr>
          <w:p w14:paraId="14318AAF" w14:textId="35FACE30" w:rsidR="00222C40" w:rsidRPr="001834DF" w:rsidRDefault="00832407" w:rsidP="00605D6D">
            <w:pPr>
              <w:widowControl w:val="0"/>
              <w:jc w:val="center"/>
              <w:rPr>
                <w:sz w:val="20"/>
                <w:szCs w:val="20"/>
                <w:lang w:val="en-CA" w:eastAsia="en-CA"/>
              </w:rPr>
            </w:pPr>
            <w:r w:rsidRPr="001834DF">
              <w:rPr>
                <w:sz w:val="20"/>
                <w:szCs w:val="20"/>
                <w:lang w:val="en-CA" w:eastAsia="en-CA"/>
              </w:rPr>
              <w:t>3</w:t>
            </w:r>
          </w:p>
        </w:tc>
        <w:tc>
          <w:tcPr>
            <w:tcW w:w="1987" w:type="dxa"/>
            <w:tcBorders>
              <w:top w:val="nil"/>
              <w:left w:val="nil"/>
              <w:bottom w:val="single" w:sz="4" w:space="0" w:color="auto"/>
              <w:right w:val="single" w:sz="4" w:space="0" w:color="auto"/>
            </w:tcBorders>
            <w:vAlign w:val="center"/>
            <w:hideMark/>
          </w:tcPr>
          <w:p w14:paraId="4BA2059C" w14:textId="6D358E34" w:rsidR="00222C40" w:rsidRPr="001834DF" w:rsidRDefault="001834DF" w:rsidP="00605D6D">
            <w:pPr>
              <w:widowControl w:val="0"/>
              <w:jc w:val="center"/>
              <w:rPr>
                <w:sz w:val="20"/>
                <w:szCs w:val="20"/>
                <w:lang w:val="en-CA" w:eastAsia="en-CA"/>
              </w:rPr>
            </w:pPr>
            <w:r w:rsidRPr="001834DF">
              <w:rPr>
                <w:sz w:val="20"/>
                <w:szCs w:val="20"/>
                <w:lang w:val="en-CA" w:eastAsia="en-CA"/>
              </w:rPr>
              <w:t>0</w:t>
            </w:r>
          </w:p>
        </w:tc>
      </w:tr>
      <w:tr w:rsidR="00222C40" w:rsidRPr="00210DFF" w14:paraId="3AA95029"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1239D8DC" w14:textId="42AB1FA7" w:rsidR="00222C40" w:rsidRPr="00850631" w:rsidRDefault="00850631" w:rsidP="00D82CA5">
            <w:pPr>
              <w:keepNext/>
              <w:widowControl w:val="0"/>
              <w:rPr>
                <w:color w:val="000000"/>
                <w:sz w:val="20"/>
                <w:szCs w:val="20"/>
                <w:lang w:val="en-CA" w:eastAsia="en-CA"/>
              </w:rPr>
            </w:pPr>
            <w:r w:rsidRPr="00850631">
              <w:rPr>
                <w:color w:val="000000"/>
                <w:sz w:val="20"/>
                <w:szCs w:val="20"/>
                <w:lang w:val="fr-FR" w:eastAsia="en-CA"/>
              </w:rPr>
              <w:t>ONUDI</w:t>
            </w:r>
          </w:p>
        </w:tc>
        <w:tc>
          <w:tcPr>
            <w:tcW w:w="1875" w:type="dxa"/>
            <w:tcBorders>
              <w:top w:val="nil"/>
              <w:left w:val="nil"/>
              <w:bottom w:val="single" w:sz="4" w:space="0" w:color="auto"/>
              <w:right w:val="single" w:sz="4" w:space="0" w:color="auto"/>
            </w:tcBorders>
            <w:noWrap/>
            <w:vAlign w:val="bottom"/>
            <w:hideMark/>
          </w:tcPr>
          <w:p w14:paraId="5041354E" w14:textId="77777777" w:rsidR="00222C40" w:rsidRPr="001834DF" w:rsidRDefault="00A5518B" w:rsidP="00605D6D">
            <w:pPr>
              <w:widowControl w:val="0"/>
              <w:jc w:val="center"/>
              <w:rPr>
                <w:sz w:val="20"/>
                <w:szCs w:val="20"/>
                <w:lang w:val="en-CA" w:eastAsia="en-CA"/>
              </w:rPr>
            </w:pPr>
            <w:r w:rsidRPr="001834DF">
              <w:rPr>
                <w:sz w:val="20"/>
                <w:szCs w:val="20"/>
                <w:lang w:val="en-CA" w:eastAsia="en-CA"/>
              </w:rPr>
              <w:t>56</w:t>
            </w:r>
          </w:p>
        </w:tc>
        <w:tc>
          <w:tcPr>
            <w:tcW w:w="2128" w:type="dxa"/>
            <w:tcBorders>
              <w:top w:val="nil"/>
              <w:left w:val="nil"/>
              <w:bottom w:val="single" w:sz="4" w:space="0" w:color="auto"/>
              <w:right w:val="single" w:sz="4" w:space="0" w:color="auto"/>
            </w:tcBorders>
            <w:noWrap/>
            <w:vAlign w:val="bottom"/>
            <w:hideMark/>
          </w:tcPr>
          <w:p w14:paraId="70A6D2D1" w14:textId="436D670D" w:rsidR="00222C40" w:rsidRPr="001834DF" w:rsidRDefault="00832407" w:rsidP="00605D6D">
            <w:pPr>
              <w:widowControl w:val="0"/>
              <w:jc w:val="center"/>
              <w:rPr>
                <w:sz w:val="20"/>
                <w:szCs w:val="20"/>
                <w:lang w:val="en-CA" w:eastAsia="en-CA"/>
              </w:rPr>
            </w:pPr>
            <w:r w:rsidRPr="001834DF">
              <w:rPr>
                <w:sz w:val="20"/>
                <w:szCs w:val="20"/>
                <w:lang w:val="en-CA" w:eastAsia="en-CA"/>
              </w:rPr>
              <w:t>54</w:t>
            </w:r>
          </w:p>
        </w:tc>
        <w:tc>
          <w:tcPr>
            <w:tcW w:w="1986" w:type="dxa"/>
            <w:tcBorders>
              <w:top w:val="nil"/>
              <w:left w:val="nil"/>
              <w:bottom w:val="single" w:sz="4" w:space="0" w:color="auto"/>
              <w:right w:val="single" w:sz="4" w:space="0" w:color="auto"/>
            </w:tcBorders>
            <w:noWrap/>
            <w:vAlign w:val="center"/>
            <w:hideMark/>
          </w:tcPr>
          <w:p w14:paraId="4AF281D4" w14:textId="093917B6" w:rsidR="00222C40" w:rsidRPr="001834DF" w:rsidRDefault="007B6F73" w:rsidP="00605D6D">
            <w:pPr>
              <w:widowControl w:val="0"/>
              <w:jc w:val="center"/>
              <w:rPr>
                <w:sz w:val="20"/>
                <w:szCs w:val="20"/>
                <w:lang w:val="en-CA" w:eastAsia="en-CA"/>
              </w:rPr>
            </w:pPr>
            <w:r>
              <w:rPr>
                <w:sz w:val="20"/>
                <w:szCs w:val="20"/>
                <w:lang w:val="en-CA" w:eastAsia="en-CA"/>
              </w:rPr>
              <w:t>2*</w:t>
            </w:r>
          </w:p>
        </w:tc>
        <w:tc>
          <w:tcPr>
            <w:tcW w:w="1987" w:type="dxa"/>
            <w:tcBorders>
              <w:top w:val="nil"/>
              <w:left w:val="nil"/>
              <w:bottom w:val="single" w:sz="4" w:space="0" w:color="auto"/>
              <w:right w:val="single" w:sz="4" w:space="0" w:color="auto"/>
            </w:tcBorders>
            <w:vAlign w:val="center"/>
            <w:hideMark/>
          </w:tcPr>
          <w:p w14:paraId="546B7D0D" w14:textId="635ED434" w:rsidR="00222C40" w:rsidRPr="001834DF" w:rsidRDefault="00832407" w:rsidP="00605D6D">
            <w:pPr>
              <w:widowControl w:val="0"/>
              <w:jc w:val="center"/>
              <w:rPr>
                <w:sz w:val="20"/>
                <w:szCs w:val="20"/>
                <w:lang w:val="en-CA" w:eastAsia="en-CA"/>
              </w:rPr>
            </w:pPr>
            <w:r w:rsidRPr="001834DF">
              <w:rPr>
                <w:sz w:val="20"/>
                <w:szCs w:val="20"/>
                <w:lang w:val="en-CA" w:eastAsia="en-CA"/>
              </w:rPr>
              <w:t>0</w:t>
            </w:r>
          </w:p>
        </w:tc>
      </w:tr>
      <w:tr w:rsidR="00222C40" w:rsidRPr="00210DFF" w14:paraId="26E73270"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0C751914" w14:textId="64729A24" w:rsidR="00222C40" w:rsidRPr="00850631" w:rsidRDefault="00850631" w:rsidP="00D82CA5">
            <w:pPr>
              <w:keepNext/>
              <w:widowControl w:val="0"/>
              <w:rPr>
                <w:color w:val="000000"/>
                <w:sz w:val="20"/>
                <w:szCs w:val="20"/>
                <w:lang w:val="en-CA" w:eastAsia="en-CA"/>
              </w:rPr>
            </w:pPr>
            <w:r w:rsidRPr="00850631">
              <w:rPr>
                <w:color w:val="000000"/>
                <w:sz w:val="20"/>
                <w:szCs w:val="20"/>
                <w:lang w:val="fr-FR" w:eastAsia="en-CA"/>
              </w:rPr>
              <w:t>Banque mondiale</w:t>
            </w:r>
          </w:p>
        </w:tc>
        <w:tc>
          <w:tcPr>
            <w:tcW w:w="1875" w:type="dxa"/>
            <w:tcBorders>
              <w:top w:val="nil"/>
              <w:left w:val="nil"/>
              <w:bottom w:val="single" w:sz="4" w:space="0" w:color="auto"/>
              <w:right w:val="single" w:sz="4" w:space="0" w:color="auto"/>
            </w:tcBorders>
            <w:noWrap/>
            <w:vAlign w:val="bottom"/>
            <w:hideMark/>
          </w:tcPr>
          <w:p w14:paraId="034FC220" w14:textId="61B8FA13" w:rsidR="00222C40" w:rsidRPr="001834DF" w:rsidRDefault="00A61FAF" w:rsidP="00605D6D">
            <w:pPr>
              <w:widowControl w:val="0"/>
              <w:jc w:val="center"/>
              <w:rPr>
                <w:sz w:val="20"/>
                <w:szCs w:val="20"/>
                <w:lang w:val="en-CA" w:eastAsia="en-CA"/>
              </w:rPr>
            </w:pPr>
            <w:r w:rsidRPr="001834DF">
              <w:rPr>
                <w:sz w:val="20"/>
                <w:szCs w:val="20"/>
                <w:lang w:val="en-CA" w:eastAsia="en-CA"/>
              </w:rPr>
              <w:t>2</w:t>
            </w:r>
            <w:r w:rsidR="000424C6" w:rsidRPr="001834DF">
              <w:rPr>
                <w:sz w:val="20"/>
                <w:szCs w:val="20"/>
                <w:lang w:val="en-CA" w:eastAsia="en-CA"/>
              </w:rPr>
              <w:t>6</w:t>
            </w:r>
          </w:p>
        </w:tc>
        <w:tc>
          <w:tcPr>
            <w:tcW w:w="2128" w:type="dxa"/>
            <w:tcBorders>
              <w:top w:val="nil"/>
              <w:left w:val="nil"/>
              <w:bottom w:val="single" w:sz="4" w:space="0" w:color="auto"/>
              <w:right w:val="single" w:sz="4" w:space="0" w:color="auto"/>
            </w:tcBorders>
            <w:noWrap/>
            <w:vAlign w:val="bottom"/>
            <w:hideMark/>
          </w:tcPr>
          <w:p w14:paraId="25D6FF66" w14:textId="3612E8A5" w:rsidR="00222C40" w:rsidRPr="001834DF" w:rsidRDefault="00832407" w:rsidP="00605D6D">
            <w:pPr>
              <w:widowControl w:val="0"/>
              <w:jc w:val="center"/>
              <w:rPr>
                <w:sz w:val="20"/>
                <w:szCs w:val="20"/>
                <w:lang w:val="en-CA" w:eastAsia="en-CA"/>
              </w:rPr>
            </w:pPr>
            <w:r w:rsidRPr="001834DF">
              <w:rPr>
                <w:sz w:val="20"/>
                <w:szCs w:val="20"/>
                <w:lang w:val="en-CA" w:eastAsia="en-CA"/>
              </w:rPr>
              <w:t>18</w:t>
            </w:r>
          </w:p>
        </w:tc>
        <w:tc>
          <w:tcPr>
            <w:tcW w:w="1986" w:type="dxa"/>
            <w:tcBorders>
              <w:top w:val="nil"/>
              <w:left w:val="nil"/>
              <w:bottom w:val="single" w:sz="4" w:space="0" w:color="auto"/>
              <w:right w:val="single" w:sz="4" w:space="0" w:color="auto"/>
            </w:tcBorders>
            <w:noWrap/>
            <w:vAlign w:val="center"/>
            <w:hideMark/>
          </w:tcPr>
          <w:p w14:paraId="4410A142" w14:textId="79D0212F" w:rsidR="00222C40" w:rsidRPr="001834DF" w:rsidRDefault="00832407" w:rsidP="00605D6D">
            <w:pPr>
              <w:widowControl w:val="0"/>
              <w:jc w:val="center"/>
              <w:rPr>
                <w:sz w:val="20"/>
                <w:szCs w:val="20"/>
                <w:lang w:val="en-CA" w:eastAsia="en-CA"/>
              </w:rPr>
            </w:pPr>
            <w:r w:rsidRPr="00183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4D072A1B" w14:textId="58B99654" w:rsidR="00222C40" w:rsidRPr="001834DF" w:rsidRDefault="00832407" w:rsidP="00605D6D">
            <w:pPr>
              <w:widowControl w:val="0"/>
              <w:jc w:val="center"/>
              <w:rPr>
                <w:sz w:val="20"/>
                <w:szCs w:val="20"/>
                <w:lang w:val="en-CA" w:eastAsia="en-CA"/>
              </w:rPr>
            </w:pPr>
            <w:r w:rsidRPr="001834DF">
              <w:rPr>
                <w:sz w:val="20"/>
                <w:szCs w:val="20"/>
                <w:lang w:val="en-CA" w:eastAsia="en-CA"/>
              </w:rPr>
              <w:t>8</w:t>
            </w:r>
          </w:p>
        </w:tc>
      </w:tr>
      <w:tr w:rsidR="00222C40" w:rsidRPr="00427A3F" w14:paraId="6586EC15" w14:textId="77777777" w:rsidTr="000717D0">
        <w:tc>
          <w:tcPr>
            <w:tcW w:w="1389" w:type="dxa"/>
            <w:tcBorders>
              <w:top w:val="nil"/>
              <w:left w:val="single" w:sz="4" w:space="0" w:color="auto"/>
              <w:bottom w:val="single" w:sz="4" w:space="0" w:color="auto"/>
              <w:right w:val="single" w:sz="4" w:space="0" w:color="auto"/>
            </w:tcBorders>
            <w:noWrap/>
            <w:vAlign w:val="center"/>
            <w:hideMark/>
          </w:tcPr>
          <w:p w14:paraId="0E86CA5B" w14:textId="085D9A44" w:rsidR="00222C40" w:rsidRPr="00850631" w:rsidRDefault="00850631" w:rsidP="00D82CA5">
            <w:pPr>
              <w:keepLines/>
              <w:widowControl w:val="0"/>
              <w:contextualSpacing/>
              <w:rPr>
                <w:b/>
                <w:bCs/>
                <w:color w:val="000000"/>
                <w:sz w:val="20"/>
                <w:szCs w:val="20"/>
                <w:lang w:val="en-CA" w:eastAsia="en-CA"/>
              </w:rPr>
            </w:pPr>
            <w:r w:rsidRPr="00850631">
              <w:rPr>
                <w:b/>
                <w:bCs/>
                <w:color w:val="000000"/>
                <w:sz w:val="20"/>
                <w:szCs w:val="20"/>
                <w:lang w:val="fr-FR" w:eastAsia="en-CA"/>
              </w:rPr>
              <w:t>Total</w:t>
            </w:r>
          </w:p>
        </w:tc>
        <w:tc>
          <w:tcPr>
            <w:tcW w:w="1875" w:type="dxa"/>
            <w:tcBorders>
              <w:top w:val="nil"/>
              <w:left w:val="nil"/>
              <w:bottom w:val="single" w:sz="4" w:space="0" w:color="auto"/>
              <w:right w:val="single" w:sz="4" w:space="0" w:color="auto"/>
            </w:tcBorders>
            <w:noWrap/>
            <w:vAlign w:val="center"/>
            <w:hideMark/>
          </w:tcPr>
          <w:p w14:paraId="640DCC77" w14:textId="1D50325F" w:rsidR="00222C40" w:rsidRPr="001834DF" w:rsidRDefault="00A5518B" w:rsidP="00605D6D">
            <w:pPr>
              <w:keepLines/>
              <w:widowControl w:val="0"/>
              <w:contextualSpacing/>
              <w:jc w:val="center"/>
              <w:rPr>
                <w:b/>
                <w:bCs/>
                <w:sz w:val="20"/>
                <w:szCs w:val="20"/>
                <w:lang w:val="en-CA" w:eastAsia="en-CA"/>
              </w:rPr>
            </w:pPr>
            <w:r w:rsidRPr="001834DF">
              <w:rPr>
                <w:b/>
                <w:bCs/>
                <w:sz w:val="20"/>
                <w:szCs w:val="20"/>
                <w:lang w:val="en-CA" w:eastAsia="en-CA"/>
              </w:rPr>
              <w:t>20</w:t>
            </w:r>
            <w:r w:rsidR="00832407" w:rsidRPr="001834DF">
              <w:rPr>
                <w:b/>
                <w:bCs/>
                <w:sz w:val="20"/>
                <w:szCs w:val="20"/>
                <w:lang w:val="en-CA" w:eastAsia="en-CA"/>
              </w:rPr>
              <w:t>8</w:t>
            </w:r>
          </w:p>
        </w:tc>
        <w:tc>
          <w:tcPr>
            <w:tcW w:w="2128" w:type="dxa"/>
            <w:tcBorders>
              <w:top w:val="nil"/>
              <w:left w:val="nil"/>
              <w:bottom w:val="single" w:sz="4" w:space="0" w:color="auto"/>
              <w:right w:val="single" w:sz="4" w:space="0" w:color="auto"/>
            </w:tcBorders>
            <w:noWrap/>
            <w:vAlign w:val="center"/>
            <w:hideMark/>
          </w:tcPr>
          <w:p w14:paraId="0069CF0B" w14:textId="1B95F746" w:rsidR="00222C40" w:rsidRPr="001834DF" w:rsidRDefault="004B630A" w:rsidP="00605D6D">
            <w:pPr>
              <w:keepLines/>
              <w:widowControl w:val="0"/>
              <w:contextualSpacing/>
              <w:jc w:val="center"/>
              <w:rPr>
                <w:b/>
                <w:bCs/>
                <w:sz w:val="20"/>
                <w:szCs w:val="20"/>
                <w:lang w:val="en-CA" w:eastAsia="en-CA"/>
              </w:rPr>
            </w:pPr>
            <w:r>
              <w:rPr>
                <w:b/>
                <w:bCs/>
                <w:sz w:val="20"/>
                <w:szCs w:val="20"/>
                <w:lang w:val="en-CA" w:eastAsia="en-CA"/>
              </w:rPr>
              <w:t>19</w:t>
            </w:r>
            <w:r w:rsidR="00222C40" w:rsidRPr="001834DF">
              <w:rPr>
                <w:b/>
                <w:bCs/>
                <w:sz w:val="20"/>
                <w:szCs w:val="20"/>
                <w:lang w:val="en-CA" w:eastAsia="en-CA"/>
              </w:rPr>
              <w:t>4</w:t>
            </w:r>
          </w:p>
        </w:tc>
        <w:tc>
          <w:tcPr>
            <w:tcW w:w="1986" w:type="dxa"/>
            <w:tcBorders>
              <w:top w:val="nil"/>
              <w:left w:val="nil"/>
              <w:bottom w:val="single" w:sz="4" w:space="0" w:color="auto"/>
              <w:right w:val="single" w:sz="4" w:space="0" w:color="auto"/>
            </w:tcBorders>
            <w:noWrap/>
            <w:vAlign w:val="center"/>
            <w:hideMark/>
          </w:tcPr>
          <w:p w14:paraId="76389C5B" w14:textId="676FD64E" w:rsidR="00222C40" w:rsidRPr="001834DF" w:rsidRDefault="007B6F73" w:rsidP="00605D6D">
            <w:pPr>
              <w:keepLines/>
              <w:widowControl w:val="0"/>
              <w:contextualSpacing/>
              <w:jc w:val="center"/>
              <w:rPr>
                <w:b/>
                <w:bCs/>
                <w:sz w:val="20"/>
                <w:szCs w:val="20"/>
                <w:lang w:val="en-CA" w:eastAsia="en-CA"/>
              </w:rPr>
            </w:pPr>
            <w:r>
              <w:rPr>
                <w:b/>
                <w:bCs/>
                <w:sz w:val="20"/>
                <w:szCs w:val="20"/>
                <w:lang w:val="en-CA" w:eastAsia="en-CA"/>
              </w:rPr>
              <w:t>5</w:t>
            </w:r>
          </w:p>
        </w:tc>
        <w:tc>
          <w:tcPr>
            <w:tcW w:w="1987" w:type="dxa"/>
            <w:tcBorders>
              <w:top w:val="nil"/>
              <w:left w:val="nil"/>
              <w:bottom w:val="single" w:sz="4" w:space="0" w:color="auto"/>
              <w:right w:val="single" w:sz="4" w:space="0" w:color="auto"/>
            </w:tcBorders>
            <w:vAlign w:val="center"/>
            <w:hideMark/>
          </w:tcPr>
          <w:p w14:paraId="74D33436" w14:textId="5DEEA677" w:rsidR="00222C40" w:rsidRPr="001834DF" w:rsidRDefault="001834DF" w:rsidP="00605D6D">
            <w:pPr>
              <w:keepLines/>
              <w:widowControl w:val="0"/>
              <w:contextualSpacing/>
              <w:jc w:val="center"/>
              <w:rPr>
                <w:b/>
                <w:bCs/>
                <w:sz w:val="20"/>
                <w:szCs w:val="20"/>
                <w:lang w:val="en-CA" w:eastAsia="en-CA"/>
              </w:rPr>
            </w:pPr>
            <w:r w:rsidRPr="001834DF">
              <w:rPr>
                <w:b/>
                <w:bCs/>
                <w:sz w:val="20"/>
                <w:szCs w:val="20"/>
                <w:lang w:val="en-CA" w:eastAsia="en-CA"/>
              </w:rPr>
              <w:t>9</w:t>
            </w:r>
          </w:p>
        </w:tc>
      </w:tr>
    </w:tbl>
    <w:p w14:paraId="042CE5C0" w14:textId="60A0DCB6" w:rsidR="00A61FAF" w:rsidRPr="00714F80" w:rsidRDefault="00850631" w:rsidP="00850631">
      <w:pPr>
        <w:pStyle w:val="Heading1"/>
        <w:numPr>
          <w:ilvl w:val="0"/>
          <w:numId w:val="0"/>
        </w:numPr>
        <w:rPr>
          <w:sz w:val="20"/>
          <w:lang w:val="fr-CA"/>
        </w:rPr>
      </w:pPr>
      <w:r w:rsidRPr="00850631">
        <w:rPr>
          <w:sz w:val="20"/>
          <w:lang w:val="fr-FR"/>
        </w:rPr>
        <w:t>* Deux RAP ont été reçus (phase I du PGEH pour le Cameroun de la part de l</w:t>
      </w:r>
      <w:r w:rsidR="00F5401A">
        <w:rPr>
          <w:sz w:val="20"/>
          <w:lang w:val="fr-FR"/>
        </w:rPr>
        <w:t>’</w:t>
      </w:r>
      <w:r w:rsidRPr="00850631">
        <w:rPr>
          <w:sz w:val="20"/>
          <w:lang w:val="fr-FR"/>
        </w:rPr>
        <w:t>ONUDI et phase I du PGEH pour le Ghana de la part du PNUD) qui ne faisaient pas partie des objectifs de 2021.</w:t>
      </w:r>
    </w:p>
    <w:p w14:paraId="72754E45" w14:textId="200B43D4" w:rsidR="00850631" w:rsidRPr="00714F80" w:rsidRDefault="00850631" w:rsidP="00850631">
      <w:pPr>
        <w:pStyle w:val="Heading1"/>
        <w:widowControl w:val="0"/>
        <w:numPr>
          <w:ilvl w:val="0"/>
          <w:numId w:val="21"/>
        </w:numPr>
        <w:spacing w:before="240"/>
        <w:rPr>
          <w:lang w:val="fr-CA"/>
        </w:rPr>
      </w:pPr>
      <w:r w:rsidRPr="00850631">
        <w:rPr>
          <w:lang w:val="fr-FR"/>
        </w:rPr>
        <w:t>Une analyse du montant global des décaissements, des SAO éliminées et des retards dans la finalisation des dix RAP pour des accords pluriannuels est résumée au tableau 2.</w:t>
      </w:r>
      <w:r w:rsidRPr="00714F80">
        <w:rPr>
          <w:lang w:val="fr-CA"/>
        </w:rPr>
        <w:t xml:space="preserve"> </w:t>
      </w:r>
    </w:p>
    <w:p w14:paraId="3AA85197" w14:textId="12C37E7C" w:rsidR="00222C40" w:rsidRPr="00714F80" w:rsidRDefault="00850631" w:rsidP="00605D6D">
      <w:pPr>
        <w:pStyle w:val="Heading1"/>
        <w:widowControl w:val="0"/>
        <w:numPr>
          <w:ilvl w:val="0"/>
          <w:numId w:val="0"/>
        </w:numPr>
        <w:tabs>
          <w:tab w:val="left" w:pos="720"/>
        </w:tabs>
        <w:spacing w:after="0"/>
        <w:rPr>
          <w:b/>
          <w:sz w:val="21"/>
          <w:szCs w:val="21"/>
          <w:lang w:val="fr-CA"/>
        </w:rPr>
      </w:pPr>
      <w:r w:rsidRPr="00850631">
        <w:rPr>
          <w:b/>
          <w:sz w:val="21"/>
          <w:szCs w:val="21"/>
          <w:lang w:val="fr-FR"/>
        </w:rPr>
        <w:t>Table</w:t>
      </w:r>
      <w:r w:rsidR="00F5401A">
        <w:rPr>
          <w:b/>
          <w:sz w:val="21"/>
          <w:szCs w:val="21"/>
          <w:lang w:val="fr-FR"/>
        </w:rPr>
        <w:t>au</w:t>
      </w:r>
      <w:r w:rsidRPr="00850631">
        <w:rPr>
          <w:b/>
          <w:sz w:val="21"/>
          <w:szCs w:val="21"/>
          <w:lang w:val="fr-FR"/>
        </w:rPr>
        <w:t xml:space="preserve"> 2. Vue d</w:t>
      </w:r>
      <w:r w:rsidR="00F5401A">
        <w:rPr>
          <w:b/>
          <w:sz w:val="21"/>
          <w:szCs w:val="21"/>
          <w:lang w:val="fr-FR"/>
        </w:rPr>
        <w:t>’</w:t>
      </w:r>
      <w:r w:rsidRPr="00850631">
        <w:rPr>
          <w:b/>
          <w:sz w:val="21"/>
          <w:szCs w:val="21"/>
          <w:lang w:val="fr-FR"/>
        </w:rPr>
        <w:t>ensemble du budget, des SAO éliminées et des retards dans les RAP soumis pour les accords pluriannuels après la 86</w:t>
      </w:r>
      <w:r w:rsidRPr="00850631">
        <w:rPr>
          <w:b/>
          <w:sz w:val="21"/>
          <w:szCs w:val="21"/>
          <w:vertAlign w:val="superscript"/>
          <w:lang w:val="fr-FR"/>
        </w:rPr>
        <w:t>e</w:t>
      </w:r>
      <w:r w:rsidRPr="00850631">
        <w:rPr>
          <w:b/>
          <w:sz w:val="21"/>
          <w:szCs w:val="21"/>
          <w:lang w:val="fr-FR"/>
        </w:rPr>
        <w:t xml:space="preserve"> réunion</w:t>
      </w:r>
    </w:p>
    <w:tbl>
      <w:tblPr>
        <w:tblW w:w="5000" w:type="pct"/>
        <w:tblLook w:val="04A0" w:firstRow="1" w:lastRow="0" w:firstColumn="1" w:lastColumn="0" w:noHBand="0" w:noVBand="1"/>
      </w:tblPr>
      <w:tblGrid>
        <w:gridCol w:w="1788"/>
        <w:gridCol w:w="1485"/>
        <w:gridCol w:w="1485"/>
        <w:gridCol w:w="1485"/>
        <w:gridCol w:w="1487"/>
        <w:gridCol w:w="1743"/>
      </w:tblGrid>
      <w:tr w:rsidR="00850631" w:rsidRPr="00210DFF" w14:paraId="486CDBC7" w14:textId="77777777" w:rsidTr="006D34D2">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12018" w14:textId="75588755" w:rsidR="004E7975" w:rsidRPr="00850631" w:rsidRDefault="00850631" w:rsidP="00D82CA5">
            <w:pPr>
              <w:jc w:val="left"/>
              <w:rPr>
                <w:b/>
                <w:bCs/>
                <w:color w:val="000000"/>
                <w:sz w:val="20"/>
                <w:szCs w:val="20"/>
                <w:lang w:val="en-US"/>
              </w:rPr>
            </w:pPr>
            <w:r w:rsidRPr="00850631">
              <w:rPr>
                <w:b/>
                <w:bCs/>
                <w:color w:val="000000"/>
                <w:sz w:val="20"/>
                <w:szCs w:val="20"/>
                <w:lang w:val="fr-FR"/>
              </w:rPr>
              <w:t>Agence</w:t>
            </w:r>
            <w:r w:rsidR="00F5401A">
              <w:rPr>
                <w:b/>
                <w:bCs/>
                <w:color w:val="000000"/>
                <w:sz w:val="20"/>
                <w:szCs w:val="20"/>
                <w:lang w:val="fr-FR"/>
              </w:rPr>
              <w:t> </w:t>
            </w:r>
            <w:r w:rsidRPr="00850631">
              <w:rPr>
                <w:b/>
                <w:bCs/>
                <w:color w:val="000000"/>
                <w:sz w:val="20"/>
                <w:szCs w:val="20"/>
                <w:lang w:val="fr-FR"/>
              </w:rPr>
              <w:t>principale</w:t>
            </w: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14:paraId="0B8936FA" w14:textId="2A590BDF" w:rsidR="004E7975" w:rsidRPr="00714F80" w:rsidRDefault="00850631" w:rsidP="00F5401A">
            <w:pPr>
              <w:jc w:val="center"/>
              <w:rPr>
                <w:b/>
                <w:bCs/>
                <w:color w:val="000000"/>
                <w:sz w:val="20"/>
                <w:szCs w:val="20"/>
                <w:lang w:val="fr-CA"/>
              </w:rPr>
            </w:pPr>
            <w:r w:rsidRPr="00850631">
              <w:rPr>
                <w:b/>
                <w:bCs/>
                <w:color w:val="000000"/>
                <w:sz w:val="20"/>
                <w:szCs w:val="20"/>
                <w:lang w:val="fr-FR"/>
              </w:rPr>
              <w:t>Fonds pour des accords pluriannuels ($US</w:t>
            </w:r>
            <w:r w:rsidR="00F5401A">
              <w:rPr>
                <w:b/>
                <w:bCs/>
                <w:color w:val="000000"/>
                <w:sz w:val="20"/>
                <w:szCs w:val="20"/>
                <w:lang w:val="fr-FR"/>
              </w:rPr>
              <w:t>)</w:t>
            </w: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14:paraId="2A0ECAC5" w14:textId="224BAC8E" w:rsidR="004E7975" w:rsidRPr="00714F80" w:rsidRDefault="00850631" w:rsidP="00D82CA5">
            <w:pPr>
              <w:jc w:val="center"/>
              <w:rPr>
                <w:b/>
                <w:bCs/>
                <w:color w:val="000000"/>
                <w:sz w:val="20"/>
                <w:szCs w:val="20"/>
                <w:lang w:val="fr-CA"/>
              </w:rPr>
            </w:pPr>
            <w:r w:rsidRPr="00850631">
              <w:rPr>
                <w:b/>
                <w:bCs/>
                <w:color w:val="000000"/>
                <w:sz w:val="20"/>
                <w:szCs w:val="20"/>
                <w:lang w:val="fr-FR"/>
              </w:rPr>
              <w:t>Élimination de la consommation en tonnes PAO</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91792EF" w14:textId="2581BF46" w:rsidR="004E7975" w:rsidRPr="00850631" w:rsidRDefault="00850631" w:rsidP="00D82CA5">
            <w:pPr>
              <w:jc w:val="center"/>
              <w:rPr>
                <w:b/>
                <w:bCs/>
                <w:color w:val="000000"/>
                <w:sz w:val="20"/>
                <w:szCs w:val="20"/>
                <w:lang w:val="en-US"/>
              </w:rPr>
            </w:pPr>
            <w:r w:rsidRPr="00850631">
              <w:rPr>
                <w:b/>
                <w:bCs/>
                <w:color w:val="000000"/>
                <w:sz w:val="20"/>
                <w:szCs w:val="20"/>
                <w:lang w:val="fr-FR"/>
              </w:rPr>
              <w:t>Retards moyens (en mois)</w:t>
            </w:r>
          </w:p>
        </w:tc>
      </w:tr>
      <w:tr w:rsidR="00850631" w:rsidRPr="00210DFF" w14:paraId="6240F1BC" w14:textId="77777777" w:rsidTr="006D34D2">
        <w:tc>
          <w:tcPr>
            <w:tcW w:w="943" w:type="pct"/>
            <w:vMerge/>
            <w:tcBorders>
              <w:top w:val="single" w:sz="4" w:space="0" w:color="auto"/>
              <w:left w:val="single" w:sz="4" w:space="0" w:color="auto"/>
              <w:bottom w:val="single" w:sz="4" w:space="0" w:color="auto"/>
              <w:right w:val="single" w:sz="4" w:space="0" w:color="auto"/>
            </w:tcBorders>
            <w:vAlign w:val="center"/>
            <w:hideMark/>
          </w:tcPr>
          <w:p w14:paraId="13382BED" w14:textId="77777777" w:rsidR="004E7975" w:rsidRPr="004E7975" w:rsidRDefault="004E7975" w:rsidP="001C0A2A">
            <w:pPr>
              <w:jc w:val="left"/>
              <w:rPr>
                <w:b/>
                <w:bCs/>
                <w:color w:val="000000"/>
                <w:sz w:val="20"/>
                <w:szCs w:val="20"/>
                <w:lang w:val="en-US"/>
              </w:rPr>
            </w:pPr>
          </w:p>
        </w:tc>
        <w:tc>
          <w:tcPr>
            <w:tcW w:w="784" w:type="pct"/>
            <w:tcBorders>
              <w:top w:val="nil"/>
              <w:left w:val="nil"/>
              <w:bottom w:val="single" w:sz="4" w:space="0" w:color="auto"/>
              <w:right w:val="single" w:sz="4" w:space="0" w:color="auto"/>
            </w:tcBorders>
            <w:shd w:val="clear" w:color="auto" w:fill="auto"/>
            <w:vAlign w:val="center"/>
            <w:hideMark/>
          </w:tcPr>
          <w:p w14:paraId="6CF9D346" w14:textId="24331F36" w:rsidR="004E7975" w:rsidRPr="00850631" w:rsidRDefault="00850631" w:rsidP="00D82CA5">
            <w:pPr>
              <w:jc w:val="center"/>
              <w:rPr>
                <w:b/>
                <w:bCs/>
                <w:color w:val="000000"/>
                <w:sz w:val="20"/>
                <w:szCs w:val="20"/>
                <w:lang w:val="en-US"/>
              </w:rPr>
            </w:pPr>
            <w:r w:rsidRPr="00850631">
              <w:rPr>
                <w:b/>
                <w:bCs/>
                <w:color w:val="000000"/>
                <w:sz w:val="20"/>
                <w:szCs w:val="20"/>
                <w:lang w:val="fr-FR"/>
              </w:rPr>
              <w:t>Approuvé</w:t>
            </w:r>
            <w:r>
              <w:rPr>
                <w:b/>
                <w:bCs/>
                <w:color w:val="000000"/>
                <w:sz w:val="20"/>
                <w:szCs w:val="20"/>
                <w:lang w:val="fr-FR"/>
              </w:rPr>
              <w:t>s</w:t>
            </w:r>
          </w:p>
        </w:tc>
        <w:tc>
          <w:tcPr>
            <w:tcW w:w="784" w:type="pct"/>
            <w:tcBorders>
              <w:top w:val="nil"/>
              <w:left w:val="nil"/>
              <w:bottom w:val="single" w:sz="4" w:space="0" w:color="auto"/>
              <w:right w:val="single" w:sz="4" w:space="0" w:color="auto"/>
            </w:tcBorders>
            <w:shd w:val="clear" w:color="auto" w:fill="auto"/>
            <w:vAlign w:val="center"/>
            <w:hideMark/>
          </w:tcPr>
          <w:p w14:paraId="472B1CC4" w14:textId="54646DC4" w:rsidR="004E7975" w:rsidRPr="00850631" w:rsidRDefault="00850631" w:rsidP="00D82CA5">
            <w:pPr>
              <w:jc w:val="center"/>
              <w:rPr>
                <w:b/>
                <w:bCs/>
                <w:color w:val="000000"/>
                <w:sz w:val="20"/>
                <w:szCs w:val="20"/>
                <w:lang w:val="en-US"/>
              </w:rPr>
            </w:pPr>
            <w:r w:rsidRPr="00850631">
              <w:rPr>
                <w:b/>
                <w:bCs/>
                <w:color w:val="000000"/>
                <w:sz w:val="20"/>
                <w:szCs w:val="20"/>
                <w:lang w:val="fr-FR"/>
              </w:rPr>
              <w:t>Décaissé</w:t>
            </w:r>
            <w:r>
              <w:rPr>
                <w:b/>
                <w:bCs/>
                <w:color w:val="000000"/>
                <w:sz w:val="20"/>
                <w:szCs w:val="20"/>
                <w:lang w:val="fr-FR"/>
              </w:rPr>
              <w:t>s</w:t>
            </w:r>
          </w:p>
        </w:tc>
        <w:tc>
          <w:tcPr>
            <w:tcW w:w="784" w:type="pct"/>
            <w:tcBorders>
              <w:top w:val="nil"/>
              <w:left w:val="nil"/>
              <w:bottom w:val="single" w:sz="4" w:space="0" w:color="auto"/>
              <w:right w:val="single" w:sz="4" w:space="0" w:color="auto"/>
            </w:tcBorders>
            <w:shd w:val="clear" w:color="auto" w:fill="auto"/>
            <w:vAlign w:val="center"/>
            <w:hideMark/>
          </w:tcPr>
          <w:p w14:paraId="5BFB5A40" w14:textId="7B2A5F44" w:rsidR="004E7975" w:rsidRPr="00850631" w:rsidRDefault="00850631" w:rsidP="00D82CA5">
            <w:pPr>
              <w:jc w:val="center"/>
              <w:rPr>
                <w:b/>
                <w:bCs/>
                <w:color w:val="000000"/>
                <w:sz w:val="20"/>
                <w:szCs w:val="20"/>
                <w:lang w:val="en-US"/>
              </w:rPr>
            </w:pPr>
            <w:r w:rsidRPr="00850631">
              <w:rPr>
                <w:b/>
                <w:bCs/>
                <w:color w:val="000000"/>
                <w:sz w:val="20"/>
                <w:szCs w:val="20"/>
                <w:lang w:val="fr-FR"/>
              </w:rPr>
              <w:t>Approuvé</w:t>
            </w:r>
            <w:r>
              <w:rPr>
                <w:b/>
                <w:bCs/>
                <w:color w:val="000000"/>
                <w:sz w:val="20"/>
                <w:szCs w:val="20"/>
                <w:lang w:val="fr-FR"/>
              </w:rPr>
              <w:t>e</w:t>
            </w:r>
          </w:p>
        </w:tc>
        <w:tc>
          <w:tcPr>
            <w:tcW w:w="785" w:type="pct"/>
            <w:tcBorders>
              <w:top w:val="nil"/>
              <w:left w:val="nil"/>
              <w:bottom w:val="single" w:sz="4" w:space="0" w:color="auto"/>
              <w:right w:val="single" w:sz="4" w:space="0" w:color="auto"/>
            </w:tcBorders>
            <w:shd w:val="clear" w:color="auto" w:fill="auto"/>
            <w:vAlign w:val="center"/>
            <w:hideMark/>
          </w:tcPr>
          <w:p w14:paraId="54C23B4A" w14:textId="3DC543D4" w:rsidR="004E7975" w:rsidRPr="00850631" w:rsidRDefault="00850631" w:rsidP="00D82CA5">
            <w:pPr>
              <w:jc w:val="center"/>
              <w:rPr>
                <w:b/>
                <w:bCs/>
                <w:color w:val="000000"/>
                <w:sz w:val="20"/>
                <w:szCs w:val="20"/>
                <w:lang w:val="en-US"/>
              </w:rPr>
            </w:pPr>
            <w:r w:rsidRPr="00850631">
              <w:rPr>
                <w:b/>
                <w:bCs/>
                <w:color w:val="000000"/>
                <w:sz w:val="20"/>
                <w:szCs w:val="20"/>
                <w:lang w:val="fr-FR"/>
              </w:rPr>
              <w:t>Réelle</w:t>
            </w: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52A0148B" w14:textId="77777777" w:rsidR="004E7975" w:rsidRPr="00210DFF" w:rsidRDefault="004E7975" w:rsidP="001C0A2A">
            <w:pPr>
              <w:jc w:val="left"/>
              <w:rPr>
                <w:b/>
                <w:bCs/>
                <w:color w:val="000000"/>
                <w:sz w:val="20"/>
                <w:szCs w:val="20"/>
                <w:highlight w:val="yellow"/>
                <w:lang w:val="en-US"/>
              </w:rPr>
            </w:pPr>
          </w:p>
        </w:tc>
      </w:tr>
      <w:tr w:rsidR="00850631" w:rsidRPr="00210DFF" w14:paraId="44B34837" w14:textId="77777777" w:rsidTr="006D34D2">
        <w:tc>
          <w:tcPr>
            <w:tcW w:w="943" w:type="pct"/>
            <w:tcBorders>
              <w:top w:val="nil"/>
              <w:left w:val="single" w:sz="4" w:space="0" w:color="auto"/>
              <w:bottom w:val="single" w:sz="4" w:space="0" w:color="auto"/>
              <w:right w:val="single" w:sz="4" w:space="0" w:color="auto"/>
            </w:tcBorders>
            <w:shd w:val="clear" w:color="auto" w:fill="auto"/>
            <w:noWrap/>
            <w:vAlign w:val="bottom"/>
            <w:hideMark/>
          </w:tcPr>
          <w:p w14:paraId="38E7F724" w14:textId="35B76C31" w:rsidR="004E7975" w:rsidRPr="00850631" w:rsidRDefault="00850631" w:rsidP="00D82CA5">
            <w:pPr>
              <w:jc w:val="left"/>
              <w:rPr>
                <w:color w:val="000000"/>
                <w:sz w:val="20"/>
                <w:szCs w:val="20"/>
                <w:lang w:val="en-US"/>
              </w:rPr>
            </w:pPr>
            <w:r w:rsidRPr="00850631">
              <w:rPr>
                <w:color w:val="000000"/>
                <w:sz w:val="20"/>
                <w:szCs w:val="20"/>
                <w:lang w:val="fr-FR"/>
              </w:rPr>
              <w:t>PNUD</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600E3F7" w14:textId="7BC912B0" w:rsidR="004E7975" w:rsidRPr="004E7975" w:rsidRDefault="004E7975" w:rsidP="004E7975">
            <w:pPr>
              <w:widowControl w:val="0"/>
              <w:jc w:val="right"/>
              <w:rPr>
                <w:sz w:val="20"/>
                <w:szCs w:val="20"/>
                <w:lang w:val="en-CA" w:eastAsia="en-CA"/>
              </w:rPr>
            </w:pPr>
            <w:r w:rsidRPr="004E7975">
              <w:rPr>
                <w:sz w:val="20"/>
                <w:szCs w:val="20"/>
                <w:lang w:val="en-CA" w:eastAsia="en-CA"/>
              </w:rPr>
              <w:t>1</w:t>
            </w:r>
            <w:r w:rsidR="00F5401A">
              <w:rPr>
                <w:sz w:val="20"/>
                <w:szCs w:val="20"/>
                <w:lang w:val="en-CA" w:eastAsia="en-CA"/>
              </w:rPr>
              <w:t> </w:t>
            </w:r>
            <w:r w:rsidRPr="004E7975">
              <w:rPr>
                <w:sz w:val="20"/>
                <w:szCs w:val="20"/>
                <w:lang w:val="en-CA" w:eastAsia="en-CA"/>
              </w:rPr>
              <w:t>356</w:t>
            </w:r>
            <w:r w:rsidR="00F5401A">
              <w:rPr>
                <w:sz w:val="20"/>
                <w:szCs w:val="20"/>
                <w:lang w:val="en-CA" w:eastAsia="en-CA"/>
              </w:rPr>
              <w:t> </w:t>
            </w:r>
            <w:r w:rsidRPr="004E7975">
              <w:rPr>
                <w:sz w:val="20"/>
                <w:szCs w:val="20"/>
                <w:lang w:val="en-CA" w:eastAsia="en-CA"/>
              </w:rPr>
              <w:t>311</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B3643EF" w14:textId="1FDFC6AB" w:rsidR="004E7975" w:rsidRPr="004E7975" w:rsidRDefault="004E7975" w:rsidP="004E7975">
            <w:pPr>
              <w:widowControl w:val="0"/>
              <w:jc w:val="right"/>
              <w:rPr>
                <w:sz w:val="20"/>
                <w:szCs w:val="20"/>
                <w:lang w:val="en-CA" w:eastAsia="en-CA"/>
              </w:rPr>
            </w:pPr>
            <w:r w:rsidRPr="004E7975">
              <w:rPr>
                <w:sz w:val="20"/>
                <w:szCs w:val="20"/>
                <w:lang w:val="en-CA" w:eastAsia="en-CA"/>
              </w:rPr>
              <w:t>1</w:t>
            </w:r>
            <w:r w:rsidR="00F5401A">
              <w:rPr>
                <w:sz w:val="20"/>
                <w:szCs w:val="20"/>
                <w:lang w:val="en-CA" w:eastAsia="en-CA"/>
              </w:rPr>
              <w:t> </w:t>
            </w:r>
            <w:r w:rsidRPr="004E7975">
              <w:rPr>
                <w:sz w:val="20"/>
                <w:szCs w:val="20"/>
                <w:lang w:val="en-CA" w:eastAsia="en-CA"/>
              </w:rPr>
              <w:t>030</w:t>
            </w:r>
            <w:r w:rsidR="00F5401A">
              <w:rPr>
                <w:sz w:val="20"/>
                <w:szCs w:val="20"/>
                <w:lang w:val="en-CA" w:eastAsia="en-CA"/>
              </w:rPr>
              <w:t> </w:t>
            </w:r>
            <w:r w:rsidRPr="004E7975">
              <w:rPr>
                <w:sz w:val="20"/>
                <w:szCs w:val="20"/>
                <w:lang w:val="en-CA" w:eastAsia="en-CA"/>
              </w:rPr>
              <w:t>756</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BD9136C" w14:textId="3A8F65D0" w:rsidR="004E7975" w:rsidRPr="004E7975" w:rsidRDefault="004E7975" w:rsidP="00F5401A">
            <w:pPr>
              <w:widowControl w:val="0"/>
              <w:jc w:val="right"/>
              <w:rPr>
                <w:sz w:val="20"/>
                <w:szCs w:val="20"/>
                <w:lang w:val="en-CA" w:eastAsia="en-CA"/>
              </w:rPr>
            </w:pPr>
            <w:r w:rsidRPr="004E7975">
              <w:rPr>
                <w:sz w:val="20"/>
                <w:szCs w:val="20"/>
                <w:lang w:val="en-CA" w:eastAsia="en-CA"/>
              </w:rPr>
              <w:t>26</w:t>
            </w:r>
            <w:r w:rsidR="00F5401A">
              <w:rPr>
                <w:sz w:val="20"/>
                <w:szCs w:val="20"/>
                <w:lang w:val="en-CA" w:eastAsia="en-CA"/>
              </w:rPr>
              <w:t>,</w:t>
            </w:r>
            <w:r w:rsidRPr="004E7975">
              <w:rPr>
                <w:sz w:val="20"/>
                <w:szCs w:val="20"/>
                <w:lang w:val="en-CA" w:eastAsia="en-CA"/>
              </w:rPr>
              <w:t>2</w:t>
            </w:r>
          </w:p>
        </w:tc>
        <w:tc>
          <w:tcPr>
            <w:tcW w:w="785"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1CAE9C7" w14:textId="03094876" w:rsidR="004E7975" w:rsidRPr="004E7975" w:rsidRDefault="004E7975" w:rsidP="00273F5E">
            <w:pPr>
              <w:widowControl w:val="0"/>
              <w:jc w:val="right"/>
              <w:rPr>
                <w:sz w:val="20"/>
                <w:szCs w:val="20"/>
                <w:lang w:val="en-CA" w:eastAsia="en-CA"/>
              </w:rPr>
            </w:pPr>
            <w:r w:rsidRPr="004E7975">
              <w:rPr>
                <w:sz w:val="20"/>
                <w:szCs w:val="20"/>
                <w:lang w:val="en-CA" w:eastAsia="en-CA"/>
              </w:rPr>
              <w:t>5</w:t>
            </w:r>
            <w:r w:rsidR="00273F5E">
              <w:rPr>
                <w:sz w:val="20"/>
                <w:szCs w:val="20"/>
                <w:lang w:val="en-CA" w:eastAsia="en-CA"/>
              </w:rPr>
              <w:t>,</w:t>
            </w:r>
            <w:r w:rsidRPr="004E7975">
              <w:rPr>
                <w:sz w:val="20"/>
                <w:szCs w:val="20"/>
                <w:lang w:val="en-CA" w:eastAsia="en-CA"/>
              </w:rPr>
              <w:t>8</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95172F0" w14:textId="3AEACE64" w:rsidR="004E7975" w:rsidRPr="004E7975" w:rsidRDefault="004E7975" w:rsidP="004E7975">
            <w:pPr>
              <w:widowControl w:val="0"/>
              <w:jc w:val="right"/>
              <w:rPr>
                <w:sz w:val="20"/>
                <w:szCs w:val="20"/>
                <w:lang w:val="en-CA" w:eastAsia="en-CA"/>
              </w:rPr>
            </w:pPr>
            <w:r w:rsidRPr="004E7975">
              <w:rPr>
                <w:sz w:val="20"/>
                <w:szCs w:val="20"/>
                <w:lang w:val="en-CA" w:eastAsia="en-CA"/>
              </w:rPr>
              <w:t>0</w:t>
            </w:r>
          </w:p>
        </w:tc>
      </w:tr>
      <w:tr w:rsidR="00850631" w:rsidRPr="00210DFF" w14:paraId="450118C4" w14:textId="77777777" w:rsidTr="006D34D2">
        <w:tc>
          <w:tcPr>
            <w:tcW w:w="943" w:type="pct"/>
            <w:tcBorders>
              <w:top w:val="nil"/>
              <w:left w:val="single" w:sz="4" w:space="0" w:color="auto"/>
              <w:bottom w:val="single" w:sz="4" w:space="0" w:color="auto"/>
              <w:right w:val="single" w:sz="4" w:space="0" w:color="auto"/>
            </w:tcBorders>
            <w:shd w:val="clear" w:color="auto" w:fill="auto"/>
            <w:noWrap/>
            <w:vAlign w:val="bottom"/>
            <w:hideMark/>
          </w:tcPr>
          <w:p w14:paraId="2CE63688" w14:textId="1D8C523A" w:rsidR="004E7975" w:rsidRPr="00850631" w:rsidRDefault="00850631" w:rsidP="00D82CA5">
            <w:pPr>
              <w:jc w:val="left"/>
              <w:rPr>
                <w:color w:val="000000"/>
                <w:sz w:val="20"/>
                <w:szCs w:val="20"/>
                <w:lang w:val="en-US"/>
              </w:rPr>
            </w:pPr>
            <w:r w:rsidRPr="00850631">
              <w:rPr>
                <w:color w:val="000000"/>
                <w:sz w:val="20"/>
                <w:szCs w:val="20"/>
                <w:lang w:val="fr-FR"/>
              </w:rPr>
              <w:t>PNUE</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6C6BD00" w14:textId="335E23E2" w:rsidR="004E7975" w:rsidRPr="004E7975" w:rsidRDefault="004E7975" w:rsidP="004E7975">
            <w:pPr>
              <w:widowControl w:val="0"/>
              <w:jc w:val="right"/>
              <w:rPr>
                <w:sz w:val="20"/>
                <w:szCs w:val="20"/>
                <w:lang w:val="en-CA" w:eastAsia="en-CA"/>
              </w:rPr>
            </w:pPr>
            <w:r w:rsidRPr="004E7975">
              <w:rPr>
                <w:sz w:val="20"/>
                <w:szCs w:val="20"/>
                <w:lang w:val="en-CA" w:eastAsia="en-CA"/>
              </w:rPr>
              <w:t>6</w:t>
            </w:r>
            <w:r w:rsidR="00F5401A">
              <w:rPr>
                <w:sz w:val="20"/>
                <w:szCs w:val="20"/>
                <w:lang w:val="en-CA" w:eastAsia="en-CA"/>
              </w:rPr>
              <w:t> </w:t>
            </w:r>
            <w:r w:rsidRPr="004E7975">
              <w:rPr>
                <w:sz w:val="20"/>
                <w:szCs w:val="20"/>
                <w:lang w:val="en-CA" w:eastAsia="en-CA"/>
              </w:rPr>
              <w:t>215</w:t>
            </w:r>
            <w:r w:rsidR="00F5401A">
              <w:rPr>
                <w:sz w:val="20"/>
                <w:szCs w:val="20"/>
                <w:lang w:val="en-CA" w:eastAsia="en-CA"/>
              </w:rPr>
              <w:t> </w:t>
            </w:r>
            <w:r w:rsidRPr="004E7975">
              <w:rPr>
                <w:sz w:val="20"/>
                <w:szCs w:val="20"/>
                <w:lang w:val="en-CA" w:eastAsia="en-CA"/>
              </w:rPr>
              <w:t>421</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14D6850" w14:textId="41D91AE1" w:rsidR="004E7975" w:rsidRPr="004E7975" w:rsidRDefault="004E7975" w:rsidP="004E7975">
            <w:pPr>
              <w:widowControl w:val="0"/>
              <w:jc w:val="right"/>
              <w:rPr>
                <w:sz w:val="20"/>
                <w:szCs w:val="20"/>
                <w:lang w:val="en-CA" w:eastAsia="en-CA"/>
              </w:rPr>
            </w:pPr>
            <w:r w:rsidRPr="004E7975">
              <w:rPr>
                <w:sz w:val="20"/>
                <w:szCs w:val="20"/>
                <w:lang w:val="en-CA" w:eastAsia="en-CA"/>
              </w:rPr>
              <w:t>5</w:t>
            </w:r>
            <w:r w:rsidR="00F5401A">
              <w:rPr>
                <w:sz w:val="20"/>
                <w:szCs w:val="20"/>
                <w:lang w:val="en-CA" w:eastAsia="en-CA"/>
              </w:rPr>
              <w:t> </w:t>
            </w:r>
            <w:r w:rsidRPr="004E7975">
              <w:rPr>
                <w:sz w:val="20"/>
                <w:szCs w:val="20"/>
                <w:lang w:val="en-CA" w:eastAsia="en-CA"/>
              </w:rPr>
              <w:t>617</w:t>
            </w:r>
            <w:r w:rsidR="00F5401A">
              <w:rPr>
                <w:sz w:val="20"/>
                <w:szCs w:val="20"/>
                <w:lang w:val="en-CA" w:eastAsia="en-CA"/>
              </w:rPr>
              <w:t> </w:t>
            </w:r>
            <w:r w:rsidRPr="004E7975">
              <w:rPr>
                <w:sz w:val="20"/>
                <w:szCs w:val="20"/>
                <w:lang w:val="en-CA" w:eastAsia="en-CA"/>
              </w:rPr>
              <w:t>832</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1A7B18E" w14:textId="45E4DA51" w:rsidR="004E7975" w:rsidRPr="004E7975" w:rsidRDefault="004E7975" w:rsidP="004E7975">
            <w:pPr>
              <w:widowControl w:val="0"/>
              <w:jc w:val="right"/>
              <w:rPr>
                <w:sz w:val="20"/>
                <w:szCs w:val="20"/>
                <w:lang w:val="en-CA" w:eastAsia="en-CA"/>
              </w:rPr>
            </w:pPr>
            <w:r w:rsidRPr="004E7975">
              <w:rPr>
                <w:sz w:val="20"/>
                <w:szCs w:val="20"/>
                <w:lang w:val="en-CA" w:eastAsia="en-CA"/>
              </w:rPr>
              <w:t>1</w:t>
            </w:r>
            <w:r w:rsidR="00F5401A">
              <w:rPr>
                <w:sz w:val="20"/>
                <w:szCs w:val="20"/>
                <w:lang w:val="en-CA" w:eastAsia="en-CA"/>
              </w:rPr>
              <w:t> </w:t>
            </w:r>
            <w:r w:rsidRPr="004E7975">
              <w:rPr>
                <w:sz w:val="20"/>
                <w:szCs w:val="20"/>
                <w:lang w:val="en-CA" w:eastAsia="en-CA"/>
              </w:rPr>
              <w:t>317</w:t>
            </w:r>
          </w:p>
        </w:tc>
        <w:tc>
          <w:tcPr>
            <w:tcW w:w="785"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9539563" w14:textId="25908769" w:rsidR="004E7975" w:rsidRPr="004E7975" w:rsidRDefault="004E7975" w:rsidP="004E7975">
            <w:pPr>
              <w:widowControl w:val="0"/>
              <w:jc w:val="right"/>
              <w:rPr>
                <w:sz w:val="20"/>
                <w:szCs w:val="20"/>
                <w:lang w:val="en-CA" w:eastAsia="en-CA"/>
              </w:rPr>
            </w:pPr>
            <w:r w:rsidRPr="004E7975">
              <w:rPr>
                <w:sz w:val="20"/>
                <w:szCs w:val="20"/>
                <w:lang w:val="en-CA" w:eastAsia="en-CA"/>
              </w:rPr>
              <w:t>1</w:t>
            </w:r>
            <w:r w:rsidR="00F5401A">
              <w:rPr>
                <w:sz w:val="20"/>
                <w:szCs w:val="20"/>
                <w:lang w:val="en-CA" w:eastAsia="en-CA"/>
              </w:rPr>
              <w:t> </w:t>
            </w:r>
            <w:r w:rsidRPr="004E7975">
              <w:rPr>
                <w:sz w:val="20"/>
                <w:szCs w:val="20"/>
                <w:lang w:val="en-CA" w:eastAsia="en-CA"/>
              </w:rPr>
              <w:t>317</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433DF0F" w14:textId="2BBED223" w:rsidR="004E7975" w:rsidRPr="004E7975" w:rsidRDefault="004E7975" w:rsidP="004E7975">
            <w:pPr>
              <w:widowControl w:val="0"/>
              <w:jc w:val="right"/>
              <w:rPr>
                <w:sz w:val="20"/>
                <w:szCs w:val="20"/>
                <w:lang w:val="en-CA" w:eastAsia="en-CA"/>
              </w:rPr>
            </w:pPr>
            <w:r w:rsidRPr="004E7975">
              <w:rPr>
                <w:sz w:val="20"/>
                <w:szCs w:val="20"/>
                <w:lang w:val="en-CA" w:eastAsia="en-CA"/>
              </w:rPr>
              <w:t>33</w:t>
            </w:r>
          </w:p>
        </w:tc>
      </w:tr>
      <w:tr w:rsidR="00850631" w:rsidRPr="00210DFF" w14:paraId="5BC88A77" w14:textId="77777777" w:rsidTr="006D34D2">
        <w:tc>
          <w:tcPr>
            <w:tcW w:w="943" w:type="pct"/>
            <w:tcBorders>
              <w:top w:val="nil"/>
              <w:left w:val="single" w:sz="4" w:space="0" w:color="auto"/>
              <w:bottom w:val="single" w:sz="4" w:space="0" w:color="auto"/>
              <w:right w:val="single" w:sz="4" w:space="0" w:color="auto"/>
            </w:tcBorders>
            <w:shd w:val="clear" w:color="auto" w:fill="auto"/>
            <w:noWrap/>
            <w:vAlign w:val="bottom"/>
            <w:hideMark/>
          </w:tcPr>
          <w:p w14:paraId="561FFAA2" w14:textId="1872A2AA" w:rsidR="004E7975" w:rsidRPr="00850631" w:rsidRDefault="00850631" w:rsidP="00D82CA5">
            <w:pPr>
              <w:jc w:val="left"/>
              <w:rPr>
                <w:color w:val="000000"/>
                <w:sz w:val="20"/>
                <w:szCs w:val="20"/>
                <w:lang w:val="en-US"/>
              </w:rPr>
            </w:pPr>
            <w:r w:rsidRPr="00850631">
              <w:rPr>
                <w:color w:val="000000"/>
                <w:sz w:val="20"/>
                <w:szCs w:val="20"/>
                <w:lang w:val="fr-FR"/>
              </w:rPr>
              <w:t>ONUDI</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3DEF41E" w14:textId="4DEA8142" w:rsidR="004E7975" w:rsidRPr="004E7975" w:rsidRDefault="004E7975" w:rsidP="004E7975">
            <w:pPr>
              <w:widowControl w:val="0"/>
              <w:jc w:val="right"/>
              <w:rPr>
                <w:sz w:val="20"/>
                <w:szCs w:val="20"/>
                <w:lang w:val="en-CA" w:eastAsia="en-CA"/>
              </w:rPr>
            </w:pPr>
            <w:r w:rsidRPr="004E7975">
              <w:rPr>
                <w:sz w:val="20"/>
                <w:szCs w:val="20"/>
                <w:lang w:val="en-CA" w:eastAsia="en-CA"/>
              </w:rPr>
              <w:t>3</w:t>
            </w:r>
            <w:r w:rsidR="00F5401A">
              <w:rPr>
                <w:sz w:val="20"/>
                <w:szCs w:val="20"/>
                <w:lang w:val="en-CA" w:eastAsia="en-CA"/>
              </w:rPr>
              <w:t> </w:t>
            </w:r>
            <w:r w:rsidRPr="004E7975">
              <w:rPr>
                <w:sz w:val="20"/>
                <w:szCs w:val="20"/>
                <w:lang w:val="en-CA" w:eastAsia="en-CA"/>
              </w:rPr>
              <w:t>749</w:t>
            </w:r>
            <w:r w:rsidR="00F5401A">
              <w:rPr>
                <w:sz w:val="20"/>
                <w:szCs w:val="20"/>
                <w:lang w:val="en-CA" w:eastAsia="en-CA"/>
              </w:rPr>
              <w:t> </w:t>
            </w:r>
            <w:r w:rsidRPr="004E7975">
              <w:rPr>
                <w:sz w:val="20"/>
                <w:szCs w:val="20"/>
                <w:lang w:val="en-CA" w:eastAsia="en-CA"/>
              </w:rPr>
              <w:t>677</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B47DF84" w14:textId="45436612" w:rsidR="004E7975" w:rsidRPr="004E7975" w:rsidRDefault="004E7975" w:rsidP="004E7975">
            <w:pPr>
              <w:widowControl w:val="0"/>
              <w:jc w:val="right"/>
              <w:rPr>
                <w:sz w:val="20"/>
                <w:szCs w:val="20"/>
                <w:lang w:val="en-CA" w:eastAsia="en-CA"/>
              </w:rPr>
            </w:pPr>
            <w:r w:rsidRPr="004E7975">
              <w:rPr>
                <w:sz w:val="20"/>
                <w:szCs w:val="20"/>
                <w:lang w:val="en-CA" w:eastAsia="en-CA"/>
              </w:rPr>
              <w:t>3</w:t>
            </w:r>
            <w:r w:rsidR="00F5401A">
              <w:rPr>
                <w:sz w:val="20"/>
                <w:szCs w:val="20"/>
                <w:lang w:val="en-CA" w:eastAsia="en-CA"/>
              </w:rPr>
              <w:t> </w:t>
            </w:r>
            <w:r w:rsidRPr="004E7975">
              <w:rPr>
                <w:sz w:val="20"/>
                <w:szCs w:val="20"/>
                <w:lang w:val="en-CA" w:eastAsia="en-CA"/>
              </w:rPr>
              <w:t>369</w:t>
            </w:r>
            <w:r w:rsidR="00F5401A">
              <w:rPr>
                <w:sz w:val="20"/>
                <w:szCs w:val="20"/>
                <w:lang w:val="en-CA" w:eastAsia="en-CA"/>
              </w:rPr>
              <w:t> </w:t>
            </w:r>
            <w:r w:rsidRPr="004E7975">
              <w:rPr>
                <w:sz w:val="20"/>
                <w:szCs w:val="20"/>
                <w:lang w:val="en-CA" w:eastAsia="en-CA"/>
              </w:rPr>
              <w:t>051</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F56A2C5" w14:textId="4F83F1CB" w:rsidR="004E7975" w:rsidRPr="004E7975" w:rsidRDefault="004E7975" w:rsidP="004E7975">
            <w:pPr>
              <w:widowControl w:val="0"/>
              <w:jc w:val="right"/>
              <w:rPr>
                <w:sz w:val="20"/>
                <w:szCs w:val="20"/>
                <w:lang w:val="en-CA" w:eastAsia="en-CA"/>
              </w:rPr>
            </w:pPr>
            <w:r w:rsidRPr="004E7975">
              <w:rPr>
                <w:sz w:val="20"/>
                <w:szCs w:val="20"/>
                <w:lang w:val="en-CA" w:eastAsia="en-CA"/>
              </w:rPr>
              <w:t>62</w:t>
            </w:r>
          </w:p>
        </w:tc>
        <w:tc>
          <w:tcPr>
            <w:tcW w:w="785"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9AF34E9" w14:textId="0AC72B61" w:rsidR="004E7975" w:rsidRPr="004E7975" w:rsidRDefault="004E7975" w:rsidP="004E7975">
            <w:pPr>
              <w:widowControl w:val="0"/>
              <w:jc w:val="right"/>
              <w:rPr>
                <w:sz w:val="20"/>
                <w:szCs w:val="20"/>
                <w:lang w:val="en-CA" w:eastAsia="en-CA"/>
              </w:rPr>
            </w:pPr>
            <w:r w:rsidRPr="004E7975">
              <w:rPr>
                <w:sz w:val="20"/>
                <w:szCs w:val="20"/>
                <w:lang w:val="en-CA" w:eastAsia="en-CA"/>
              </w:rPr>
              <w:t>59</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647CE78" w14:textId="2246600B" w:rsidR="004E7975" w:rsidRPr="004E7975" w:rsidRDefault="004E7975" w:rsidP="004E7975">
            <w:pPr>
              <w:widowControl w:val="0"/>
              <w:jc w:val="right"/>
              <w:rPr>
                <w:sz w:val="20"/>
                <w:szCs w:val="20"/>
                <w:lang w:val="en-CA" w:eastAsia="en-CA"/>
              </w:rPr>
            </w:pPr>
            <w:r w:rsidRPr="004E7975">
              <w:rPr>
                <w:sz w:val="20"/>
                <w:szCs w:val="20"/>
                <w:lang w:val="en-CA" w:eastAsia="en-CA"/>
              </w:rPr>
              <w:t>0</w:t>
            </w:r>
            <w:r>
              <w:rPr>
                <w:sz w:val="20"/>
                <w:szCs w:val="20"/>
                <w:lang w:val="en-CA" w:eastAsia="en-CA"/>
              </w:rPr>
              <w:t>*</w:t>
            </w:r>
          </w:p>
        </w:tc>
      </w:tr>
      <w:tr w:rsidR="00850631" w:rsidRPr="004E7975" w14:paraId="2B22D02F" w14:textId="77777777" w:rsidTr="006D34D2">
        <w:tc>
          <w:tcPr>
            <w:tcW w:w="943" w:type="pct"/>
            <w:tcBorders>
              <w:top w:val="nil"/>
              <w:left w:val="single" w:sz="4" w:space="0" w:color="auto"/>
              <w:bottom w:val="single" w:sz="4" w:space="0" w:color="auto"/>
              <w:right w:val="single" w:sz="4" w:space="0" w:color="auto"/>
            </w:tcBorders>
            <w:shd w:val="clear" w:color="auto" w:fill="auto"/>
            <w:noWrap/>
            <w:vAlign w:val="bottom"/>
            <w:hideMark/>
          </w:tcPr>
          <w:p w14:paraId="4FE0FCAD" w14:textId="54CA3421" w:rsidR="004E7975" w:rsidRPr="00850631" w:rsidRDefault="00850631" w:rsidP="00D82CA5">
            <w:pPr>
              <w:jc w:val="left"/>
              <w:rPr>
                <w:b/>
                <w:bCs/>
                <w:color w:val="000000"/>
                <w:sz w:val="20"/>
                <w:szCs w:val="20"/>
                <w:lang w:val="en-US"/>
              </w:rPr>
            </w:pPr>
            <w:r w:rsidRPr="00850631">
              <w:rPr>
                <w:b/>
                <w:bCs/>
                <w:color w:val="000000"/>
                <w:sz w:val="20"/>
                <w:szCs w:val="20"/>
                <w:lang w:val="fr-FR"/>
              </w:rPr>
              <w:t>Total général</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54A60DA" w14:textId="3BC6F0DC" w:rsidR="004E7975" w:rsidRPr="004E7975" w:rsidRDefault="004E7975" w:rsidP="004E7975">
            <w:pPr>
              <w:jc w:val="right"/>
              <w:rPr>
                <w:b/>
                <w:bCs/>
                <w:color w:val="000000"/>
                <w:sz w:val="20"/>
                <w:szCs w:val="20"/>
                <w:lang w:val="en-US"/>
              </w:rPr>
            </w:pPr>
            <w:r w:rsidRPr="004E7975">
              <w:rPr>
                <w:b/>
                <w:bCs/>
                <w:color w:val="000000"/>
                <w:sz w:val="20"/>
                <w:szCs w:val="20"/>
                <w:lang w:val="en-US"/>
              </w:rPr>
              <w:t>11</w:t>
            </w:r>
            <w:r w:rsidR="00F5401A">
              <w:rPr>
                <w:b/>
                <w:bCs/>
                <w:color w:val="000000"/>
                <w:sz w:val="20"/>
                <w:szCs w:val="20"/>
                <w:lang w:val="en-US"/>
              </w:rPr>
              <w:t> </w:t>
            </w:r>
            <w:r w:rsidRPr="004E7975">
              <w:rPr>
                <w:b/>
                <w:bCs/>
                <w:color w:val="000000"/>
                <w:sz w:val="20"/>
                <w:szCs w:val="20"/>
                <w:lang w:val="en-US"/>
              </w:rPr>
              <w:t>321</w:t>
            </w:r>
            <w:r w:rsidR="00F5401A">
              <w:rPr>
                <w:b/>
                <w:bCs/>
                <w:color w:val="000000"/>
                <w:sz w:val="20"/>
                <w:szCs w:val="20"/>
                <w:lang w:val="en-US"/>
              </w:rPr>
              <w:t> </w:t>
            </w:r>
            <w:r w:rsidRPr="004E7975">
              <w:rPr>
                <w:b/>
                <w:bCs/>
                <w:color w:val="000000"/>
                <w:sz w:val="20"/>
                <w:szCs w:val="20"/>
                <w:lang w:val="en-US"/>
              </w:rPr>
              <w:t>409</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172432B" w14:textId="2B40F659" w:rsidR="004E7975" w:rsidRPr="004E7975" w:rsidRDefault="004E7975" w:rsidP="004E7975">
            <w:pPr>
              <w:jc w:val="right"/>
              <w:rPr>
                <w:b/>
                <w:bCs/>
                <w:color w:val="000000"/>
                <w:sz w:val="20"/>
                <w:szCs w:val="20"/>
                <w:lang w:val="en-US"/>
              </w:rPr>
            </w:pPr>
            <w:r w:rsidRPr="004E7975">
              <w:rPr>
                <w:b/>
                <w:bCs/>
                <w:color w:val="000000"/>
                <w:sz w:val="20"/>
                <w:szCs w:val="20"/>
                <w:lang w:val="en-US"/>
              </w:rPr>
              <w:t>10</w:t>
            </w:r>
            <w:r w:rsidR="00F5401A">
              <w:rPr>
                <w:b/>
                <w:bCs/>
                <w:color w:val="000000"/>
                <w:sz w:val="20"/>
                <w:szCs w:val="20"/>
                <w:lang w:val="en-US"/>
              </w:rPr>
              <w:t> </w:t>
            </w:r>
            <w:r w:rsidRPr="004E7975">
              <w:rPr>
                <w:b/>
                <w:bCs/>
                <w:color w:val="000000"/>
                <w:sz w:val="20"/>
                <w:szCs w:val="20"/>
                <w:lang w:val="en-US"/>
              </w:rPr>
              <w:t>017</w:t>
            </w:r>
            <w:r w:rsidR="00F5401A">
              <w:rPr>
                <w:b/>
                <w:bCs/>
                <w:color w:val="000000"/>
                <w:sz w:val="20"/>
                <w:szCs w:val="20"/>
                <w:lang w:val="en-US"/>
              </w:rPr>
              <w:t> </w:t>
            </w:r>
            <w:r w:rsidRPr="004E7975">
              <w:rPr>
                <w:b/>
                <w:bCs/>
                <w:color w:val="000000"/>
                <w:sz w:val="20"/>
                <w:szCs w:val="20"/>
                <w:lang w:val="en-US"/>
              </w:rPr>
              <w:t>639</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7879665" w14:textId="475C98F3" w:rsidR="004E7975" w:rsidRPr="004E7975" w:rsidRDefault="004E7975" w:rsidP="004E7975">
            <w:pPr>
              <w:jc w:val="right"/>
              <w:rPr>
                <w:b/>
                <w:bCs/>
                <w:color w:val="000000"/>
                <w:sz w:val="20"/>
                <w:szCs w:val="20"/>
                <w:lang w:val="en-US"/>
              </w:rPr>
            </w:pPr>
            <w:r w:rsidRPr="004E7975">
              <w:rPr>
                <w:b/>
                <w:bCs/>
                <w:color w:val="000000"/>
                <w:sz w:val="20"/>
                <w:szCs w:val="20"/>
                <w:lang w:val="en-US"/>
              </w:rPr>
              <w:t>1</w:t>
            </w:r>
            <w:r w:rsidR="00F5401A">
              <w:rPr>
                <w:b/>
                <w:bCs/>
                <w:color w:val="000000"/>
                <w:sz w:val="20"/>
                <w:szCs w:val="20"/>
                <w:lang w:val="en-US"/>
              </w:rPr>
              <w:t> </w:t>
            </w:r>
            <w:r w:rsidRPr="004E7975">
              <w:rPr>
                <w:b/>
                <w:bCs/>
                <w:color w:val="000000"/>
                <w:sz w:val="20"/>
                <w:szCs w:val="20"/>
                <w:lang w:val="en-US"/>
              </w:rPr>
              <w:t>405</w:t>
            </w:r>
          </w:p>
        </w:tc>
        <w:tc>
          <w:tcPr>
            <w:tcW w:w="785"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7A18F5C" w14:textId="158D7882" w:rsidR="004E7975" w:rsidRPr="004E7975" w:rsidRDefault="004E7975" w:rsidP="004E7975">
            <w:pPr>
              <w:jc w:val="right"/>
              <w:rPr>
                <w:b/>
                <w:bCs/>
                <w:color w:val="000000"/>
                <w:sz w:val="20"/>
                <w:szCs w:val="20"/>
                <w:lang w:val="en-US"/>
              </w:rPr>
            </w:pPr>
            <w:r w:rsidRPr="004E7975">
              <w:rPr>
                <w:b/>
                <w:bCs/>
                <w:color w:val="000000"/>
                <w:sz w:val="20"/>
                <w:szCs w:val="20"/>
                <w:lang w:val="en-US"/>
              </w:rPr>
              <w:t>1</w:t>
            </w:r>
            <w:r w:rsidR="00F5401A">
              <w:rPr>
                <w:b/>
                <w:bCs/>
                <w:color w:val="000000"/>
                <w:sz w:val="20"/>
                <w:szCs w:val="20"/>
                <w:lang w:val="en-US"/>
              </w:rPr>
              <w:t> </w:t>
            </w:r>
            <w:r w:rsidRPr="004E7975">
              <w:rPr>
                <w:b/>
                <w:bCs/>
                <w:color w:val="000000"/>
                <w:sz w:val="20"/>
                <w:szCs w:val="20"/>
                <w:lang w:val="en-US"/>
              </w:rPr>
              <w:t>382</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705F8B4" w14:textId="0F3638A4" w:rsidR="004E7975" w:rsidRPr="004E7975" w:rsidRDefault="004E7975" w:rsidP="00F5401A">
            <w:pPr>
              <w:jc w:val="right"/>
              <w:rPr>
                <w:b/>
                <w:bCs/>
                <w:color w:val="000000"/>
                <w:sz w:val="20"/>
                <w:szCs w:val="20"/>
                <w:lang w:val="en-US"/>
              </w:rPr>
            </w:pPr>
            <w:r w:rsidRPr="004E7975">
              <w:rPr>
                <w:b/>
                <w:bCs/>
                <w:color w:val="000000"/>
                <w:sz w:val="20"/>
                <w:szCs w:val="20"/>
                <w:lang w:val="en-US"/>
              </w:rPr>
              <w:t>11</w:t>
            </w:r>
            <w:r w:rsidR="00F5401A">
              <w:rPr>
                <w:b/>
                <w:bCs/>
                <w:color w:val="000000"/>
                <w:sz w:val="20"/>
                <w:szCs w:val="20"/>
                <w:lang w:val="en-US"/>
              </w:rPr>
              <w:t>,</w:t>
            </w:r>
            <w:r w:rsidRPr="004E7975">
              <w:rPr>
                <w:b/>
                <w:bCs/>
                <w:color w:val="000000"/>
                <w:sz w:val="20"/>
                <w:szCs w:val="20"/>
                <w:lang w:val="en-US"/>
              </w:rPr>
              <w:t>11</w:t>
            </w:r>
          </w:p>
        </w:tc>
      </w:tr>
    </w:tbl>
    <w:p w14:paraId="0906EB0A" w14:textId="7A37BB4F" w:rsidR="00222C40" w:rsidRPr="00714F80" w:rsidRDefault="00850631" w:rsidP="00605D6D">
      <w:pPr>
        <w:widowControl w:val="0"/>
        <w:rPr>
          <w:sz w:val="20"/>
          <w:szCs w:val="20"/>
          <w:lang w:val="fr-CA"/>
        </w:rPr>
      </w:pPr>
      <w:r w:rsidRPr="00F5401A">
        <w:rPr>
          <w:sz w:val="20"/>
          <w:szCs w:val="20"/>
          <w:lang w:val="fr-FR"/>
        </w:rPr>
        <w:t xml:space="preserve">* Les retards </w:t>
      </w:r>
      <w:r w:rsidR="00473D95" w:rsidRPr="00F5401A">
        <w:rPr>
          <w:sz w:val="20"/>
          <w:szCs w:val="20"/>
          <w:lang w:val="fr-FR"/>
        </w:rPr>
        <w:t xml:space="preserve">issus </w:t>
      </w:r>
      <w:r w:rsidRPr="00F5401A">
        <w:rPr>
          <w:sz w:val="20"/>
          <w:szCs w:val="20"/>
          <w:lang w:val="fr-FR"/>
        </w:rPr>
        <w:t>du rapport périodique pour</w:t>
      </w:r>
      <w:r w:rsidRPr="002A0771">
        <w:rPr>
          <w:sz w:val="20"/>
          <w:szCs w:val="20"/>
          <w:lang w:val="fr-FR"/>
        </w:rPr>
        <w:t xml:space="preserve"> la phase I du PGEH pour le Qatar (ONUDI)</w:t>
      </w:r>
      <w:r w:rsidR="00F5401A">
        <w:rPr>
          <w:sz w:val="20"/>
          <w:szCs w:val="20"/>
          <w:lang w:val="fr-FR"/>
        </w:rPr>
        <w:t> </w:t>
      </w:r>
      <w:r w:rsidRPr="002A0771">
        <w:rPr>
          <w:sz w:val="20"/>
          <w:szCs w:val="20"/>
          <w:lang w:val="fr-FR"/>
        </w:rPr>
        <w:t>n</w:t>
      </w:r>
      <w:r w:rsidR="00F5401A">
        <w:rPr>
          <w:sz w:val="20"/>
          <w:szCs w:val="20"/>
          <w:lang w:val="fr-FR"/>
        </w:rPr>
        <w:t>’</w:t>
      </w:r>
      <w:r w:rsidRPr="002A0771">
        <w:rPr>
          <w:sz w:val="20"/>
          <w:szCs w:val="20"/>
          <w:lang w:val="fr-FR"/>
        </w:rPr>
        <w:t>étaient pas disponibles au moment de la rédaction de ce document.</w:t>
      </w:r>
      <w:r w:rsidR="004E7975" w:rsidRPr="00714F80">
        <w:rPr>
          <w:sz w:val="20"/>
          <w:szCs w:val="20"/>
          <w:lang w:val="fr-CA"/>
        </w:rPr>
        <w:t xml:space="preserve"> </w:t>
      </w:r>
    </w:p>
    <w:p w14:paraId="697398C6" w14:textId="6D01077A" w:rsidR="00222C40" w:rsidRPr="002A0771" w:rsidRDefault="002A0771" w:rsidP="002A0771">
      <w:pPr>
        <w:widowControl w:val="0"/>
        <w:spacing w:before="120" w:after="240"/>
        <w:rPr>
          <w:b/>
          <w:szCs w:val="20"/>
        </w:rPr>
      </w:pPr>
      <w:r w:rsidRPr="002A0771">
        <w:rPr>
          <w:b/>
          <w:szCs w:val="20"/>
          <w:lang w:val="fr-FR"/>
        </w:rPr>
        <w:t>Raisons des retards</w:t>
      </w:r>
    </w:p>
    <w:p w14:paraId="54245B8C" w14:textId="76ECB4CB" w:rsidR="002A0771" w:rsidRPr="00714F80" w:rsidRDefault="00473CBC" w:rsidP="00473CBC">
      <w:pPr>
        <w:pStyle w:val="Heading1"/>
        <w:widowControl w:val="0"/>
        <w:numPr>
          <w:ilvl w:val="0"/>
          <w:numId w:val="21"/>
        </w:numPr>
        <w:spacing w:before="240"/>
        <w:rPr>
          <w:color w:val="000000"/>
          <w:lang w:val="fr-CA"/>
        </w:rPr>
      </w:pPr>
      <w:r w:rsidRPr="00473CBC">
        <w:rPr>
          <w:color w:val="000000"/>
          <w:shd w:val="clear" w:color="auto" w:fill="FFFFFF"/>
          <w:lang w:val="fr-FR"/>
        </w:rPr>
        <w:t>L</w:t>
      </w:r>
      <w:r w:rsidR="00F5401A">
        <w:rPr>
          <w:color w:val="000000"/>
          <w:shd w:val="clear" w:color="auto" w:fill="FFFFFF"/>
          <w:lang w:val="fr-FR"/>
        </w:rPr>
        <w:t>’</w:t>
      </w:r>
      <w:r w:rsidRPr="00473CBC">
        <w:rPr>
          <w:color w:val="000000"/>
          <w:shd w:val="clear" w:color="auto" w:fill="FFFFFF"/>
          <w:lang w:val="fr-FR"/>
        </w:rPr>
        <w:t xml:space="preserve">éventail des raisons </w:t>
      </w:r>
      <w:r w:rsidR="00282856">
        <w:rPr>
          <w:color w:val="000000"/>
          <w:shd w:val="clear" w:color="auto" w:fill="FFFFFF"/>
          <w:lang w:val="fr-FR"/>
        </w:rPr>
        <w:t>des</w:t>
      </w:r>
      <w:r w:rsidRPr="00473CBC">
        <w:rPr>
          <w:color w:val="000000"/>
          <w:shd w:val="clear" w:color="auto" w:fill="FFFFFF"/>
          <w:lang w:val="fr-FR"/>
        </w:rPr>
        <w:t xml:space="preserve"> retard</w:t>
      </w:r>
      <w:r w:rsidR="00282856">
        <w:rPr>
          <w:color w:val="000000"/>
          <w:shd w:val="clear" w:color="auto" w:fill="FFFFFF"/>
          <w:lang w:val="fr-FR"/>
        </w:rPr>
        <w:t>s</w:t>
      </w:r>
      <w:r w:rsidRPr="00473CBC">
        <w:rPr>
          <w:color w:val="000000"/>
          <w:shd w:val="clear" w:color="auto" w:fill="FFFFFF"/>
          <w:lang w:val="fr-FR"/>
        </w:rPr>
        <w:t xml:space="preserve"> de</w:t>
      </w:r>
      <w:r w:rsidR="00473D95">
        <w:rPr>
          <w:color w:val="000000"/>
          <w:shd w:val="clear" w:color="auto" w:fill="FFFFFF"/>
          <w:lang w:val="fr-FR"/>
        </w:rPr>
        <w:t>s</w:t>
      </w:r>
      <w:r w:rsidRPr="00473CBC">
        <w:rPr>
          <w:color w:val="000000"/>
          <w:shd w:val="clear" w:color="auto" w:fill="FFFFFF"/>
          <w:lang w:val="fr-FR"/>
        </w:rPr>
        <w:t xml:space="preserve"> projet</w:t>
      </w:r>
      <w:r w:rsidR="00473D95">
        <w:rPr>
          <w:color w:val="000000"/>
          <w:shd w:val="clear" w:color="auto" w:fill="FFFFFF"/>
          <w:lang w:val="fr-FR"/>
        </w:rPr>
        <w:t>s</w:t>
      </w:r>
      <w:r w:rsidRPr="00473CBC">
        <w:rPr>
          <w:color w:val="000000"/>
          <w:shd w:val="clear" w:color="auto" w:fill="FFFFFF"/>
          <w:lang w:val="fr-FR"/>
        </w:rPr>
        <w:t xml:space="preserve"> d</w:t>
      </w:r>
      <w:r w:rsidR="00F5401A">
        <w:rPr>
          <w:color w:val="000000"/>
          <w:shd w:val="clear" w:color="auto" w:fill="FFFFFF"/>
          <w:lang w:val="fr-FR"/>
        </w:rPr>
        <w:t>’</w:t>
      </w:r>
      <w:r w:rsidRPr="00473CBC">
        <w:rPr>
          <w:color w:val="000000"/>
          <w:shd w:val="clear" w:color="auto" w:fill="FFFFFF"/>
          <w:lang w:val="fr-FR"/>
        </w:rPr>
        <w:t>accords pluriannuels allaient des processus administratifs et de l</w:t>
      </w:r>
      <w:r w:rsidR="00F5401A">
        <w:rPr>
          <w:color w:val="000000"/>
          <w:shd w:val="clear" w:color="auto" w:fill="FFFFFF"/>
          <w:lang w:val="fr-FR"/>
        </w:rPr>
        <w:t>’</w:t>
      </w:r>
      <w:r w:rsidRPr="00473CBC">
        <w:rPr>
          <w:color w:val="000000"/>
          <w:shd w:val="clear" w:color="auto" w:fill="FFFFFF"/>
          <w:lang w:val="fr-FR"/>
        </w:rPr>
        <w:t xml:space="preserve">instabilité politique à la complexité </w:t>
      </w:r>
      <w:r w:rsidR="00273F5E">
        <w:rPr>
          <w:color w:val="000000"/>
          <w:shd w:val="clear" w:color="auto" w:fill="FFFFFF"/>
          <w:lang w:val="fr-FR"/>
        </w:rPr>
        <w:t>de</w:t>
      </w:r>
      <w:r w:rsidRPr="00473CBC">
        <w:rPr>
          <w:color w:val="000000"/>
          <w:shd w:val="clear" w:color="auto" w:fill="FFFFFF"/>
          <w:lang w:val="fr-FR"/>
        </w:rPr>
        <w:t xml:space="preserve"> la sélection de la technologie et aux questions de sécurité liées à la technologie sélectionnée.</w:t>
      </w:r>
    </w:p>
    <w:p w14:paraId="6F564C47" w14:textId="17E4097E" w:rsidR="00473CBC" w:rsidRPr="00714F80" w:rsidRDefault="00473CBC" w:rsidP="00473CBC">
      <w:pPr>
        <w:pStyle w:val="Heading1"/>
        <w:widowControl w:val="0"/>
        <w:numPr>
          <w:ilvl w:val="0"/>
          <w:numId w:val="21"/>
        </w:numPr>
        <w:spacing w:before="240"/>
        <w:rPr>
          <w:color w:val="000000"/>
          <w:lang w:val="fr-CA"/>
        </w:rPr>
      </w:pPr>
      <w:r w:rsidRPr="00473CBC">
        <w:rPr>
          <w:color w:val="000000"/>
          <w:shd w:val="clear" w:color="auto" w:fill="FFFFFF"/>
          <w:lang w:val="fr-FR"/>
        </w:rPr>
        <w:t>Une raison de retard souvent signalée était la longueur des processus administratifs pour certaines activités, telles que la révision de la législation et la mise en place d</w:t>
      </w:r>
      <w:r w:rsidR="00F5401A">
        <w:rPr>
          <w:color w:val="000000"/>
          <w:shd w:val="clear" w:color="auto" w:fill="FFFFFF"/>
          <w:lang w:val="fr-FR"/>
        </w:rPr>
        <w:t>’</w:t>
      </w:r>
      <w:r w:rsidRPr="00473CBC">
        <w:rPr>
          <w:color w:val="000000"/>
          <w:shd w:val="clear" w:color="auto" w:fill="FFFFFF"/>
          <w:lang w:val="fr-FR"/>
        </w:rPr>
        <w:t>un système de certification dans le domaine de la</w:t>
      </w:r>
      <w:r w:rsidR="00F5401A">
        <w:rPr>
          <w:color w:val="000000"/>
          <w:shd w:val="clear" w:color="auto" w:fill="FFFFFF"/>
          <w:lang w:val="fr-FR"/>
        </w:rPr>
        <w:t> </w:t>
      </w:r>
      <w:r w:rsidRPr="00473CBC">
        <w:rPr>
          <w:color w:val="000000"/>
          <w:shd w:val="clear" w:color="auto" w:fill="FFFFFF"/>
          <w:lang w:val="fr-FR"/>
        </w:rPr>
        <w:t>réfrigération et de la</w:t>
      </w:r>
      <w:r w:rsidR="00F5401A">
        <w:rPr>
          <w:color w:val="000000"/>
          <w:shd w:val="clear" w:color="auto" w:fill="FFFFFF"/>
          <w:lang w:val="fr-FR"/>
        </w:rPr>
        <w:t> </w:t>
      </w:r>
      <w:r w:rsidRPr="00473CBC">
        <w:rPr>
          <w:color w:val="000000"/>
          <w:shd w:val="clear" w:color="auto" w:fill="FFFFFF"/>
          <w:lang w:val="fr-FR"/>
        </w:rPr>
        <w:t>climatisation.</w:t>
      </w:r>
    </w:p>
    <w:p w14:paraId="57C1DC4E" w14:textId="7B0CC785" w:rsidR="00473CBC" w:rsidRPr="00714F80" w:rsidRDefault="00473CBC" w:rsidP="00473CBC">
      <w:pPr>
        <w:pStyle w:val="Heading1"/>
        <w:widowControl w:val="0"/>
        <w:numPr>
          <w:ilvl w:val="0"/>
          <w:numId w:val="21"/>
        </w:numPr>
        <w:spacing w:before="240"/>
        <w:rPr>
          <w:shd w:val="clear" w:color="auto" w:fill="FFFFFF"/>
          <w:lang w:val="fr-CA"/>
        </w:rPr>
      </w:pPr>
      <w:r w:rsidRPr="00473CBC">
        <w:rPr>
          <w:lang w:val="fr-FR"/>
        </w:rPr>
        <w:t>Deux pays ont mentionné que l</w:t>
      </w:r>
      <w:r w:rsidR="00F5401A">
        <w:rPr>
          <w:lang w:val="fr-FR"/>
        </w:rPr>
        <w:t>’</w:t>
      </w:r>
      <w:r w:rsidRPr="00473CBC">
        <w:rPr>
          <w:lang w:val="fr-FR"/>
        </w:rPr>
        <w:t>instabilité institutionnelle due respectivement à un changement de gouvernement ou</w:t>
      </w:r>
      <w:r w:rsidR="00F5401A">
        <w:rPr>
          <w:lang w:val="fr-FR"/>
        </w:rPr>
        <w:t> </w:t>
      </w:r>
      <w:r w:rsidRPr="00473CBC">
        <w:rPr>
          <w:lang w:val="fr-FR"/>
        </w:rPr>
        <w:t>un changement au sein des unités nationales de l</w:t>
      </w:r>
      <w:r w:rsidR="00F5401A">
        <w:rPr>
          <w:lang w:val="fr-FR"/>
        </w:rPr>
        <w:t>’</w:t>
      </w:r>
      <w:r w:rsidRPr="00473CBC">
        <w:rPr>
          <w:lang w:val="fr-FR"/>
        </w:rPr>
        <w:t>ozone (UNO) a eu une incidence sur le décaissement en temps voulu des fonds et le décaissement des surcoûts d</w:t>
      </w:r>
      <w:r w:rsidR="00F5401A">
        <w:rPr>
          <w:lang w:val="fr-FR"/>
        </w:rPr>
        <w:t>’</w:t>
      </w:r>
      <w:r w:rsidRPr="00473CBC">
        <w:rPr>
          <w:lang w:val="fr-FR"/>
        </w:rPr>
        <w:t>exploitation, entraînant tous deux un retard de mise en œuvre.</w:t>
      </w:r>
      <w:r w:rsidRPr="00714F80">
        <w:rPr>
          <w:lang w:val="fr-CA"/>
        </w:rPr>
        <w:t xml:space="preserve"> </w:t>
      </w:r>
      <w:r w:rsidRPr="00473CBC">
        <w:rPr>
          <w:color w:val="000000"/>
          <w:shd w:val="clear" w:color="auto" w:fill="FFFFFF"/>
          <w:lang w:val="fr-FR"/>
        </w:rPr>
        <w:t>Dans un pays, l</w:t>
      </w:r>
      <w:r w:rsidR="00F5401A">
        <w:rPr>
          <w:color w:val="000000"/>
          <w:shd w:val="clear" w:color="auto" w:fill="FFFFFF"/>
          <w:lang w:val="fr-FR"/>
        </w:rPr>
        <w:t>’</w:t>
      </w:r>
      <w:r w:rsidRPr="00473CBC">
        <w:rPr>
          <w:color w:val="000000"/>
          <w:shd w:val="clear" w:color="auto" w:fill="FFFFFF"/>
          <w:lang w:val="fr-FR"/>
        </w:rPr>
        <w:t>instabilité politique a entraîné le report du projet, prolongeant certaines activités connexes, tandis qu</w:t>
      </w:r>
      <w:r w:rsidR="00F5401A">
        <w:rPr>
          <w:color w:val="000000"/>
          <w:shd w:val="clear" w:color="auto" w:fill="FFFFFF"/>
          <w:lang w:val="fr-FR"/>
        </w:rPr>
        <w:t>’</w:t>
      </w:r>
      <w:r w:rsidRPr="00473CBC">
        <w:rPr>
          <w:color w:val="000000"/>
          <w:shd w:val="clear" w:color="auto" w:fill="FFFFFF"/>
          <w:lang w:val="fr-FR"/>
        </w:rPr>
        <w:t>un autre pays était confronté à de graves problèmes d</w:t>
      </w:r>
      <w:r w:rsidR="00F5401A">
        <w:rPr>
          <w:color w:val="000000"/>
          <w:shd w:val="clear" w:color="auto" w:fill="FFFFFF"/>
          <w:lang w:val="fr-FR"/>
        </w:rPr>
        <w:t>’</w:t>
      </w:r>
      <w:r w:rsidRPr="00473CBC">
        <w:rPr>
          <w:color w:val="000000"/>
          <w:shd w:val="clear" w:color="auto" w:fill="FFFFFF"/>
          <w:lang w:val="fr-FR"/>
        </w:rPr>
        <w:t>instabilité politique et de sécurité, retardant le démarrage du plan national d</w:t>
      </w:r>
      <w:r w:rsidR="00F5401A">
        <w:rPr>
          <w:color w:val="000000"/>
          <w:shd w:val="clear" w:color="auto" w:fill="FFFFFF"/>
          <w:lang w:val="fr-FR"/>
        </w:rPr>
        <w:t>’</w:t>
      </w:r>
      <w:r w:rsidRPr="00473CBC">
        <w:rPr>
          <w:color w:val="000000"/>
          <w:shd w:val="clear" w:color="auto" w:fill="FFFFFF"/>
          <w:lang w:val="fr-FR"/>
        </w:rPr>
        <w:t>élimination et obligeant au transfert de ses ateliers de formation à l</w:t>
      </w:r>
      <w:r w:rsidR="00F5401A">
        <w:rPr>
          <w:color w:val="000000"/>
          <w:shd w:val="clear" w:color="auto" w:fill="FFFFFF"/>
          <w:lang w:val="fr-FR"/>
        </w:rPr>
        <w:t>’</w:t>
      </w:r>
      <w:r w:rsidRPr="00473CBC">
        <w:rPr>
          <w:color w:val="000000"/>
          <w:shd w:val="clear" w:color="auto" w:fill="FFFFFF"/>
          <w:lang w:val="fr-FR"/>
        </w:rPr>
        <w:t>étranger, ce qui a ralenti le processus et augmenté les coûts</w:t>
      </w:r>
      <w:r w:rsidRPr="00473CBC">
        <w:rPr>
          <w:shd w:val="clear" w:color="auto" w:fill="FFFFFF"/>
          <w:lang w:val="fr-FR"/>
        </w:rPr>
        <w:t>.</w:t>
      </w:r>
    </w:p>
    <w:p w14:paraId="49C1F2C1" w14:textId="028BD304" w:rsidR="00473CBC" w:rsidRPr="00714F80" w:rsidRDefault="00473CBC" w:rsidP="00473CBC">
      <w:pPr>
        <w:pStyle w:val="Heading1"/>
        <w:widowControl w:val="0"/>
        <w:numPr>
          <w:ilvl w:val="0"/>
          <w:numId w:val="21"/>
        </w:numPr>
        <w:spacing w:before="240"/>
        <w:rPr>
          <w:lang w:val="fr-CA"/>
        </w:rPr>
      </w:pPr>
      <w:r w:rsidRPr="00473CBC">
        <w:rPr>
          <w:color w:val="000000"/>
          <w:shd w:val="clear" w:color="auto" w:fill="FFFFFF"/>
          <w:lang w:val="fr-FR"/>
        </w:rPr>
        <w:t>Un pays a indiqué qu</w:t>
      </w:r>
      <w:r w:rsidR="00F5401A">
        <w:rPr>
          <w:color w:val="000000"/>
          <w:shd w:val="clear" w:color="auto" w:fill="FFFFFF"/>
          <w:lang w:val="fr-FR"/>
        </w:rPr>
        <w:t>’</w:t>
      </w:r>
      <w:r w:rsidRPr="00473CBC">
        <w:rPr>
          <w:color w:val="000000"/>
          <w:shd w:val="clear" w:color="auto" w:fill="FFFFFF"/>
          <w:lang w:val="fr-FR"/>
        </w:rPr>
        <w:t xml:space="preserve">en raison de la sélection de </w:t>
      </w:r>
      <w:r w:rsidR="00473D95">
        <w:rPr>
          <w:color w:val="000000"/>
          <w:shd w:val="clear" w:color="auto" w:fill="FFFFFF"/>
          <w:lang w:val="fr-FR"/>
        </w:rPr>
        <w:t>la t</w:t>
      </w:r>
      <w:r w:rsidRPr="00473CBC">
        <w:rPr>
          <w:color w:val="000000"/>
          <w:shd w:val="clear" w:color="auto" w:fill="FFFFFF"/>
          <w:lang w:val="fr-FR"/>
        </w:rPr>
        <w:t>echnologie (R-290), il a dû arrêter ses programmes incitatifs destinés aux utilisateurs finaux et les remplacer par la suite par le renforcement des capacités des unités de climatisation utilisant la nouvelle technologie</w:t>
      </w:r>
      <w:r w:rsidRPr="00473CBC">
        <w:rPr>
          <w:shd w:val="clear" w:color="auto" w:fill="FFFFFF"/>
          <w:lang w:val="fr-FR"/>
        </w:rPr>
        <w:t>.</w:t>
      </w:r>
      <w:r w:rsidRPr="00714F80">
        <w:rPr>
          <w:color w:val="000000"/>
          <w:lang w:val="fr-CA"/>
        </w:rPr>
        <w:t xml:space="preserve"> </w:t>
      </w:r>
      <w:r w:rsidRPr="00473CBC">
        <w:rPr>
          <w:lang w:val="fr-FR"/>
        </w:rPr>
        <w:t>Le même pays a fait remarquer que l</w:t>
      </w:r>
      <w:r w:rsidR="00F5401A">
        <w:rPr>
          <w:lang w:val="fr-FR"/>
        </w:rPr>
        <w:t>’</w:t>
      </w:r>
      <w:r w:rsidRPr="00473CBC">
        <w:rPr>
          <w:lang w:val="fr-FR"/>
        </w:rPr>
        <w:t xml:space="preserve">acquisition des équipements avait été difficile, en particulier pour les identificateurs et les cartes de </w:t>
      </w:r>
      <w:r w:rsidRPr="00473CBC">
        <w:rPr>
          <w:lang w:val="fr-FR"/>
        </w:rPr>
        <w:lastRenderedPageBreak/>
        <w:t>circuit pour les équipements de réfrigération.</w:t>
      </w:r>
      <w:r w:rsidRPr="00714F80">
        <w:rPr>
          <w:lang w:val="fr-CA"/>
        </w:rPr>
        <w:t xml:space="preserve"> </w:t>
      </w:r>
      <w:r w:rsidRPr="00473CBC">
        <w:rPr>
          <w:lang w:val="fr-FR"/>
        </w:rPr>
        <w:t>Un pays a décidé de mettre en œuvre ses projets en minimisant au maximum son impact sur les opérations commerciales des entreprises bénéficiaires, et</w:t>
      </w:r>
      <w:r w:rsidR="00473D95">
        <w:rPr>
          <w:lang w:val="fr-FR"/>
        </w:rPr>
        <w:t xml:space="preserve"> </w:t>
      </w:r>
      <w:r w:rsidRPr="00473CBC">
        <w:rPr>
          <w:lang w:val="fr-FR"/>
        </w:rPr>
        <w:t>en raison de son important volet de formation à la manipulation sans danger des hydrocarbures, une nouveauté pour le pays, d</w:t>
      </w:r>
      <w:r w:rsidR="00F5401A">
        <w:rPr>
          <w:lang w:val="fr-FR"/>
        </w:rPr>
        <w:t>’</w:t>
      </w:r>
      <w:r w:rsidRPr="00473CBC">
        <w:rPr>
          <w:lang w:val="fr-FR"/>
        </w:rPr>
        <w:t>importants retards de mise en œuvre étaient inévitables.</w:t>
      </w:r>
    </w:p>
    <w:p w14:paraId="4417C81E" w14:textId="56CD6383" w:rsidR="00473CBC" w:rsidRPr="00473CBC" w:rsidRDefault="00473CBC" w:rsidP="00473CBC">
      <w:pPr>
        <w:pStyle w:val="Heading1"/>
        <w:keepNext/>
        <w:widowControl w:val="0"/>
        <w:numPr>
          <w:ilvl w:val="0"/>
          <w:numId w:val="0"/>
        </w:numPr>
        <w:tabs>
          <w:tab w:val="left" w:pos="720"/>
        </w:tabs>
        <w:rPr>
          <w:b/>
          <w:lang w:eastAsia="ja-JP"/>
        </w:rPr>
      </w:pPr>
      <w:r w:rsidRPr="00473CBC">
        <w:rPr>
          <w:b/>
          <w:lang w:val="fr-FR" w:eastAsia="ja-JP"/>
        </w:rPr>
        <w:t>Enseignements tirés</w:t>
      </w:r>
      <w:r w:rsidRPr="00473CBC">
        <w:rPr>
          <w:vertAlign w:val="superscript"/>
          <w:lang w:val="fr-FR"/>
        </w:rPr>
        <w:footnoteReference w:id="2"/>
      </w:r>
    </w:p>
    <w:p w14:paraId="00AA45B1" w14:textId="0DFD7F5E" w:rsidR="003777F1" w:rsidRPr="00714F80" w:rsidRDefault="003777F1" w:rsidP="003777F1">
      <w:pPr>
        <w:pStyle w:val="Heading1"/>
        <w:widowControl w:val="0"/>
        <w:numPr>
          <w:ilvl w:val="0"/>
          <w:numId w:val="21"/>
        </w:numPr>
        <w:spacing w:before="240"/>
        <w:rPr>
          <w:rStyle w:val="tw4winMark"/>
          <w:rFonts w:ascii="Times New Roman" w:hAnsi="Times New Roman" w:cs="Times New Roman"/>
          <w:noProof w:val="0"/>
          <w:vanish w:val="0"/>
          <w:color w:val="auto"/>
          <w:kern w:val="0"/>
          <w:sz w:val="22"/>
          <w:vertAlign w:val="baseline"/>
          <w:lang w:val="fr-CA"/>
        </w:rPr>
      </w:pPr>
      <w:bookmarkStart w:id="0" w:name="_Toc370910623"/>
      <w:bookmarkStart w:id="1" w:name="_Toc147920737"/>
      <w:bookmarkStart w:id="2" w:name="_Toc147387247"/>
      <w:bookmarkStart w:id="3" w:name="_Toc147305504"/>
      <w:bookmarkStart w:id="4" w:name="_Toc147305215"/>
      <w:bookmarkStart w:id="5" w:name="_Toc147292222"/>
      <w:bookmarkStart w:id="6" w:name="_Toc147283939"/>
      <w:bookmarkStart w:id="7" w:name="_Toc147217699"/>
      <w:bookmarkStart w:id="8" w:name="_Toc117922249"/>
      <w:bookmarkStart w:id="9" w:name="_Toc56412815"/>
      <w:r w:rsidRPr="003777F1">
        <w:rPr>
          <w:lang w:val="fr-FR"/>
        </w:rPr>
        <w:t xml:space="preserve">Les enseignements tirés des accords pluriannuels couvraient un </w:t>
      </w:r>
      <w:r w:rsidR="00282856">
        <w:rPr>
          <w:lang w:val="fr-FR"/>
        </w:rPr>
        <w:t xml:space="preserve">large </w:t>
      </w:r>
      <w:r w:rsidRPr="003777F1">
        <w:rPr>
          <w:lang w:val="fr-FR"/>
        </w:rPr>
        <w:t>éventail de sujets, notamment la conception de projets, la communication et l</w:t>
      </w:r>
      <w:r w:rsidR="00F5401A">
        <w:rPr>
          <w:lang w:val="fr-FR"/>
        </w:rPr>
        <w:t>’</w:t>
      </w:r>
      <w:r w:rsidRPr="003777F1">
        <w:rPr>
          <w:lang w:val="fr-FR"/>
        </w:rPr>
        <w:t>implication des parties prenantes, la rotation du personnel et la stabilité des UNO, le suivi, le renforcement des capacités, le coût et la disponibilité des équipements pour l</w:t>
      </w:r>
      <w:r w:rsidR="00F5401A">
        <w:rPr>
          <w:lang w:val="fr-FR"/>
        </w:rPr>
        <w:t>’</w:t>
      </w:r>
      <w:r w:rsidRPr="003777F1">
        <w:rPr>
          <w:lang w:val="fr-FR"/>
        </w:rPr>
        <w:t>adoption de nouvelles technologies, le dédouanement, et des politiques et des règlements intervenant à temps et applicables</w:t>
      </w:r>
      <w:r w:rsidRPr="003777F1">
        <w:rPr>
          <w:color w:val="000000"/>
          <w:lang w:val="fr-FR"/>
        </w:rPr>
        <w:t>.</w:t>
      </w:r>
      <w:r w:rsidRPr="00714F80">
        <w:rPr>
          <w:shd w:val="clear" w:color="auto" w:fill="FFFFFF"/>
          <w:lang w:val="fr-CA"/>
        </w:rPr>
        <w:t xml:space="preserve"> </w:t>
      </w:r>
    </w:p>
    <w:p w14:paraId="7AA1FBED" w14:textId="251A95A8" w:rsidR="00E525A1" w:rsidRPr="00714F80" w:rsidRDefault="00E525A1" w:rsidP="00E525A1">
      <w:pPr>
        <w:pStyle w:val="Heading1"/>
        <w:widowControl w:val="0"/>
        <w:numPr>
          <w:ilvl w:val="0"/>
          <w:numId w:val="21"/>
        </w:numPr>
        <w:spacing w:before="240"/>
        <w:rPr>
          <w:color w:val="000000"/>
          <w:lang w:val="fr-CA"/>
        </w:rPr>
      </w:pPr>
      <w:r w:rsidRPr="00E525A1">
        <w:rPr>
          <w:color w:val="000000"/>
          <w:shd w:val="clear" w:color="auto" w:fill="FFFFFF"/>
          <w:lang w:val="fr-FR"/>
        </w:rPr>
        <w:t>La conception du projet est déterminant</w:t>
      </w:r>
      <w:r w:rsidR="00282856">
        <w:rPr>
          <w:color w:val="000000"/>
          <w:shd w:val="clear" w:color="auto" w:fill="FFFFFF"/>
          <w:lang w:val="fr-FR"/>
        </w:rPr>
        <w:t>e</w:t>
      </w:r>
      <w:r w:rsidRPr="00E525A1">
        <w:rPr>
          <w:color w:val="000000"/>
          <w:shd w:val="clear" w:color="auto" w:fill="FFFFFF"/>
          <w:lang w:val="fr-FR"/>
        </w:rPr>
        <w:t xml:space="preserve"> pour une mise en œuvre réussie et doit prendre en considération l</w:t>
      </w:r>
      <w:r w:rsidR="00F5401A">
        <w:rPr>
          <w:color w:val="000000"/>
          <w:shd w:val="clear" w:color="auto" w:fill="FFFFFF"/>
          <w:lang w:val="fr-FR"/>
        </w:rPr>
        <w:t>’</w:t>
      </w:r>
      <w:r w:rsidRPr="00E525A1">
        <w:rPr>
          <w:color w:val="000000"/>
          <w:shd w:val="clear" w:color="auto" w:fill="FFFFFF"/>
          <w:lang w:val="fr-FR"/>
        </w:rPr>
        <w:t>intégration des activités réparties entre les volets ne portant pas sur des investissements et ceux liés aux investissements, et une compréhension de la production et de la consommation d</w:t>
      </w:r>
      <w:r w:rsidR="00F5401A">
        <w:rPr>
          <w:color w:val="000000"/>
          <w:shd w:val="clear" w:color="auto" w:fill="FFFFFF"/>
          <w:lang w:val="fr-FR"/>
        </w:rPr>
        <w:t>’</w:t>
      </w:r>
      <w:r w:rsidRPr="00E525A1">
        <w:rPr>
          <w:color w:val="000000"/>
          <w:shd w:val="clear" w:color="auto" w:fill="FFFFFF"/>
          <w:lang w:val="fr-FR"/>
        </w:rPr>
        <w:t>énergie du pays.</w:t>
      </w:r>
      <w:r w:rsidRPr="00714F80">
        <w:rPr>
          <w:color w:val="000000"/>
          <w:shd w:val="clear" w:color="auto" w:fill="FFFFFF"/>
          <w:lang w:val="fr-CA"/>
        </w:rPr>
        <w:t xml:space="preserve"> </w:t>
      </w:r>
      <w:r w:rsidRPr="00E525A1">
        <w:rPr>
          <w:color w:val="000000"/>
          <w:shd w:val="clear" w:color="auto" w:fill="FFFFFF"/>
          <w:lang w:val="fr-FR"/>
        </w:rPr>
        <w:t xml:space="preserve">Un pays </w:t>
      </w:r>
      <w:r>
        <w:rPr>
          <w:color w:val="000000"/>
          <w:shd w:val="clear" w:color="auto" w:fill="FFFFFF"/>
          <w:lang w:val="fr-FR"/>
        </w:rPr>
        <w:t>a évoqué</w:t>
      </w:r>
      <w:r w:rsidRPr="00E525A1">
        <w:rPr>
          <w:color w:val="000000"/>
          <w:shd w:val="clear" w:color="auto" w:fill="FFFFFF"/>
          <w:lang w:val="fr-FR"/>
        </w:rPr>
        <w:t xml:space="preserve"> la nécessité d</w:t>
      </w:r>
      <w:r w:rsidR="00F5401A">
        <w:rPr>
          <w:color w:val="000000"/>
          <w:shd w:val="clear" w:color="auto" w:fill="FFFFFF"/>
          <w:lang w:val="fr-FR"/>
        </w:rPr>
        <w:t>’</w:t>
      </w:r>
      <w:r w:rsidRPr="00E525A1">
        <w:rPr>
          <w:color w:val="000000"/>
          <w:shd w:val="clear" w:color="auto" w:fill="FFFFFF"/>
          <w:lang w:val="fr-FR"/>
        </w:rPr>
        <w:t xml:space="preserve">inclure un système de suivi </w:t>
      </w:r>
      <w:r w:rsidR="00473D95">
        <w:rPr>
          <w:color w:val="000000"/>
          <w:shd w:val="clear" w:color="auto" w:fill="FFFFFF"/>
          <w:lang w:val="fr-FR"/>
        </w:rPr>
        <w:t>financ</w:t>
      </w:r>
      <w:r w:rsidR="00282856">
        <w:rPr>
          <w:color w:val="000000"/>
          <w:shd w:val="clear" w:color="auto" w:fill="FFFFFF"/>
          <w:lang w:val="fr-FR"/>
        </w:rPr>
        <w:t>é</w:t>
      </w:r>
      <w:r w:rsidR="00473D95">
        <w:rPr>
          <w:color w:val="000000"/>
          <w:shd w:val="clear" w:color="auto" w:fill="FFFFFF"/>
          <w:lang w:val="fr-FR"/>
        </w:rPr>
        <w:t xml:space="preserve"> visant la mise en œuvre </w:t>
      </w:r>
      <w:r w:rsidRPr="00E525A1">
        <w:rPr>
          <w:color w:val="000000"/>
          <w:shd w:val="clear" w:color="auto" w:fill="FFFFFF"/>
          <w:lang w:val="fr-FR"/>
        </w:rPr>
        <w:t>des activités et l</w:t>
      </w:r>
      <w:r w:rsidR="00F5401A">
        <w:rPr>
          <w:color w:val="000000"/>
          <w:shd w:val="clear" w:color="auto" w:fill="FFFFFF"/>
          <w:lang w:val="fr-FR"/>
        </w:rPr>
        <w:t>’</w:t>
      </w:r>
      <w:r w:rsidRPr="00E525A1">
        <w:rPr>
          <w:color w:val="000000"/>
          <w:shd w:val="clear" w:color="auto" w:fill="FFFFFF"/>
          <w:lang w:val="fr-FR"/>
        </w:rPr>
        <w:t xml:space="preserve">assistance technique </w:t>
      </w:r>
      <w:r w:rsidR="00473D95">
        <w:rPr>
          <w:color w:val="000000"/>
          <w:shd w:val="clear" w:color="auto" w:fill="FFFFFF"/>
          <w:lang w:val="fr-FR"/>
        </w:rPr>
        <w:t>afin d</w:t>
      </w:r>
      <w:r w:rsidR="00F5401A">
        <w:rPr>
          <w:color w:val="000000"/>
          <w:shd w:val="clear" w:color="auto" w:fill="FFFFFF"/>
          <w:lang w:val="fr-FR"/>
        </w:rPr>
        <w:t>’</w:t>
      </w:r>
      <w:r w:rsidR="00473D95">
        <w:rPr>
          <w:color w:val="000000"/>
          <w:shd w:val="clear" w:color="auto" w:fill="FFFFFF"/>
          <w:lang w:val="fr-FR"/>
        </w:rPr>
        <w:t>e</w:t>
      </w:r>
      <w:r w:rsidRPr="00E525A1">
        <w:rPr>
          <w:color w:val="000000"/>
          <w:shd w:val="clear" w:color="auto" w:fill="FFFFFF"/>
          <w:lang w:val="fr-FR"/>
        </w:rPr>
        <w:t>n</w:t>
      </w:r>
      <w:r w:rsidR="00F5401A">
        <w:rPr>
          <w:color w:val="000000"/>
          <w:shd w:val="clear" w:color="auto" w:fill="FFFFFF"/>
          <w:lang w:val="fr-FR"/>
        </w:rPr>
        <w:t> </w:t>
      </w:r>
      <w:r w:rsidRPr="00E525A1">
        <w:rPr>
          <w:color w:val="000000"/>
          <w:shd w:val="clear" w:color="auto" w:fill="FFFFFF"/>
          <w:lang w:val="fr-FR"/>
        </w:rPr>
        <w:t>garantir l</w:t>
      </w:r>
      <w:r w:rsidR="00F5401A">
        <w:rPr>
          <w:color w:val="000000"/>
          <w:shd w:val="clear" w:color="auto" w:fill="FFFFFF"/>
          <w:lang w:val="fr-FR"/>
        </w:rPr>
        <w:t>’</w:t>
      </w:r>
      <w:r w:rsidRPr="00E525A1">
        <w:rPr>
          <w:color w:val="000000"/>
          <w:shd w:val="clear" w:color="auto" w:fill="FFFFFF"/>
          <w:lang w:val="fr-FR"/>
        </w:rPr>
        <w:t>efficacité.</w:t>
      </w:r>
      <w:r w:rsidRPr="00714F80">
        <w:rPr>
          <w:color w:val="000000"/>
          <w:lang w:val="fr-CA"/>
        </w:rPr>
        <w:t xml:space="preserve"> </w:t>
      </w:r>
      <w:r w:rsidRPr="00E525A1">
        <w:rPr>
          <w:lang w:val="fr-FR"/>
        </w:rPr>
        <w:t>Un autre a souligné l</w:t>
      </w:r>
      <w:r w:rsidR="00F5401A">
        <w:rPr>
          <w:lang w:val="fr-FR"/>
        </w:rPr>
        <w:t>’</w:t>
      </w:r>
      <w:r w:rsidRPr="00E525A1">
        <w:rPr>
          <w:lang w:val="fr-FR"/>
        </w:rPr>
        <w:t>importance pour l</w:t>
      </w:r>
      <w:r w:rsidR="00F5401A">
        <w:rPr>
          <w:lang w:val="fr-FR"/>
        </w:rPr>
        <w:t>’</w:t>
      </w:r>
      <w:r w:rsidRPr="00E525A1">
        <w:rPr>
          <w:lang w:val="fr-FR"/>
        </w:rPr>
        <w:t>UNO d</w:t>
      </w:r>
      <w:r w:rsidR="00F5401A">
        <w:rPr>
          <w:lang w:val="fr-FR"/>
        </w:rPr>
        <w:t>’</w:t>
      </w:r>
      <w:r w:rsidRPr="00E525A1">
        <w:rPr>
          <w:lang w:val="fr-FR"/>
        </w:rPr>
        <w:t>établir un système de documentation et de remise rapport, ainsi qu</w:t>
      </w:r>
      <w:r w:rsidR="00F5401A">
        <w:rPr>
          <w:lang w:val="fr-FR"/>
        </w:rPr>
        <w:t>’</w:t>
      </w:r>
      <w:r w:rsidRPr="00E525A1">
        <w:rPr>
          <w:lang w:val="fr-FR"/>
        </w:rPr>
        <w:t>un protocole de communication pour éviter les retards de mise en œuvre.</w:t>
      </w:r>
      <w:r w:rsidRPr="00714F80">
        <w:rPr>
          <w:lang w:val="fr-CA"/>
        </w:rPr>
        <w:t xml:space="preserve"> </w:t>
      </w:r>
    </w:p>
    <w:p w14:paraId="332D4794" w14:textId="2C9CA353" w:rsidR="00B87A11" w:rsidRPr="00714F80" w:rsidRDefault="00E525A1" w:rsidP="00B87A11">
      <w:pPr>
        <w:pStyle w:val="Heading1"/>
        <w:widowControl w:val="0"/>
        <w:numPr>
          <w:ilvl w:val="0"/>
          <w:numId w:val="21"/>
        </w:numPr>
        <w:spacing w:before="240"/>
        <w:rPr>
          <w:color w:val="000000"/>
          <w:lang w:val="fr-CA"/>
        </w:rPr>
      </w:pPr>
      <w:r w:rsidRPr="00E525A1">
        <w:rPr>
          <w:color w:val="000000"/>
          <w:shd w:val="clear" w:color="auto" w:fill="FFFFFF"/>
          <w:lang w:val="fr-FR"/>
        </w:rPr>
        <w:t>Un suivi rigoureux et une communication étroite entre toutes les parties prenantes sont essentiels à la réussite d</w:t>
      </w:r>
      <w:r w:rsidR="00F5401A">
        <w:rPr>
          <w:color w:val="000000"/>
          <w:shd w:val="clear" w:color="auto" w:fill="FFFFFF"/>
          <w:lang w:val="fr-FR"/>
        </w:rPr>
        <w:t>’</w:t>
      </w:r>
      <w:r w:rsidRPr="00E525A1">
        <w:rPr>
          <w:color w:val="000000"/>
          <w:shd w:val="clear" w:color="auto" w:fill="FFFFFF"/>
          <w:lang w:val="fr-FR"/>
        </w:rPr>
        <w:t>un projet.</w:t>
      </w:r>
      <w:r w:rsidRPr="00714F80">
        <w:rPr>
          <w:color w:val="000000"/>
          <w:shd w:val="clear" w:color="auto" w:fill="FFFFFF"/>
          <w:lang w:val="fr-CA"/>
        </w:rPr>
        <w:t xml:space="preserve"> </w:t>
      </w:r>
      <w:r w:rsidR="00B87A11" w:rsidRPr="00B87A11">
        <w:rPr>
          <w:color w:val="000000"/>
          <w:shd w:val="clear" w:color="auto" w:fill="FFFFFF"/>
          <w:lang w:val="fr-FR"/>
        </w:rPr>
        <w:t>Ceci est particulièrement important lorsqu</w:t>
      </w:r>
      <w:r w:rsidR="00F5401A">
        <w:rPr>
          <w:color w:val="000000"/>
          <w:shd w:val="clear" w:color="auto" w:fill="FFFFFF"/>
          <w:lang w:val="fr-FR"/>
        </w:rPr>
        <w:t>’</w:t>
      </w:r>
      <w:r w:rsidR="00B87A11" w:rsidRPr="00B87A11">
        <w:rPr>
          <w:color w:val="000000"/>
          <w:shd w:val="clear" w:color="auto" w:fill="FFFFFF"/>
          <w:lang w:val="fr-FR"/>
        </w:rPr>
        <w:t>un pays, confronté à l</w:t>
      </w:r>
      <w:r w:rsidR="00F5401A">
        <w:rPr>
          <w:color w:val="000000"/>
          <w:shd w:val="clear" w:color="auto" w:fill="FFFFFF"/>
          <w:lang w:val="fr-FR"/>
        </w:rPr>
        <w:t>’</w:t>
      </w:r>
      <w:r w:rsidR="00B87A11" w:rsidRPr="00B87A11">
        <w:rPr>
          <w:color w:val="000000"/>
          <w:shd w:val="clear" w:color="auto" w:fill="FFFFFF"/>
          <w:lang w:val="fr-FR"/>
        </w:rPr>
        <w:t>instabilité politique, doit s</w:t>
      </w:r>
      <w:r w:rsidR="00F5401A">
        <w:rPr>
          <w:color w:val="000000"/>
          <w:shd w:val="clear" w:color="auto" w:fill="FFFFFF"/>
          <w:lang w:val="fr-FR"/>
        </w:rPr>
        <w:t>’</w:t>
      </w:r>
      <w:r w:rsidR="00B87A11" w:rsidRPr="00B87A11">
        <w:rPr>
          <w:color w:val="000000"/>
          <w:shd w:val="clear" w:color="auto" w:fill="FFFFFF"/>
          <w:lang w:val="fr-FR"/>
        </w:rPr>
        <w:t>adapter rapidement et éventuellement demander des prolongations ou des reports de projets.</w:t>
      </w:r>
      <w:r w:rsidR="00B87A11" w:rsidRPr="00714F80">
        <w:rPr>
          <w:color w:val="000000"/>
          <w:shd w:val="clear" w:color="auto" w:fill="FFFFFF"/>
          <w:lang w:val="fr-CA"/>
        </w:rPr>
        <w:t xml:space="preserve"> </w:t>
      </w:r>
      <w:r w:rsidR="00B87A11" w:rsidRPr="00B87A11">
        <w:rPr>
          <w:color w:val="000000"/>
          <w:shd w:val="clear" w:color="auto" w:fill="FFFFFF"/>
          <w:lang w:val="fr-FR"/>
        </w:rPr>
        <w:t xml:space="preserve">Des consultations et </w:t>
      </w:r>
      <w:r w:rsidR="00714F80" w:rsidRPr="00B87A11">
        <w:rPr>
          <w:color w:val="000000"/>
          <w:shd w:val="clear" w:color="auto" w:fill="FFFFFF"/>
          <w:lang w:val="fr-FR"/>
        </w:rPr>
        <w:t>une communication régulière</w:t>
      </w:r>
      <w:r w:rsidR="00B87A11" w:rsidRPr="00B87A11">
        <w:rPr>
          <w:color w:val="000000"/>
          <w:shd w:val="clear" w:color="auto" w:fill="FFFFFF"/>
          <w:lang w:val="fr-FR"/>
        </w:rPr>
        <w:t xml:space="preserve"> entre les agences d</w:t>
      </w:r>
      <w:r w:rsidR="00F5401A">
        <w:rPr>
          <w:color w:val="000000"/>
          <w:shd w:val="clear" w:color="auto" w:fill="FFFFFF"/>
          <w:lang w:val="fr-FR"/>
        </w:rPr>
        <w:t>’</w:t>
      </w:r>
      <w:r w:rsidR="00B87A11" w:rsidRPr="00B87A11">
        <w:rPr>
          <w:color w:val="000000"/>
          <w:shd w:val="clear" w:color="auto" w:fill="FFFFFF"/>
          <w:lang w:val="fr-FR"/>
        </w:rPr>
        <w:t>exécution et le gouvernement facilitent l</w:t>
      </w:r>
      <w:r w:rsidR="00F5401A">
        <w:rPr>
          <w:color w:val="000000"/>
          <w:shd w:val="clear" w:color="auto" w:fill="FFFFFF"/>
          <w:lang w:val="fr-FR"/>
        </w:rPr>
        <w:t>’</w:t>
      </w:r>
      <w:r w:rsidR="00B87A11" w:rsidRPr="00B87A11">
        <w:rPr>
          <w:color w:val="000000"/>
          <w:shd w:val="clear" w:color="auto" w:fill="FFFFFF"/>
          <w:lang w:val="fr-FR"/>
        </w:rPr>
        <w:t>identification et la résolution rapides des problèmes risquant d</w:t>
      </w:r>
      <w:r w:rsidR="00F5401A">
        <w:rPr>
          <w:color w:val="000000"/>
          <w:shd w:val="clear" w:color="auto" w:fill="FFFFFF"/>
          <w:lang w:val="fr-FR"/>
        </w:rPr>
        <w:t>’</w:t>
      </w:r>
      <w:r w:rsidR="00B87A11" w:rsidRPr="00B87A11">
        <w:rPr>
          <w:color w:val="000000"/>
          <w:shd w:val="clear" w:color="auto" w:fill="FFFFFF"/>
          <w:lang w:val="fr-FR"/>
        </w:rPr>
        <w:t>avoir un impact sur le bon déroulement de la mise en œuvre.</w:t>
      </w:r>
      <w:r w:rsidR="00B87A11" w:rsidRPr="00714F80">
        <w:rPr>
          <w:color w:val="000000"/>
          <w:shd w:val="clear" w:color="auto" w:fill="FFFFFF"/>
          <w:lang w:val="fr-CA"/>
        </w:rPr>
        <w:t xml:space="preserve"> </w:t>
      </w:r>
      <w:r w:rsidR="00B87A11" w:rsidRPr="00B87A11">
        <w:rPr>
          <w:color w:val="000000"/>
          <w:shd w:val="clear" w:color="auto" w:fill="FFFFFF"/>
          <w:lang w:val="fr-FR"/>
        </w:rPr>
        <w:t>Une UNO stable est nécessaire pour assurer le bon fonctionnement et l</w:t>
      </w:r>
      <w:r w:rsidR="00F5401A">
        <w:rPr>
          <w:color w:val="000000"/>
          <w:shd w:val="clear" w:color="auto" w:fill="FFFFFF"/>
          <w:lang w:val="fr-FR"/>
        </w:rPr>
        <w:t>’</w:t>
      </w:r>
      <w:r w:rsidR="00B87A11" w:rsidRPr="00B87A11">
        <w:rPr>
          <w:color w:val="000000"/>
          <w:shd w:val="clear" w:color="auto" w:fill="FFFFFF"/>
          <w:lang w:val="fr-FR"/>
        </w:rPr>
        <w:t>exécution en temps voulu des activités et, par conséquent, les changements visant l</w:t>
      </w:r>
      <w:r w:rsidR="00F5401A">
        <w:rPr>
          <w:color w:val="000000"/>
          <w:shd w:val="clear" w:color="auto" w:fill="FFFFFF"/>
          <w:lang w:val="fr-FR"/>
        </w:rPr>
        <w:t>’</w:t>
      </w:r>
      <w:r w:rsidR="00B87A11" w:rsidRPr="00B87A11">
        <w:rPr>
          <w:color w:val="000000"/>
          <w:shd w:val="clear" w:color="auto" w:fill="FFFFFF"/>
          <w:lang w:val="fr-FR"/>
        </w:rPr>
        <w:t>administrateur national du bureau de l</w:t>
      </w:r>
      <w:r w:rsidR="00F5401A">
        <w:rPr>
          <w:color w:val="000000"/>
          <w:shd w:val="clear" w:color="auto" w:fill="FFFFFF"/>
          <w:lang w:val="fr-FR"/>
        </w:rPr>
        <w:t>’</w:t>
      </w:r>
      <w:r w:rsidR="00B87A11" w:rsidRPr="00B87A11">
        <w:rPr>
          <w:color w:val="000000"/>
          <w:shd w:val="clear" w:color="auto" w:fill="FFFFFF"/>
          <w:lang w:val="fr-FR"/>
        </w:rPr>
        <w:t>ozone peuvent avoir un effet négatif sur la mise en œuvre.</w:t>
      </w:r>
      <w:r w:rsidR="00B87A11" w:rsidRPr="00714F80">
        <w:rPr>
          <w:color w:val="000000"/>
          <w:shd w:val="clear" w:color="auto" w:fill="FFFFFF"/>
          <w:lang w:val="fr-CA"/>
        </w:rPr>
        <w:t xml:space="preserve"> </w:t>
      </w:r>
      <w:r w:rsidR="009E3EA4">
        <w:rPr>
          <w:color w:val="000000"/>
          <w:shd w:val="clear" w:color="auto" w:fill="FFFFFF"/>
          <w:lang w:val="fr-FR"/>
        </w:rPr>
        <w:t>Parallèlement</w:t>
      </w:r>
      <w:r w:rsidR="00B87A11" w:rsidRPr="00B87A11">
        <w:rPr>
          <w:color w:val="000000"/>
          <w:shd w:val="clear" w:color="auto" w:fill="FFFFFF"/>
          <w:lang w:val="fr-FR"/>
        </w:rPr>
        <w:t xml:space="preserve">, une collaboration étroite et une communication fréquente avec les </w:t>
      </w:r>
      <w:r w:rsidR="009F2E66">
        <w:rPr>
          <w:color w:val="000000"/>
          <w:shd w:val="clear" w:color="auto" w:fill="FFFFFF"/>
          <w:lang w:val="fr-FR"/>
        </w:rPr>
        <w:t>bureaux</w:t>
      </w:r>
      <w:r w:rsidR="00B87A11" w:rsidRPr="00B87A11">
        <w:rPr>
          <w:color w:val="000000"/>
          <w:shd w:val="clear" w:color="auto" w:fill="FFFFFF"/>
          <w:lang w:val="fr-FR"/>
        </w:rPr>
        <w:t xml:space="preserve"> des douanes, s</w:t>
      </w:r>
      <w:r w:rsidR="00F5401A">
        <w:rPr>
          <w:color w:val="000000"/>
          <w:shd w:val="clear" w:color="auto" w:fill="FFFFFF"/>
          <w:lang w:val="fr-FR"/>
        </w:rPr>
        <w:t>’</w:t>
      </w:r>
      <w:r w:rsidR="00B87A11" w:rsidRPr="00B87A11">
        <w:rPr>
          <w:color w:val="000000"/>
          <w:shd w:val="clear" w:color="auto" w:fill="FFFFFF"/>
          <w:lang w:val="fr-FR"/>
        </w:rPr>
        <w:t>ajoutant à la formation, sont essentielles pour un suivi efficace des SAO et le succès de tous les plans d</w:t>
      </w:r>
      <w:r w:rsidR="00F5401A">
        <w:rPr>
          <w:color w:val="000000"/>
          <w:shd w:val="clear" w:color="auto" w:fill="FFFFFF"/>
          <w:lang w:val="fr-FR"/>
        </w:rPr>
        <w:t>’</w:t>
      </w:r>
      <w:r w:rsidR="00B87A11" w:rsidRPr="00B87A11">
        <w:rPr>
          <w:color w:val="000000"/>
          <w:shd w:val="clear" w:color="auto" w:fill="FFFFFF"/>
          <w:lang w:val="fr-FR"/>
        </w:rPr>
        <w:t>élimination.</w:t>
      </w:r>
      <w:r w:rsidR="00B87A11" w:rsidRPr="00714F80">
        <w:rPr>
          <w:color w:val="000000"/>
          <w:shd w:val="clear" w:color="auto" w:fill="FFFFFF"/>
          <w:lang w:val="fr-CA"/>
        </w:rPr>
        <w:t xml:space="preserve"> </w:t>
      </w:r>
    </w:p>
    <w:p w14:paraId="5931E37F" w14:textId="40191EDF" w:rsidR="00D6139E" w:rsidRPr="00714F80" w:rsidRDefault="00D6139E" w:rsidP="00D6139E">
      <w:pPr>
        <w:pStyle w:val="Heading1"/>
        <w:widowControl w:val="0"/>
        <w:numPr>
          <w:ilvl w:val="0"/>
          <w:numId w:val="21"/>
        </w:numPr>
        <w:spacing w:before="240"/>
        <w:rPr>
          <w:color w:val="000000"/>
          <w:lang w:val="fr-CA"/>
        </w:rPr>
      </w:pPr>
      <w:r w:rsidRPr="00D6139E">
        <w:rPr>
          <w:color w:val="000000"/>
          <w:shd w:val="clear" w:color="auto" w:fill="FFFFFF"/>
          <w:lang w:val="fr-FR"/>
        </w:rPr>
        <w:t xml:space="preserve">Les programmes de renforcement des capacités et les initiatives de formation sont essentiels pour une mise en œuvre réussie et </w:t>
      </w:r>
      <w:r w:rsidR="009E3EA4">
        <w:rPr>
          <w:color w:val="000000"/>
          <w:shd w:val="clear" w:color="auto" w:fill="FFFFFF"/>
          <w:lang w:val="fr-FR"/>
        </w:rPr>
        <w:t xml:space="preserve">assurer </w:t>
      </w:r>
      <w:r w:rsidRPr="00D6139E">
        <w:rPr>
          <w:color w:val="000000"/>
          <w:shd w:val="clear" w:color="auto" w:fill="FFFFFF"/>
          <w:lang w:val="fr-FR"/>
        </w:rPr>
        <w:t>sa durabilité.</w:t>
      </w:r>
      <w:r w:rsidRPr="00714F80">
        <w:rPr>
          <w:color w:val="000000"/>
          <w:shd w:val="clear" w:color="auto" w:fill="FFFFFF"/>
          <w:lang w:val="fr-CA"/>
        </w:rPr>
        <w:t xml:space="preserve"> </w:t>
      </w:r>
      <w:r w:rsidRPr="00D6139E">
        <w:rPr>
          <w:color w:val="000000"/>
          <w:shd w:val="clear" w:color="auto" w:fill="FFFFFF"/>
          <w:lang w:val="fr-FR"/>
        </w:rPr>
        <w:t>Par exemple, un pays a mentionné que le renforcement des capacités s</w:t>
      </w:r>
      <w:r w:rsidR="00F5401A">
        <w:rPr>
          <w:color w:val="000000"/>
          <w:shd w:val="clear" w:color="auto" w:fill="FFFFFF"/>
          <w:lang w:val="fr-FR"/>
        </w:rPr>
        <w:t>’</w:t>
      </w:r>
      <w:r w:rsidRPr="00D6139E">
        <w:rPr>
          <w:color w:val="000000"/>
          <w:shd w:val="clear" w:color="auto" w:fill="FFFFFF"/>
          <w:lang w:val="fr-FR"/>
        </w:rPr>
        <w:t>est avéré utile.</w:t>
      </w:r>
      <w:r w:rsidRPr="00714F80">
        <w:rPr>
          <w:color w:val="000000"/>
          <w:shd w:val="clear" w:color="auto" w:fill="FFFFFF"/>
          <w:lang w:val="fr-CA"/>
        </w:rPr>
        <w:t xml:space="preserve"> </w:t>
      </w:r>
      <w:r w:rsidRPr="00D6139E">
        <w:rPr>
          <w:color w:val="000000"/>
          <w:shd w:val="clear" w:color="auto" w:fill="FFFFFF"/>
          <w:lang w:val="fr-FR"/>
        </w:rPr>
        <w:t>Un autre a expliqué que les programmes de reconversion ainsi que la formation et les équipements destinés aux bonnes pratiques de sécurité se sont révélés plus efficaces que les incitatifs financiers.</w:t>
      </w:r>
      <w:r w:rsidRPr="00714F80">
        <w:rPr>
          <w:color w:val="000000"/>
          <w:shd w:val="clear" w:color="auto" w:fill="FFFFFF"/>
          <w:lang w:val="fr-CA"/>
        </w:rPr>
        <w:t xml:space="preserve"> </w:t>
      </w:r>
      <w:r w:rsidRPr="00D6139E">
        <w:rPr>
          <w:color w:val="000000"/>
          <w:shd w:val="clear" w:color="auto" w:fill="FFFFFF"/>
          <w:lang w:val="fr-FR"/>
        </w:rPr>
        <w:t xml:space="preserve">Un autre pays </w:t>
      </w:r>
      <w:r w:rsidR="009F2E66">
        <w:rPr>
          <w:color w:val="000000"/>
          <w:shd w:val="clear" w:color="auto" w:fill="FFFFFF"/>
          <w:lang w:val="fr-FR"/>
        </w:rPr>
        <w:t xml:space="preserve">encore </w:t>
      </w:r>
      <w:r w:rsidRPr="00D6139E">
        <w:rPr>
          <w:color w:val="000000"/>
          <w:shd w:val="clear" w:color="auto" w:fill="FFFFFF"/>
          <w:lang w:val="fr-FR"/>
        </w:rPr>
        <w:t>a indiqué l</w:t>
      </w:r>
      <w:r w:rsidR="00F5401A">
        <w:rPr>
          <w:color w:val="000000"/>
          <w:shd w:val="clear" w:color="auto" w:fill="FFFFFF"/>
          <w:lang w:val="fr-FR"/>
        </w:rPr>
        <w:t>’</w:t>
      </w:r>
      <w:r w:rsidRPr="00D6139E">
        <w:rPr>
          <w:color w:val="000000"/>
          <w:shd w:val="clear" w:color="auto" w:fill="FFFFFF"/>
          <w:lang w:val="fr-FR"/>
        </w:rPr>
        <w:t>importance d</w:t>
      </w:r>
      <w:r w:rsidR="00F5401A">
        <w:rPr>
          <w:color w:val="000000"/>
          <w:shd w:val="clear" w:color="auto" w:fill="FFFFFF"/>
          <w:lang w:val="fr-FR"/>
        </w:rPr>
        <w:t>’</w:t>
      </w:r>
      <w:r w:rsidRPr="00D6139E">
        <w:rPr>
          <w:color w:val="000000"/>
          <w:shd w:val="clear" w:color="auto" w:fill="FFFFFF"/>
          <w:lang w:val="fr-FR"/>
        </w:rPr>
        <w:t>installer un système de sécurité intégré complet dans l</w:t>
      </w:r>
      <w:r w:rsidR="00F5401A">
        <w:rPr>
          <w:color w:val="000000"/>
          <w:shd w:val="clear" w:color="auto" w:fill="FFFFFF"/>
          <w:lang w:val="fr-FR"/>
        </w:rPr>
        <w:t>’</w:t>
      </w:r>
      <w:r w:rsidRPr="00D6139E">
        <w:rPr>
          <w:color w:val="000000"/>
          <w:shd w:val="clear" w:color="auto" w:fill="FFFFFF"/>
          <w:lang w:val="fr-FR"/>
        </w:rPr>
        <w:t>ensemble de l</w:t>
      </w:r>
      <w:r w:rsidR="00F5401A">
        <w:rPr>
          <w:color w:val="000000"/>
          <w:shd w:val="clear" w:color="auto" w:fill="FFFFFF"/>
          <w:lang w:val="fr-FR"/>
        </w:rPr>
        <w:t>’</w:t>
      </w:r>
      <w:r w:rsidRPr="00D6139E">
        <w:rPr>
          <w:color w:val="000000"/>
          <w:shd w:val="clear" w:color="auto" w:fill="FFFFFF"/>
          <w:lang w:val="fr-FR"/>
        </w:rPr>
        <w:t xml:space="preserve">usine </w:t>
      </w:r>
      <w:r w:rsidR="009E3EA4">
        <w:rPr>
          <w:color w:val="000000"/>
          <w:shd w:val="clear" w:color="auto" w:fill="FFFFFF"/>
          <w:lang w:val="fr-FR"/>
        </w:rPr>
        <w:t>dans le cas de</w:t>
      </w:r>
      <w:r w:rsidRPr="00D6139E">
        <w:rPr>
          <w:color w:val="000000"/>
          <w:shd w:val="clear" w:color="auto" w:fill="FFFFFF"/>
          <w:lang w:val="fr-FR"/>
        </w:rPr>
        <w:t xml:space="preserve"> substances inflammables et explosives.</w:t>
      </w:r>
      <w:r w:rsidRPr="00714F80">
        <w:rPr>
          <w:color w:val="000000"/>
          <w:shd w:val="clear" w:color="auto" w:fill="FFFFFF"/>
          <w:lang w:val="fr-CA"/>
        </w:rPr>
        <w:t xml:space="preserve"> </w:t>
      </w:r>
      <w:r w:rsidRPr="00D6139E">
        <w:rPr>
          <w:color w:val="000000"/>
          <w:shd w:val="clear" w:color="auto" w:fill="FFFFFF"/>
          <w:lang w:val="fr-FR"/>
        </w:rPr>
        <w:t>D</w:t>
      </w:r>
      <w:r w:rsidR="00F5401A">
        <w:rPr>
          <w:color w:val="000000"/>
          <w:shd w:val="clear" w:color="auto" w:fill="FFFFFF"/>
          <w:lang w:val="fr-FR"/>
        </w:rPr>
        <w:t>’</w:t>
      </w:r>
      <w:r w:rsidRPr="00D6139E">
        <w:rPr>
          <w:color w:val="000000"/>
          <w:shd w:val="clear" w:color="auto" w:fill="FFFFFF"/>
          <w:lang w:val="fr-FR"/>
        </w:rPr>
        <w:t xml:space="preserve">autres enseignements découlant du renforcement des capacités </w:t>
      </w:r>
      <w:r w:rsidR="009F2E66">
        <w:rPr>
          <w:color w:val="000000"/>
          <w:shd w:val="clear" w:color="auto" w:fill="FFFFFF"/>
          <w:lang w:val="fr-FR"/>
        </w:rPr>
        <w:t>pour les</w:t>
      </w:r>
      <w:r w:rsidR="00F5401A">
        <w:rPr>
          <w:color w:val="000000"/>
          <w:shd w:val="clear" w:color="auto" w:fill="FFFFFF"/>
          <w:lang w:val="fr-FR"/>
        </w:rPr>
        <w:t> </w:t>
      </w:r>
      <w:r w:rsidRPr="00D6139E">
        <w:rPr>
          <w:color w:val="000000"/>
          <w:shd w:val="clear" w:color="auto" w:fill="FFFFFF"/>
          <w:lang w:val="fr-FR"/>
        </w:rPr>
        <w:t>utilisateurs finaux ont été tirés de la complexité de la planification de la formation, car les utilisateurs finaux doivent d</w:t>
      </w:r>
      <w:r w:rsidR="00F5401A">
        <w:rPr>
          <w:color w:val="000000"/>
          <w:shd w:val="clear" w:color="auto" w:fill="FFFFFF"/>
          <w:lang w:val="fr-FR"/>
        </w:rPr>
        <w:t>’</w:t>
      </w:r>
      <w:r w:rsidRPr="00D6139E">
        <w:rPr>
          <w:color w:val="000000"/>
          <w:shd w:val="clear" w:color="auto" w:fill="FFFFFF"/>
          <w:lang w:val="fr-FR"/>
        </w:rPr>
        <w:t>abord utiliser les équipements afin d</w:t>
      </w:r>
      <w:r w:rsidR="00F5401A">
        <w:rPr>
          <w:color w:val="000000"/>
          <w:shd w:val="clear" w:color="auto" w:fill="FFFFFF"/>
          <w:lang w:val="fr-FR"/>
        </w:rPr>
        <w:t>’</w:t>
      </w:r>
      <w:r w:rsidRPr="00D6139E">
        <w:rPr>
          <w:color w:val="000000"/>
          <w:shd w:val="clear" w:color="auto" w:fill="FFFFFF"/>
          <w:lang w:val="fr-FR"/>
        </w:rPr>
        <w:t>évaluer leurs besoins de formation.</w:t>
      </w:r>
      <w:r w:rsidRPr="00714F80">
        <w:rPr>
          <w:color w:val="000000"/>
          <w:shd w:val="clear" w:color="auto" w:fill="FFFFFF"/>
          <w:lang w:val="fr-CA"/>
        </w:rPr>
        <w:t xml:space="preserve"> </w:t>
      </w:r>
      <w:r w:rsidRPr="00D6139E">
        <w:rPr>
          <w:color w:val="000000"/>
          <w:shd w:val="clear" w:color="auto" w:fill="FFFFFF"/>
          <w:lang w:val="fr-FR"/>
        </w:rPr>
        <w:t>Un pays a utilisé le principe de flexibilité pour fournir une formation supplémentaire et répondre aux besoins des utilisateurs finaux ; le défi était d</w:t>
      </w:r>
      <w:r w:rsidR="00F5401A">
        <w:rPr>
          <w:color w:val="000000"/>
          <w:shd w:val="clear" w:color="auto" w:fill="FFFFFF"/>
          <w:lang w:val="fr-FR"/>
        </w:rPr>
        <w:t>’</w:t>
      </w:r>
      <w:r w:rsidRPr="00D6139E">
        <w:rPr>
          <w:color w:val="000000"/>
          <w:shd w:val="clear" w:color="auto" w:fill="FFFFFF"/>
          <w:lang w:val="fr-FR"/>
        </w:rPr>
        <w:t>assurer un soutien technique immédiat après la mise en service et la production d</w:t>
      </w:r>
      <w:r w:rsidR="00F5401A">
        <w:rPr>
          <w:color w:val="000000"/>
          <w:shd w:val="clear" w:color="auto" w:fill="FFFFFF"/>
          <w:lang w:val="fr-FR"/>
        </w:rPr>
        <w:t>’</w:t>
      </w:r>
      <w:r w:rsidRPr="00D6139E">
        <w:rPr>
          <w:color w:val="000000"/>
          <w:shd w:val="clear" w:color="auto" w:fill="FFFFFF"/>
          <w:lang w:val="fr-FR"/>
        </w:rPr>
        <w:t>essai, et la formation principale pour le secteur des mousses dans une deuxième phase.</w:t>
      </w:r>
    </w:p>
    <w:p w14:paraId="4073E2B3" w14:textId="4367FE7E" w:rsidR="00A3695F" w:rsidRPr="00714F80" w:rsidRDefault="00A3695F" w:rsidP="00A3695F">
      <w:pPr>
        <w:pStyle w:val="Heading1"/>
        <w:widowControl w:val="0"/>
        <w:numPr>
          <w:ilvl w:val="0"/>
          <w:numId w:val="21"/>
        </w:numPr>
        <w:spacing w:before="240"/>
        <w:rPr>
          <w:color w:val="000000"/>
          <w:lang w:val="fr-CA"/>
        </w:rPr>
      </w:pPr>
      <w:r w:rsidRPr="00A3695F">
        <w:rPr>
          <w:color w:val="000000"/>
          <w:shd w:val="clear" w:color="auto" w:fill="FFFFFF"/>
          <w:lang w:val="fr-FR"/>
        </w:rPr>
        <w:t>Un pays a mentionné les impacts positifs des projets de reconversion, qui ont été indiqués par les entreprises bénéficiaires comme permettant de produire des produits de meilleure qualité avec des surcoûts d</w:t>
      </w:r>
      <w:r w:rsidR="00F5401A">
        <w:rPr>
          <w:color w:val="000000"/>
          <w:shd w:val="clear" w:color="auto" w:fill="FFFFFF"/>
          <w:lang w:val="fr-FR"/>
        </w:rPr>
        <w:t>’</w:t>
      </w:r>
      <w:r w:rsidRPr="00A3695F">
        <w:rPr>
          <w:color w:val="000000"/>
          <w:shd w:val="clear" w:color="auto" w:fill="FFFFFF"/>
          <w:lang w:val="fr-FR"/>
        </w:rPr>
        <w:t>exploitation négligeables.</w:t>
      </w:r>
      <w:r w:rsidRPr="00714F80">
        <w:rPr>
          <w:color w:val="000000"/>
          <w:shd w:val="clear" w:color="auto" w:fill="FFFFFF"/>
          <w:lang w:val="fr-CA"/>
        </w:rPr>
        <w:t xml:space="preserve"> </w:t>
      </w:r>
      <w:r w:rsidRPr="00A3695F">
        <w:rPr>
          <w:color w:val="000000"/>
          <w:shd w:val="clear" w:color="auto" w:fill="FFFFFF"/>
          <w:lang w:val="fr-FR"/>
        </w:rPr>
        <w:t xml:space="preserve">Cependant, la disponibilité et le prix de la technologie jouent un rôle clé pour </w:t>
      </w:r>
      <w:r w:rsidR="009F2E66">
        <w:rPr>
          <w:color w:val="000000"/>
          <w:shd w:val="clear" w:color="auto" w:fill="FFFFFF"/>
          <w:lang w:val="fr-FR"/>
        </w:rPr>
        <w:t xml:space="preserve">en </w:t>
      </w:r>
      <w:r w:rsidRPr="00A3695F">
        <w:rPr>
          <w:color w:val="000000"/>
          <w:shd w:val="clear" w:color="auto" w:fill="FFFFFF"/>
          <w:lang w:val="fr-FR"/>
        </w:rPr>
        <w:t>assurer la pérennité.</w:t>
      </w:r>
      <w:r w:rsidRPr="00714F80">
        <w:rPr>
          <w:color w:val="000000"/>
          <w:shd w:val="clear" w:color="auto" w:fill="FFFFFF"/>
          <w:lang w:val="fr-CA"/>
        </w:rPr>
        <w:t xml:space="preserve"> </w:t>
      </w:r>
      <w:r w:rsidRPr="00A3695F">
        <w:rPr>
          <w:color w:val="000000"/>
          <w:shd w:val="clear" w:color="auto" w:fill="FFFFFF"/>
          <w:lang w:val="fr-FR"/>
        </w:rPr>
        <w:t>À titre d</w:t>
      </w:r>
      <w:r w:rsidR="00F5401A">
        <w:rPr>
          <w:color w:val="000000"/>
          <w:shd w:val="clear" w:color="auto" w:fill="FFFFFF"/>
          <w:lang w:val="fr-FR"/>
        </w:rPr>
        <w:t>’</w:t>
      </w:r>
      <w:r w:rsidRPr="00A3695F">
        <w:rPr>
          <w:color w:val="000000"/>
          <w:shd w:val="clear" w:color="auto" w:fill="FFFFFF"/>
          <w:lang w:val="fr-FR"/>
        </w:rPr>
        <w:t xml:space="preserve">exemple, un pays a dû arrêter le projet en raison de </w:t>
      </w:r>
      <w:r w:rsidRPr="00A3695F">
        <w:rPr>
          <w:color w:val="000000"/>
          <w:shd w:val="clear" w:color="auto" w:fill="FFFFFF"/>
          <w:lang w:val="fr-FR"/>
        </w:rPr>
        <w:lastRenderedPageBreak/>
        <w:t>l</w:t>
      </w:r>
      <w:r w:rsidR="00F5401A">
        <w:rPr>
          <w:color w:val="000000"/>
          <w:shd w:val="clear" w:color="auto" w:fill="FFFFFF"/>
          <w:lang w:val="fr-FR"/>
        </w:rPr>
        <w:t>’</w:t>
      </w:r>
      <w:r w:rsidRPr="00A3695F">
        <w:rPr>
          <w:color w:val="000000"/>
          <w:shd w:val="clear" w:color="auto" w:fill="FFFFFF"/>
          <w:lang w:val="fr-FR"/>
        </w:rPr>
        <w:t>indisponibilité des substances de remplacement.</w:t>
      </w:r>
      <w:r w:rsidRPr="00714F80">
        <w:rPr>
          <w:color w:val="000000"/>
          <w:shd w:val="clear" w:color="auto" w:fill="FFFFFF"/>
          <w:lang w:val="fr-CA"/>
        </w:rPr>
        <w:t xml:space="preserve"> </w:t>
      </w:r>
      <w:r w:rsidRPr="00A3695F">
        <w:rPr>
          <w:color w:val="000000"/>
          <w:shd w:val="clear" w:color="auto" w:fill="FFFFFF"/>
          <w:lang w:val="fr-FR"/>
        </w:rPr>
        <w:t>De même, les frigorigènes à base d</w:t>
      </w:r>
      <w:r w:rsidR="00F5401A">
        <w:rPr>
          <w:color w:val="000000"/>
          <w:shd w:val="clear" w:color="auto" w:fill="FFFFFF"/>
          <w:lang w:val="fr-FR"/>
        </w:rPr>
        <w:t>’</w:t>
      </w:r>
      <w:r w:rsidRPr="00A3695F">
        <w:rPr>
          <w:color w:val="000000"/>
          <w:shd w:val="clear" w:color="auto" w:fill="FFFFFF"/>
          <w:lang w:val="fr-FR"/>
        </w:rPr>
        <w:t xml:space="preserve">hydrocarbures gagnent en popularité dans certains pays, </w:t>
      </w:r>
      <w:r w:rsidR="009F2E66">
        <w:rPr>
          <w:color w:val="000000"/>
          <w:shd w:val="clear" w:color="auto" w:fill="FFFFFF"/>
          <w:lang w:val="fr-FR"/>
        </w:rPr>
        <w:t>bien que</w:t>
      </w:r>
      <w:r w:rsidR="00F5401A">
        <w:rPr>
          <w:color w:val="000000"/>
          <w:shd w:val="clear" w:color="auto" w:fill="FFFFFF"/>
          <w:lang w:val="fr-FR"/>
        </w:rPr>
        <w:t> </w:t>
      </w:r>
      <w:r w:rsidRPr="00A3695F">
        <w:rPr>
          <w:color w:val="000000"/>
          <w:shd w:val="clear" w:color="auto" w:fill="FFFFFF"/>
          <w:lang w:val="fr-FR"/>
        </w:rPr>
        <w:t xml:space="preserve">la croissance continue de leur utilisation </w:t>
      </w:r>
      <w:r w:rsidR="009F2E66">
        <w:rPr>
          <w:color w:val="000000"/>
          <w:shd w:val="clear" w:color="auto" w:fill="FFFFFF"/>
          <w:lang w:val="fr-FR"/>
        </w:rPr>
        <w:t>risque d</w:t>
      </w:r>
      <w:r w:rsidR="00F5401A">
        <w:rPr>
          <w:color w:val="000000"/>
          <w:shd w:val="clear" w:color="auto" w:fill="FFFFFF"/>
          <w:lang w:val="fr-FR"/>
        </w:rPr>
        <w:t>’</w:t>
      </w:r>
      <w:r w:rsidR="009F2E66">
        <w:rPr>
          <w:color w:val="000000"/>
          <w:shd w:val="clear" w:color="auto" w:fill="FFFFFF"/>
          <w:lang w:val="fr-FR"/>
        </w:rPr>
        <w:t>être</w:t>
      </w:r>
      <w:r w:rsidRPr="00A3695F">
        <w:rPr>
          <w:color w:val="000000"/>
          <w:shd w:val="clear" w:color="auto" w:fill="FFFFFF"/>
          <w:lang w:val="fr-FR"/>
        </w:rPr>
        <w:t xml:space="preserve"> entravée par le manque d</w:t>
      </w:r>
      <w:r w:rsidR="00F5401A">
        <w:rPr>
          <w:color w:val="000000"/>
          <w:shd w:val="clear" w:color="auto" w:fill="FFFFFF"/>
          <w:lang w:val="fr-FR"/>
        </w:rPr>
        <w:t>’</w:t>
      </w:r>
      <w:r w:rsidRPr="00A3695F">
        <w:rPr>
          <w:color w:val="000000"/>
          <w:shd w:val="clear" w:color="auto" w:fill="FFFFFF"/>
          <w:lang w:val="fr-FR"/>
        </w:rPr>
        <w:t>approvisionnement fiable et régulier pour les besoins d</w:t>
      </w:r>
      <w:r w:rsidR="00F5401A">
        <w:rPr>
          <w:color w:val="000000"/>
          <w:shd w:val="clear" w:color="auto" w:fill="FFFFFF"/>
          <w:lang w:val="fr-FR"/>
        </w:rPr>
        <w:t>’</w:t>
      </w:r>
      <w:r w:rsidRPr="00A3695F">
        <w:rPr>
          <w:color w:val="000000"/>
          <w:shd w:val="clear" w:color="auto" w:fill="FFFFFF"/>
          <w:lang w:val="fr-FR"/>
        </w:rPr>
        <w:t>entretien.</w:t>
      </w:r>
      <w:r w:rsidRPr="00714F80">
        <w:rPr>
          <w:color w:val="000000"/>
          <w:shd w:val="clear" w:color="auto" w:fill="FFFFFF"/>
          <w:lang w:val="fr-CA"/>
        </w:rPr>
        <w:t xml:space="preserve"> </w:t>
      </w:r>
      <w:r w:rsidRPr="00A3695F">
        <w:rPr>
          <w:color w:val="000000"/>
          <w:shd w:val="clear" w:color="auto" w:fill="FFFFFF"/>
          <w:lang w:val="fr-FR"/>
        </w:rPr>
        <w:t>Dans le secteur des mousses, l</w:t>
      </w:r>
      <w:r w:rsidR="00F5401A">
        <w:rPr>
          <w:color w:val="000000"/>
          <w:shd w:val="clear" w:color="auto" w:fill="FFFFFF"/>
          <w:lang w:val="fr-FR"/>
        </w:rPr>
        <w:t>’</w:t>
      </w:r>
      <w:r w:rsidRPr="00A3695F">
        <w:rPr>
          <w:color w:val="000000"/>
          <w:shd w:val="clear" w:color="auto" w:fill="FFFFFF"/>
          <w:lang w:val="fr-FR"/>
        </w:rPr>
        <w:t xml:space="preserve">efficacité opérationnelle </w:t>
      </w:r>
      <w:r w:rsidR="009F2E66">
        <w:rPr>
          <w:color w:val="000000"/>
          <w:shd w:val="clear" w:color="auto" w:fill="FFFFFF"/>
          <w:lang w:val="fr-FR"/>
        </w:rPr>
        <w:t xml:space="preserve">élevée </w:t>
      </w:r>
      <w:r w:rsidRPr="00A3695F">
        <w:rPr>
          <w:color w:val="000000"/>
          <w:shd w:val="clear" w:color="auto" w:fill="FFFFFF"/>
          <w:lang w:val="fr-FR"/>
        </w:rPr>
        <w:t xml:space="preserve">de la technologie à base du formiate de méthyle par rapport à la fabrication de base est attrayante, mais la disponibilité du HCFC-141b rend les formules de mousse meilleur marché et menace </w:t>
      </w:r>
      <w:r w:rsidR="009F2E66">
        <w:rPr>
          <w:color w:val="000000"/>
          <w:shd w:val="clear" w:color="auto" w:fill="FFFFFF"/>
          <w:lang w:val="fr-FR"/>
        </w:rPr>
        <w:t>l</w:t>
      </w:r>
      <w:r w:rsidRPr="00A3695F">
        <w:rPr>
          <w:color w:val="000000"/>
          <w:shd w:val="clear" w:color="auto" w:fill="FFFFFF"/>
          <w:lang w:val="fr-FR"/>
        </w:rPr>
        <w:t>a durabilité.</w:t>
      </w:r>
      <w:r w:rsidRPr="00714F80">
        <w:rPr>
          <w:color w:val="000000"/>
          <w:shd w:val="clear" w:color="auto" w:fill="FFFFFF"/>
          <w:lang w:val="fr-CA"/>
        </w:rPr>
        <w:t xml:space="preserve"> </w:t>
      </w:r>
      <w:r w:rsidRPr="00A3695F">
        <w:rPr>
          <w:color w:val="000000"/>
          <w:shd w:val="clear" w:color="auto" w:fill="FFFFFF"/>
          <w:lang w:val="fr-FR"/>
        </w:rPr>
        <w:t xml:space="preserve">Une solution suggérée pour </w:t>
      </w:r>
      <w:r w:rsidR="009F2E66">
        <w:rPr>
          <w:color w:val="000000"/>
          <w:shd w:val="clear" w:color="auto" w:fill="FFFFFF"/>
          <w:lang w:val="fr-FR"/>
        </w:rPr>
        <w:t>stimuler cette dernière</w:t>
      </w:r>
      <w:r w:rsidRPr="00A3695F">
        <w:rPr>
          <w:color w:val="000000"/>
          <w:shd w:val="clear" w:color="auto" w:fill="FFFFFF"/>
          <w:lang w:val="fr-FR"/>
        </w:rPr>
        <w:t>, serait la création d</w:t>
      </w:r>
      <w:r w:rsidR="00F5401A">
        <w:rPr>
          <w:color w:val="000000"/>
          <w:shd w:val="clear" w:color="auto" w:fill="FFFFFF"/>
          <w:lang w:val="fr-FR"/>
        </w:rPr>
        <w:t>’</w:t>
      </w:r>
      <w:r w:rsidRPr="00A3695F">
        <w:rPr>
          <w:color w:val="000000"/>
          <w:shd w:val="clear" w:color="auto" w:fill="FFFFFF"/>
          <w:lang w:val="fr-FR"/>
        </w:rPr>
        <w:t>une entreprise de formulations à base de formiate de méthyle dans le pays voisin.</w:t>
      </w:r>
    </w:p>
    <w:p w14:paraId="1E740F5F" w14:textId="5F970158" w:rsidR="00A3695F" w:rsidRPr="00714F80" w:rsidRDefault="00A3695F" w:rsidP="00BF00A8">
      <w:pPr>
        <w:pStyle w:val="Heading1"/>
        <w:widowControl w:val="0"/>
        <w:numPr>
          <w:ilvl w:val="0"/>
          <w:numId w:val="21"/>
        </w:numPr>
        <w:spacing w:before="240"/>
        <w:rPr>
          <w:color w:val="000000"/>
          <w:shd w:val="clear" w:color="auto" w:fill="FFFFFF"/>
          <w:lang w:val="fr-CA"/>
        </w:rPr>
      </w:pPr>
      <w:r w:rsidRPr="00A3695F">
        <w:rPr>
          <w:color w:val="000000"/>
          <w:shd w:val="clear" w:color="auto" w:fill="FFFFFF"/>
          <w:lang w:val="fr-FR"/>
        </w:rPr>
        <w:t>L</w:t>
      </w:r>
      <w:r w:rsidR="00F5401A">
        <w:rPr>
          <w:color w:val="000000"/>
          <w:shd w:val="clear" w:color="auto" w:fill="FFFFFF"/>
          <w:lang w:val="fr-FR"/>
        </w:rPr>
        <w:t>’</w:t>
      </w:r>
      <w:r w:rsidRPr="00A3695F">
        <w:rPr>
          <w:color w:val="000000"/>
          <w:shd w:val="clear" w:color="auto" w:fill="FFFFFF"/>
          <w:lang w:val="fr-FR"/>
        </w:rPr>
        <w:t>importation coûteuse d</w:t>
      </w:r>
      <w:r w:rsidR="00F5401A">
        <w:rPr>
          <w:color w:val="000000"/>
          <w:shd w:val="clear" w:color="auto" w:fill="FFFFFF"/>
          <w:lang w:val="fr-FR"/>
        </w:rPr>
        <w:t>’</w:t>
      </w:r>
      <w:r w:rsidRPr="00A3695F">
        <w:rPr>
          <w:color w:val="000000"/>
          <w:shd w:val="clear" w:color="auto" w:fill="FFFFFF"/>
          <w:lang w:val="fr-FR"/>
        </w:rPr>
        <w:t>équipements empêche également l</w:t>
      </w:r>
      <w:r w:rsidR="00F5401A">
        <w:rPr>
          <w:color w:val="000000"/>
          <w:shd w:val="clear" w:color="auto" w:fill="FFFFFF"/>
          <w:lang w:val="fr-FR"/>
        </w:rPr>
        <w:t>’</w:t>
      </w:r>
      <w:r w:rsidRPr="00A3695F">
        <w:rPr>
          <w:color w:val="000000"/>
          <w:shd w:val="clear" w:color="auto" w:fill="FFFFFF"/>
          <w:lang w:val="fr-FR"/>
        </w:rPr>
        <w:t>introduction de certaines technologies, jusqu</w:t>
      </w:r>
      <w:r w:rsidR="00F5401A">
        <w:rPr>
          <w:color w:val="000000"/>
          <w:shd w:val="clear" w:color="auto" w:fill="FFFFFF"/>
          <w:lang w:val="fr-FR"/>
        </w:rPr>
        <w:t>’</w:t>
      </w:r>
      <w:r w:rsidRPr="00A3695F">
        <w:rPr>
          <w:color w:val="000000"/>
          <w:shd w:val="clear" w:color="auto" w:fill="FFFFFF"/>
          <w:lang w:val="fr-FR"/>
        </w:rPr>
        <w:t>à ce que les fabricants locaux commencent à produire des équipements à faible PRP, ce qui réduira, il faut espérer, le coût moyen et accroîtra les connaissances relatives aux nouvelles solutions de remplacement dans le secteur de l</w:t>
      </w:r>
      <w:r w:rsidR="00F5401A">
        <w:rPr>
          <w:color w:val="000000"/>
          <w:shd w:val="clear" w:color="auto" w:fill="FFFFFF"/>
          <w:lang w:val="fr-FR"/>
        </w:rPr>
        <w:t>’</w:t>
      </w:r>
      <w:r w:rsidRPr="00A3695F">
        <w:rPr>
          <w:color w:val="000000"/>
          <w:shd w:val="clear" w:color="auto" w:fill="FFFFFF"/>
          <w:lang w:val="fr-FR"/>
        </w:rPr>
        <w:t>entretien.</w:t>
      </w:r>
      <w:r w:rsidRPr="00714F80">
        <w:rPr>
          <w:color w:val="000000"/>
          <w:lang w:val="fr-CA"/>
        </w:rPr>
        <w:t xml:space="preserve"> </w:t>
      </w:r>
      <w:r w:rsidRPr="00A3695F">
        <w:rPr>
          <w:color w:val="000000"/>
          <w:shd w:val="clear" w:color="auto" w:fill="FFFFFF"/>
          <w:lang w:val="fr-FR"/>
        </w:rPr>
        <w:t>Un pays a noté un long processus de dédouanement pour les envois de l</w:t>
      </w:r>
      <w:r w:rsidR="00F5401A">
        <w:rPr>
          <w:color w:val="000000"/>
          <w:shd w:val="clear" w:color="auto" w:fill="FFFFFF"/>
          <w:lang w:val="fr-FR"/>
        </w:rPr>
        <w:t>’</w:t>
      </w:r>
      <w:r w:rsidRPr="00A3695F">
        <w:rPr>
          <w:color w:val="000000"/>
          <w:shd w:val="clear" w:color="auto" w:fill="FFFFFF"/>
          <w:lang w:val="fr-FR"/>
        </w:rPr>
        <w:t>ONU, entraîn</w:t>
      </w:r>
      <w:r w:rsidR="009F2E66">
        <w:rPr>
          <w:color w:val="000000"/>
          <w:shd w:val="clear" w:color="auto" w:fill="FFFFFF"/>
          <w:lang w:val="fr-FR"/>
        </w:rPr>
        <w:t>ant</w:t>
      </w:r>
      <w:r w:rsidRPr="00A3695F">
        <w:rPr>
          <w:color w:val="000000"/>
          <w:shd w:val="clear" w:color="auto" w:fill="FFFFFF"/>
          <w:lang w:val="fr-FR"/>
        </w:rPr>
        <w:t xml:space="preserve"> des frais d</w:t>
      </w:r>
      <w:r w:rsidR="00F5401A">
        <w:rPr>
          <w:color w:val="000000"/>
          <w:shd w:val="clear" w:color="auto" w:fill="FFFFFF"/>
          <w:lang w:val="fr-FR"/>
        </w:rPr>
        <w:t>’</w:t>
      </w:r>
      <w:r w:rsidR="003A6564">
        <w:rPr>
          <w:color w:val="000000"/>
          <w:shd w:val="clear" w:color="auto" w:fill="FFFFFF"/>
          <w:lang w:val="fr-FR"/>
        </w:rPr>
        <w:t>entreposage</w:t>
      </w:r>
      <w:r w:rsidRPr="00A3695F">
        <w:rPr>
          <w:color w:val="000000"/>
          <w:shd w:val="clear" w:color="auto" w:fill="FFFFFF"/>
          <w:lang w:val="fr-FR"/>
        </w:rPr>
        <w:t xml:space="preserve"> élevés.</w:t>
      </w:r>
      <w:r w:rsidRPr="00714F80">
        <w:rPr>
          <w:color w:val="000000"/>
          <w:shd w:val="clear" w:color="auto" w:fill="FFFFFF"/>
          <w:lang w:val="fr-CA"/>
        </w:rPr>
        <w:t xml:space="preserve"> </w:t>
      </w:r>
      <w:r w:rsidR="00BF00A8" w:rsidRPr="00BF00A8">
        <w:rPr>
          <w:color w:val="000000"/>
          <w:shd w:val="clear" w:color="auto" w:fill="FFFFFF"/>
          <w:lang w:val="fr-FR"/>
        </w:rPr>
        <w:t>Dans un autre cas, le dédouanement retardé</w:t>
      </w:r>
      <w:r w:rsidR="003A6564">
        <w:rPr>
          <w:color w:val="000000"/>
          <w:shd w:val="clear" w:color="auto" w:fill="FFFFFF"/>
          <w:lang w:val="fr-FR"/>
        </w:rPr>
        <w:t>,</w:t>
      </w:r>
      <w:r w:rsidR="00BF00A8" w:rsidRPr="00BF00A8">
        <w:rPr>
          <w:color w:val="000000"/>
          <w:shd w:val="clear" w:color="auto" w:fill="FFFFFF"/>
          <w:lang w:val="fr-FR"/>
        </w:rPr>
        <w:t xml:space="preserve"> combiné à d</w:t>
      </w:r>
      <w:r w:rsidR="00F5401A">
        <w:rPr>
          <w:color w:val="000000"/>
          <w:shd w:val="clear" w:color="auto" w:fill="FFFFFF"/>
          <w:lang w:val="fr-FR"/>
        </w:rPr>
        <w:t>’</w:t>
      </w:r>
      <w:r w:rsidR="00BF00A8" w:rsidRPr="00BF00A8">
        <w:rPr>
          <w:color w:val="000000"/>
          <w:shd w:val="clear" w:color="auto" w:fill="FFFFFF"/>
          <w:lang w:val="fr-FR"/>
        </w:rPr>
        <w:t xml:space="preserve">importants retards du côté des fournisseurs, a entraîné </w:t>
      </w:r>
      <w:r w:rsidR="003A6564">
        <w:rPr>
          <w:color w:val="000000"/>
          <w:shd w:val="clear" w:color="auto" w:fill="FFFFFF"/>
          <w:lang w:val="fr-FR"/>
        </w:rPr>
        <w:t xml:space="preserve">un report </w:t>
      </w:r>
      <w:r w:rsidR="00BF00A8" w:rsidRPr="00BF00A8">
        <w:rPr>
          <w:color w:val="000000"/>
          <w:shd w:val="clear" w:color="auto" w:fill="FFFFFF"/>
          <w:lang w:val="fr-FR"/>
        </w:rPr>
        <w:t>du</w:t>
      </w:r>
      <w:r w:rsidR="00F5401A">
        <w:rPr>
          <w:color w:val="000000"/>
          <w:shd w:val="clear" w:color="auto" w:fill="FFFFFF"/>
          <w:lang w:val="fr-FR"/>
        </w:rPr>
        <w:t> </w:t>
      </w:r>
      <w:r w:rsidR="00BF00A8" w:rsidRPr="00BF00A8">
        <w:rPr>
          <w:color w:val="000000"/>
          <w:shd w:val="clear" w:color="auto" w:fill="FFFFFF"/>
          <w:lang w:val="fr-FR"/>
        </w:rPr>
        <w:t>projet</w:t>
      </w:r>
      <w:r w:rsidR="003A6564">
        <w:rPr>
          <w:color w:val="000000"/>
          <w:shd w:val="clear" w:color="auto" w:fill="FFFFFF"/>
          <w:lang w:val="fr-FR"/>
        </w:rPr>
        <w:t xml:space="preserve"> allant jusqu</w:t>
      </w:r>
      <w:r w:rsidR="00F5401A">
        <w:rPr>
          <w:color w:val="000000"/>
          <w:shd w:val="clear" w:color="auto" w:fill="FFFFFF"/>
          <w:lang w:val="fr-FR"/>
        </w:rPr>
        <w:t>’</w:t>
      </w:r>
      <w:r w:rsidR="003A6564">
        <w:rPr>
          <w:color w:val="000000"/>
          <w:shd w:val="clear" w:color="auto" w:fill="FFFFFF"/>
          <w:lang w:val="fr-FR"/>
        </w:rPr>
        <w:t>à trois ans</w:t>
      </w:r>
      <w:r w:rsidR="00BF00A8" w:rsidRPr="00BF00A8">
        <w:rPr>
          <w:color w:val="000000"/>
          <w:shd w:val="clear" w:color="auto" w:fill="FFFFFF"/>
          <w:lang w:val="fr-FR"/>
        </w:rPr>
        <w:t>.</w:t>
      </w:r>
    </w:p>
    <w:p w14:paraId="4A8EBF06" w14:textId="6CE55588" w:rsidR="00BF00A8" w:rsidRPr="00714F80" w:rsidRDefault="00BF00A8" w:rsidP="00BF00A8">
      <w:pPr>
        <w:pStyle w:val="Heading1"/>
        <w:widowControl w:val="0"/>
        <w:numPr>
          <w:ilvl w:val="0"/>
          <w:numId w:val="21"/>
        </w:numPr>
        <w:spacing w:before="240"/>
        <w:rPr>
          <w:lang w:val="fr-CA"/>
        </w:rPr>
      </w:pPr>
      <w:r w:rsidRPr="00BF00A8">
        <w:rPr>
          <w:color w:val="000000"/>
          <w:shd w:val="clear" w:color="auto" w:fill="FFFFFF"/>
          <w:lang w:val="fr-FR"/>
        </w:rPr>
        <w:t>Les programmes de récupération et de recyclage pourraient bénéficier d</w:t>
      </w:r>
      <w:r w:rsidR="00F5401A">
        <w:rPr>
          <w:color w:val="000000"/>
          <w:shd w:val="clear" w:color="auto" w:fill="FFFFFF"/>
          <w:lang w:val="fr-FR"/>
        </w:rPr>
        <w:t>’</w:t>
      </w:r>
      <w:r w:rsidRPr="00BF00A8">
        <w:rPr>
          <w:color w:val="000000"/>
          <w:shd w:val="clear" w:color="auto" w:fill="FFFFFF"/>
          <w:lang w:val="fr-FR"/>
        </w:rPr>
        <w:t>une évaluation à l</w:t>
      </w:r>
      <w:r w:rsidR="00F5401A">
        <w:rPr>
          <w:color w:val="000000"/>
          <w:shd w:val="clear" w:color="auto" w:fill="FFFFFF"/>
          <w:lang w:val="fr-FR"/>
        </w:rPr>
        <w:t>’</w:t>
      </w:r>
      <w:r w:rsidRPr="00BF00A8">
        <w:rPr>
          <w:color w:val="000000"/>
          <w:shd w:val="clear" w:color="auto" w:fill="FFFFFF"/>
          <w:lang w:val="fr-FR"/>
        </w:rPr>
        <w:t>échelle nationale et de la création d</w:t>
      </w:r>
      <w:r w:rsidR="00F5401A">
        <w:rPr>
          <w:color w:val="000000"/>
          <w:shd w:val="clear" w:color="auto" w:fill="FFFFFF"/>
          <w:lang w:val="fr-FR"/>
        </w:rPr>
        <w:t>’</w:t>
      </w:r>
      <w:r w:rsidRPr="00BF00A8">
        <w:rPr>
          <w:color w:val="000000"/>
          <w:shd w:val="clear" w:color="auto" w:fill="FFFFFF"/>
          <w:lang w:val="fr-FR"/>
        </w:rPr>
        <w:t xml:space="preserve">un programme national de récupération pour soutenir les </w:t>
      </w:r>
      <w:r w:rsidRPr="00BF00A8">
        <w:rPr>
          <w:shd w:val="clear" w:color="auto" w:fill="FFFFFF"/>
          <w:lang w:val="fr-FR"/>
        </w:rPr>
        <w:t>entreprises d</w:t>
      </w:r>
      <w:r w:rsidR="00F5401A">
        <w:rPr>
          <w:shd w:val="clear" w:color="auto" w:fill="FFFFFF"/>
          <w:lang w:val="fr-FR"/>
        </w:rPr>
        <w:t>’</w:t>
      </w:r>
      <w:r w:rsidRPr="00BF00A8">
        <w:rPr>
          <w:shd w:val="clear" w:color="auto" w:fill="FFFFFF"/>
          <w:lang w:val="fr-FR"/>
        </w:rPr>
        <w:t>entretien</w:t>
      </w:r>
      <w:r w:rsidRPr="00BF00A8">
        <w:rPr>
          <w:color w:val="000000"/>
          <w:shd w:val="clear" w:color="auto" w:fill="FFFFFF"/>
          <w:lang w:val="fr-FR"/>
        </w:rPr>
        <w:t xml:space="preserve"> utilisant les infrastructures en place, et les guider à travers les différentes mesures législatives</w:t>
      </w:r>
      <w:r w:rsidRPr="00BF00A8">
        <w:rPr>
          <w:shd w:val="clear" w:color="auto" w:fill="FFFFFF"/>
          <w:lang w:val="fr-FR"/>
        </w:rPr>
        <w:t>.</w:t>
      </w:r>
      <w:r w:rsidRPr="00714F80">
        <w:rPr>
          <w:lang w:val="fr-CA"/>
        </w:rPr>
        <w:t xml:space="preserve"> </w:t>
      </w:r>
    </w:p>
    <w:p w14:paraId="1099C093" w14:textId="2322D052" w:rsidR="005C15FE" w:rsidRPr="00714F80" w:rsidRDefault="00BF00A8" w:rsidP="005C15FE">
      <w:pPr>
        <w:pStyle w:val="Heading1"/>
        <w:widowControl w:val="0"/>
        <w:numPr>
          <w:ilvl w:val="0"/>
          <w:numId w:val="21"/>
        </w:numPr>
        <w:spacing w:before="240"/>
        <w:rPr>
          <w:rStyle w:val="tw4winMark"/>
          <w:rFonts w:ascii="Times New Roman" w:hAnsi="Times New Roman" w:cs="Times New Roman"/>
          <w:noProof w:val="0"/>
          <w:vanish w:val="0"/>
          <w:color w:val="000000"/>
          <w:kern w:val="0"/>
          <w:sz w:val="22"/>
          <w:shd w:val="clear" w:color="auto" w:fill="FFFFFF"/>
          <w:vertAlign w:val="baseline"/>
          <w:lang w:val="fr-CA"/>
        </w:rPr>
      </w:pPr>
      <w:r w:rsidRPr="00BF00A8">
        <w:rPr>
          <w:lang w:val="fr-FR"/>
        </w:rPr>
        <w:t>Les enseignements tirés des cadres politiques et réglementaires concernaient l</w:t>
      </w:r>
      <w:r w:rsidR="00F5401A">
        <w:rPr>
          <w:lang w:val="fr-FR"/>
        </w:rPr>
        <w:t>’</w:t>
      </w:r>
      <w:r w:rsidRPr="00BF00A8">
        <w:rPr>
          <w:lang w:val="fr-FR"/>
        </w:rPr>
        <w:t>importance de la mise en œuvre à bref délai de</w:t>
      </w:r>
      <w:r w:rsidR="003A6564">
        <w:rPr>
          <w:lang w:val="fr-FR"/>
        </w:rPr>
        <w:t xml:space="preserve">s </w:t>
      </w:r>
      <w:r w:rsidRPr="00BF00A8">
        <w:rPr>
          <w:lang w:val="fr-FR"/>
        </w:rPr>
        <w:t>interdiction</w:t>
      </w:r>
      <w:r w:rsidR="003A6564">
        <w:rPr>
          <w:lang w:val="fr-FR"/>
        </w:rPr>
        <w:t>s</w:t>
      </w:r>
      <w:r w:rsidRPr="00BF00A8">
        <w:rPr>
          <w:lang w:val="fr-FR"/>
        </w:rPr>
        <w:t xml:space="preserve"> et des quotas visant les importations et la fabrication de SAO indésirables.</w:t>
      </w:r>
      <w:r w:rsidRPr="00714F80">
        <w:rPr>
          <w:lang w:val="fr-CA"/>
        </w:rPr>
        <w:t xml:space="preserve"> </w:t>
      </w:r>
      <w:r w:rsidRPr="00BF00A8">
        <w:rPr>
          <w:lang w:val="fr-FR"/>
        </w:rPr>
        <w:t>Un pays a mentionné que l</w:t>
      </w:r>
      <w:r w:rsidR="00F5401A">
        <w:rPr>
          <w:lang w:val="fr-FR"/>
        </w:rPr>
        <w:t>’</w:t>
      </w:r>
      <w:r w:rsidRPr="00BF00A8">
        <w:rPr>
          <w:lang w:val="fr-FR"/>
        </w:rPr>
        <w:t>élimination des HCFC pourrait s</w:t>
      </w:r>
      <w:r w:rsidR="00F5401A">
        <w:rPr>
          <w:lang w:val="fr-FR"/>
        </w:rPr>
        <w:t>’</w:t>
      </w:r>
      <w:r w:rsidRPr="00BF00A8">
        <w:rPr>
          <w:lang w:val="fr-FR"/>
        </w:rPr>
        <w:t>avérer plus difficile à température ambiante élevée, car les solutions de remplacement pour les applications de petite taille étaient encore sujettes à caution.</w:t>
      </w:r>
      <w:r w:rsidRPr="00714F80">
        <w:rPr>
          <w:lang w:val="fr-CA"/>
        </w:rPr>
        <w:t xml:space="preserve"> </w:t>
      </w:r>
      <w:r w:rsidRPr="00BF00A8">
        <w:rPr>
          <w:lang w:val="fr-FR"/>
        </w:rPr>
        <w:t>De même, l</w:t>
      </w:r>
      <w:r w:rsidR="00F5401A">
        <w:rPr>
          <w:lang w:val="fr-FR"/>
        </w:rPr>
        <w:t>’</w:t>
      </w:r>
      <w:r w:rsidRPr="00BF00A8">
        <w:rPr>
          <w:lang w:val="fr-FR"/>
        </w:rPr>
        <w:t>application précoce du système d</w:t>
      </w:r>
      <w:r w:rsidR="00F5401A">
        <w:rPr>
          <w:lang w:val="fr-FR"/>
        </w:rPr>
        <w:t>’</w:t>
      </w:r>
      <w:r w:rsidRPr="00BF00A8">
        <w:rPr>
          <w:lang w:val="fr-FR"/>
        </w:rPr>
        <w:t>octroi de permis est également un élément important pour assurer la durabilité du PGEH.</w:t>
      </w:r>
      <w:r w:rsidRPr="00714F80">
        <w:rPr>
          <w:shd w:val="clear" w:color="auto" w:fill="FFFFFF"/>
          <w:lang w:val="fr-CA"/>
        </w:rPr>
        <w:t xml:space="preserve"> </w:t>
      </w:r>
      <w:r w:rsidR="005C15FE" w:rsidRPr="005C15FE">
        <w:rPr>
          <w:color w:val="000000"/>
          <w:shd w:val="clear" w:color="auto" w:fill="FFFFFF"/>
          <w:lang w:val="fr-FR"/>
        </w:rPr>
        <w:t>Une agence d</w:t>
      </w:r>
      <w:r w:rsidR="00F5401A">
        <w:rPr>
          <w:color w:val="000000"/>
          <w:shd w:val="clear" w:color="auto" w:fill="FFFFFF"/>
          <w:lang w:val="fr-FR"/>
        </w:rPr>
        <w:t>’</w:t>
      </w:r>
      <w:r w:rsidR="005C15FE" w:rsidRPr="005C15FE">
        <w:rPr>
          <w:color w:val="000000"/>
          <w:shd w:val="clear" w:color="auto" w:fill="FFFFFF"/>
          <w:lang w:val="fr-FR"/>
        </w:rPr>
        <w:t>exécution a mentionné que d</w:t>
      </w:r>
      <w:r w:rsidR="00F5401A">
        <w:rPr>
          <w:color w:val="000000"/>
          <w:shd w:val="clear" w:color="auto" w:fill="FFFFFF"/>
          <w:lang w:val="fr-FR"/>
        </w:rPr>
        <w:t>’</w:t>
      </w:r>
      <w:r w:rsidR="005C15FE" w:rsidRPr="005C15FE">
        <w:rPr>
          <w:color w:val="000000"/>
          <w:shd w:val="clear" w:color="auto" w:fill="FFFFFF"/>
          <w:lang w:val="fr-FR"/>
        </w:rPr>
        <w:t xml:space="preserve">autres options politiques pourraient être explorées pour soutenir les parties prenantes qui utilisent des agents de gonflage des mousses sans SAO, comme le contrôle des importations et des exportations de HCFC, la </w:t>
      </w:r>
      <w:r w:rsidR="009E3EA4">
        <w:rPr>
          <w:color w:val="000000"/>
          <w:shd w:val="clear" w:color="auto" w:fill="FFFFFF"/>
          <w:lang w:val="fr-FR"/>
        </w:rPr>
        <w:t>limitat</w:t>
      </w:r>
      <w:r w:rsidR="005C15FE" w:rsidRPr="005C15FE">
        <w:rPr>
          <w:color w:val="000000"/>
          <w:shd w:val="clear" w:color="auto" w:fill="FFFFFF"/>
          <w:lang w:val="fr-FR"/>
        </w:rPr>
        <w:t>ion des produits basés sur l</w:t>
      </w:r>
      <w:r w:rsidR="00F5401A">
        <w:rPr>
          <w:color w:val="000000"/>
          <w:shd w:val="clear" w:color="auto" w:fill="FFFFFF"/>
          <w:lang w:val="fr-FR"/>
        </w:rPr>
        <w:t>’</w:t>
      </w:r>
      <w:r w:rsidR="005C15FE" w:rsidRPr="005C15FE">
        <w:rPr>
          <w:color w:val="000000"/>
          <w:shd w:val="clear" w:color="auto" w:fill="FFFFFF"/>
          <w:lang w:val="fr-FR"/>
        </w:rPr>
        <w:t>utilisation d</w:t>
      </w:r>
      <w:r w:rsidR="00F5401A">
        <w:rPr>
          <w:color w:val="000000"/>
          <w:shd w:val="clear" w:color="auto" w:fill="FFFFFF"/>
          <w:lang w:val="fr-FR"/>
        </w:rPr>
        <w:t>’</w:t>
      </w:r>
      <w:r w:rsidR="005C15FE" w:rsidRPr="005C15FE">
        <w:rPr>
          <w:color w:val="000000"/>
          <w:shd w:val="clear" w:color="auto" w:fill="FFFFFF"/>
          <w:lang w:val="fr-FR"/>
        </w:rPr>
        <w:t xml:space="preserve">agents de gonflage contenant des HCFC, en accordant un allégement fiscal préférentiel aux produits en mousse sans HCFC, permettant </w:t>
      </w:r>
      <w:r w:rsidR="009E3EA4">
        <w:rPr>
          <w:color w:val="000000"/>
          <w:shd w:val="clear" w:color="auto" w:fill="FFFFFF"/>
          <w:lang w:val="fr-FR"/>
        </w:rPr>
        <w:t xml:space="preserve">ainsi </w:t>
      </w:r>
      <w:r w:rsidR="005C15FE" w:rsidRPr="005C15FE">
        <w:rPr>
          <w:color w:val="000000"/>
          <w:shd w:val="clear" w:color="auto" w:fill="FFFFFF"/>
          <w:lang w:val="fr-FR"/>
        </w:rPr>
        <w:t>aux parties prenantes d</w:t>
      </w:r>
      <w:r w:rsidR="00F5401A">
        <w:rPr>
          <w:color w:val="000000"/>
          <w:shd w:val="clear" w:color="auto" w:fill="FFFFFF"/>
          <w:lang w:val="fr-FR"/>
        </w:rPr>
        <w:t>’</w:t>
      </w:r>
      <w:r w:rsidR="005C15FE" w:rsidRPr="005C15FE">
        <w:rPr>
          <w:color w:val="000000"/>
          <w:shd w:val="clear" w:color="auto" w:fill="FFFFFF"/>
          <w:lang w:val="fr-FR"/>
        </w:rPr>
        <w:t>utiliser des solutions de remplacement respectueuses de l</w:t>
      </w:r>
      <w:r w:rsidR="00F5401A">
        <w:rPr>
          <w:color w:val="000000"/>
          <w:shd w:val="clear" w:color="auto" w:fill="FFFFFF"/>
          <w:lang w:val="fr-FR"/>
        </w:rPr>
        <w:t>’</w:t>
      </w:r>
      <w:r w:rsidR="005C15FE" w:rsidRPr="005C15FE">
        <w:rPr>
          <w:color w:val="000000"/>
          <w:shd w:val="clear" w:color="auto" w:fill="FFFFFF"/>
          <w:lang w:val="fr-FR"/>
        </w:rPr>
        <w:t>environnement.</w:t>
      </w:r>
      <w:r w:rsidR="005C15FE" w:rsidRPr="00714F80">
        <w:rPr>
          <w:color w:val="000000"/>
          <w:shd w:val="clear" w:color="auto" w:fill="FFFFFF"/>
          <w:lang w:val="fr-CA"/>
        </w:rPr>
        <w:t xml:space="preserve"> </w:t>
      </w:r>
    </w:p>
    <w:p w14:paraId="638364FA" w14:textId="3C65FCDA" w:rsidR="005C15FE" w:rsidRPr="00714F80" w:rsidRDefault="005C15FE" w:rsidP="005C15FE">
      <w:pPr>
        <w:pStyle w:val="Heading1"/>
        <w:widowControl w:val="0"/>
        <w:numPr>
          <w:ilvl w:val="0"/>
          <w:numId w:val="21"/>
        </w:numPr>
        <w:spacing w:before="240"/>
        <w:rPr>
          <w:lang w:val="fr-CA"/>
        </w:rPr>
      </w:pPr>
      <w:r w:rsidRPr="005C15FE">
        <w:rPr>
          <w:lang w:val="fr-FR"/>
        </w:rPr>
        <w:t>D</w:t>
      </w:r>
      <w:r w:rsidR="00F5401A">
        <w:rPr>
          <w:lang w:val="fr-FR"/>
        </w:rPr>
        <w:t>’</w:t>
      </w:r>
      <w:r w:rsidRPr="005C15FE">
        <w:rPr>
          <w:lang w:val="fr-FR"/>
        </w:rPr>
        <w:t>autres problèmes ont été rencontrés dans différents pays tels que les barrières linguistiques lors de l</w:t>
      </w:r>
      <w:r w:rsidR="009E3EA4">
        <w:rPr>
          <w:lang w:val="fr-FR"/>
        </w:rPr>
        <w:t>’organisation</w:t>
      </w:r>
      <w:r w:rsidRPr="005C15FE">
        <w:rPr>
          <w:lang w:val="fr-FR"/>
        </w:rPr>
        <w:t xml:space="preserve"> d</w:t>
      </w:r>
      <w:r w:rsidR="009E3EA4">
        <w:rPr>
          <w:lang w:val="fr-FR"/>
        </w:rPr>
        <w:t>’</w:t>
      </w:r>
      <w:r w:rsidRPr="005C15FE">
        <w:rPr>
          <w:lang w:val="fr-FR"/>
        </w:rPr>
        <w:t>ateliers en anglais et dans la distribution du matériel, en raison du fait que de nombreux techniciens sont réticents à emprunter du matériel aux laboratoires.</w:t>
      </w:r>
      <w:r w:rsidRPr="00714F80">
        <w:rPr>
          <w:lang w:val="fr-CA"/>
        </w:rPr>
        <w:t xml:space="preserve"> </w:t>
      </w:r>
      <w:r w:rsidRPr="005C15FE">
        <w:rPr>
          <w:lang w:val="fr-FR"/>
        </w:rPr>
        <w:t>Dans ce cas, l</w:t>
      </w:r>
      <w:r w:rsidR="00F5401A">
        <w:rPr>
          <w:lang w:val="fr-FR"/>
        </w:rPr>
        <w:t>’</w:t>
      </w:r>
      <w:r w:rsidRPr="005C15FE">
        <w:rPr>
          <w:lang w:val="fr-FR"/>
        </w:rPr>
        <w:t>agence d</w:t>
      </w:r>
      <w:r w:rsidR="00F5401A">
        <w:rPr>
          <w:lang w:val="fr-FR"/>
        </w:rPr>
        <w:t>’</w:t>
      </w:r>
      <w:r w:rsidRPr="005C15FE">
        <w:rPr>
          <w:lang w:val="fr-FR"/>
        </w:rPr>
        <w:t xml:space="preserve">exécution a recommandé de trouver des solutions </w:t>
      </w:r>
      <w:r w:rsidR="003A6564">
        <w:rPr>
          <w:lang w:val="fr-FR"/>
        </w:rPr>
        <w:t xml:space="preserve">destinées à </w:t>
      </w:r>
      <w:r w:rsidRPr="005C15FE">
        <w:rPr>
          <w:lang w:val="fr-FR"/>
        </w:rPr>
        <w:t>promouvoir l</w:t>
      </w:r>
      <w:r w:rsidR="00F5401A">
        <w:rPr>
          <w:lang w:val="fr-FR"/>
        </w:rPr>
        <w:t>’</w:t>
      </w:r>
      <w:r w:rsidRPr="005C15FE">
        <w:rPr>
          <w:lang w:val="fr-FR"/>
        </w:rPr>
        <w:t xml:space="preserve">utilisation </w:t>
      </w:r>
      <w:r w:rsidR="003A6564">
        <w:rPr>
          <w:lang w:val="fr-FR"/>
        </w:rPr>
        <w:t xml:space="preserve">de </w:t>
      </w:r>
      <w:r w:rsidRPr="005C15FE">
        <w:rPr>
          <w:lang w:val="fr-FR"/>
        </w:rPr>
        <w:t>solutions de remplacement et de bonnes pratiques.</w:t>
      </w:r>
      <w:r w:rsidRPr="00714F80">
        <w:rPr>
          <w:lang w:val="fr-CA"/>
        </w:rPr>
        <w:t xml:space="preserve"> </w:t>
      </w:r>
    </w:p>
    <w:p w14:paraId="7CD625E1" w14:textId="0643C5A7" w:rsidR="00222C40" w:rsidRPr="00714F80" w:rsidRDefault="005C15FE" w:rsidP="005C15FE">
      <w:pPr>
        <w:pStyle w:val="IIntroduction"/>
        <w:keepNext/>
        <w:widowControl w:val="0"/>
        <w:numPr>
          <w:ilvl w:val="0"/>
          <w:numId w:val="0"/>
        </w:numPr>
        <w:tabs>
          <w:tab w:val="left" w:pos="720"/>
        </w:tabs>
        <w:spacing w:before="0"/>
        <w:rPr>
          <w:sz w:val="22"/>
          <w:szCs w:val="22"/>
          <w:lang w:val="fr-CA"/>
        </w:rPr>
      </w:pPr>
      <w:r w:rsidRPr="005C15FE">
        <w:rPr>
          <w:sz w:val="22"/>
          <w:szCs w:val="22"/>
          <w:lang w:val="fr-FR"/>
        </w:rPr>
        <w:t>RAP reçus pour des projets individuels</w:t>
      </w:r>
      <w:r w:rsidR="00222C40" w:rsidRPr="00714F80">
        <w:rPr>
          <w:sz w:val="22"/>
          <w:szCs w:val="22"/>
          <w:lang w:val="fr-CA"/>
        </w:rPr>
        <w:t xml:space="preserve"> </w:t>
      </w:r>
      <w:bookmarkEnd w:id="0"/>
      <w:bookmarkEnd w:id="1"/>
      <w:bookmarkEnd w:id="2"/>
      <w:bookmarkEnd w:id="3"/>
      <w:bookmarkEnd w:id="4"/>
      <w:bookmarkEnd w:id="5"/>
      <w:bookmarkEnd w:id="6"/>
      <w:bookmarkEnd w:id="7"/>
      <w:bookmarkEnd w:id="8"/>
      <w:bookmarkEnd w:id="9"/>
    </w:p>
    <w:p w14:paraId="06981B4B" w14:textId="0EFC738D" w:rsidR="005C15FE" w:rsidRPr="00714F80" w:rsidRDefault="005C15FE" w:rsidP="005C15FE">
      <w:pPr>
        <w:pStyle w:val="Heading1"/>
        <w:widowControl w:val="0"/>
        <w:numPr>
          <w:ilvl w:val="0"/>
          <w:numId w:val="21"/>
        </w:numPr>
        <w:tabs>
          <w:tab w:val="clear" w:pos="0"/>
          <w:tab w:val="num" w:pos="720"/>
        </w:tabs>
        <w:rPr>
          <w:lang w:val="fr-CA"/>
        </w:rPr>
      </w:pPr>
      <w:r w:rsidRPr="005C15FE">
        <w:rPr>
          <w:lang w:val="fr-FR"/>
        </w:rPr>
        <w:t>Sur un total de 1 856 projets d</w:t>
      </w:r>
      <w:r w:rsidR="00F5401A">
        <w:rPr>
          <w:lang w:val="fr-FR"/>
        </w:rPr>
        <w:t>’</w:t>
      </w:r>
      <w:r w:rsidRPr="005C15FE">
        <w:rPr>
          <w:lang w:val="fr-FR"/>
        </w:rPr>
        <w:t>investissement achevés, les agences bilatérales et d</w:t>
      </w:r>
      <w:r w:rsidR="00F5401A">
        <w:rPr>
          <w:lang w:val="fr-FR"/>
        </w:rPr>
        <w:t>’</w:t>
      </w:r>
      <w:r w:rsidRPr="005C15FE">
        <w:rPr>
          <w:lang w:val="fr-FR"/>
        </w:rPr>
        <w:t>exécution ont remis 1 853 RAP, faisant qu</w:t>
      </w:r>
      <w:r w:rsidR="00F5401A">
        <w:rPr>
          <w:lang w:val="fr-FR"/>
        </w:rPr>
        <w:t>’</w:t>
      </w:r>
      <w:r w:rsidRPr="005C15FE">
        <w:rPr>
          <w:lang w:val="fr-FR"/>
        </w:rPr>
        <w:t>il reste trois</w:t>
      </w:r>
      <w:r w:rsidR="00F5401A">
        <w:rPr>
          <w:lang w:val="fr-FR"/>
        </w:rPr>
        <w:t> </w:t>
      </w:r>
      <w:r w:rsidRPr="005C15FE">
        <w:rPr>
          <w:lang w:val="fr-FR"/>
        </w:rPr>
        <w:t>RAP en retard, comme l</w:t>
      </w:r>
      <w:r w:rsidR="00F5401A">
        <w:rPr>
          <w:lang w:val="fr-FR"/>
        </w:rPr>
        <w:t>’</w:t>
      </w:r>
      <w:r w:rsidRPr="005C15FE">
        <w:rPr>
          <w:lang w:val="fr-FR"/>
        </w:rPr>
        <w:t>indique le tableau</w:t>
      </w:r>
      <w:r w:rsidR="00F5401A">
        <w:rPr>
          <w:lang w:val="fr-FR"/>
        </w:rPr>
        <w:t> </w:t>
      </w:r>
      <w:r w:rsidRPr="005C15FE">
        <w:rPr>
          <w:lang w:val="fr-FR"/>
        </w:rPr>
        <w:t>3.</w:t>
      </w:r>
      <w:r w:rsidRPr="00714F80">
        <w:rPr>
          <w:lang w:val="fr-CA"/>
        </w:rPr>
        <w:t xml:space="preserve"> </w:t>
      </w:r>
    </w:p>
    <w:p w14:paraId="233D51EC" w14:textId="786DF771" w:rsidR="00222C40" w:rsidRPr="00714F80" w:rsidRDefault="005C15FE" w:rsidP="00605D6D">
      <w:pPr>
        <w:pStyle w:val="FootnoteText"/>
        <w:keepNext/>
        <w:keepLines/>
        <w:widowControl w:val="0"/>
        <w:ind w:left="14"/>
        <w:contextualSpacing/>
        <w:rPr>
          <w:b/>
          <w:sz w:val="21"/>
          <w:szCs w:val="21"/>
          <w:lang w:val="fr-CA"/>
        </w:rPr>
      </w:pPr>
      <w:r w:rsidRPr="005C15FE">
        <w:rPr>
          <w:b/>
          <w:sz w:val="21"/>
          <w:szCs w:val="21"/>
          <w:lang w:val="fr-FR"/>
        </w:rPr>
        <w:t>Tableau 3. RAP remis pour des projets d</w:t>
      </w:r>
      <w:r w:rsidR="00F5401A">
        <w:rPr>
          <w:b/>
          <w:sz w:val="21"/>
          <w:szCs w:val="21"/>
          <w:lang w:val="fr-FR"/>
        </w:rPr>
        <w:t>’</w:t>
      </w:r>
      <w:r w:rsidRPr="005C15FE">
        <w:rPr>
          <w:b/>
          <w:sz w:val="21"/>
          <w:szCs w:val="21"/>
          <w:lang w:val="fr-FR"/>
        </w:rPr>
        <w:t>investissement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81"/>
        <w:gridCol w:w="1628"/>
        <w:gridCol w:w="1737"/>
        <w:gridCol w:w="1880"/>
        <w:gridCol w:w="1594"/>
      </w:tblGrid>
      <w:tr w:rsidR="00222C40" w:rsidRPr="00CF4114" w14:paraId="73FCEC2D" w14:textId="77777777" w:rsidTr="005C15FE">
        <w:trPr>
          <w:cantSplit/>
          <w:tblHeader/>
        </w:trPr>
        <w:tc>
          <w:tcPr>
            <w:tcW w:w="1370" w:type="pct"/>
            <w:tcBorders>
              <w:top w:val="single" w:sz="4" w:space="0" w:color="auto"/>
              <w:left w:val="single" w:sz="4" w:space="0" w:color="auto"/>
              <w:bottom w:val="single" w:sz="4" w:space="0" w:color="auto"/>
              <w:right w:val="single" w:sz="4" w:space="0" w:color="auto"/>
            </w:tcBorders>
            <w:hideMark/>
          </w:tcPr>
          <w:p w14:paraId="027C949E" w14:textId="51BC8ED2" w:rsidR="00222C40" w:rsidRPr="005C15FE" w:rsidRDefault="005C15FE" w:rsidP="00D82CA5">
            <w:pPr>
              <w:keepNext/>
              <w:keepLines/>
              <w:widowControl w:val="0"/>
              <w:suppressAutoHyphens/>
              <w:jc w:val="left"/>
              <w:rPr>
                <w:b/>
                <w:snapToGrid w:val="0"/>
                <w:sz w:val="20"/>
                <w:szCs w:val="20"/>
              </w:rPr>
            </w:pPr>
            <w:bookmarkStart w:id="10" w:name="tblHere"/>
            <w:r w:rsidRPr="005C15FE">
              <w:rPr>
                <w:b/>
                <w:snapToGrid w:val="0"/>
                <w:sz w:val="20"/>
                <w:szCs w:val="20"/>
                <w:lang w:val="fr-FR"/>
              </w:rPr>
              <w:t>Agence</w:t>
            </w:r>
          </w:p>
        </w:tc>
        <w:tc>
          <w:tcPr>
            <w:tcW w:w="864" w:type="pct"/>
            <w:tcBorders>
              <w:top w:val="single" w:sz="4" w:space="0" w:color="auto"/>
              <w:left w:val="single" w:sz="4" w:space="0" w:color="auto"/>
              <w:bottom w:val="single" w:sz="4" w:space="0" w:color="auto"/>
              <w:right w:val="single" w:sz="4" w:space="0" w:color="auto"/>
            </w:tcBorders>
            <w:hideMark/>
          </w:tcPr>
          <w:p w14:paraId="005E28A0" w14:textId="63C2D9F1" w:rsidR="00222C40" w:rsidRPr="005C15FE" w:rsidRDefault="005C15FE" w:rsidP="00D82CA5">
            <w:pPr>
              <w:keepNext/>
              <w:keepLines/>
              <w:widowControl w:val="0"/>
              <w:suppressAutoHyphens/>
              <w:jc w:val="center"/>
              <w:rPr>
                <w:b/>
                <w:snapToGrid w:val="0"/>
                <w:sz w:val="20"/>
                <w:szCs w:val="20"/>
              </w:rPr>
            </w:pPr>
            <w:r w:rsidRPr="005C15FE">
              <w:rPr>
                <w:b/>
                <w:snapToGrid w:val="0"/>
                <w:sz w:val="20"/>
                <w:szCs w:val="20"/>
                <w:lang w:val="fr-FR"/>
              </w:rPr>
              <w:t>Achevés</w:t>
            </w:r>
          </w:p>
        </w:tc>
        <w:tc>
          <w:tcPr>
            <w:tcW w:w="922" w:type="pct"/>
            <w:tcBorders>
              <w:top w:val="single" w:sz="4" w:space="0" w:color="auto"/>
              <w:left w:val="single" w:sz="4" w:space="0" w:color="auto"/>
              <w:bottom w:val="single" w:sz="4" w:space="0" w:color="auto"/>
              <w:right w:val="single" w:sz="4" w:space="0" w:color="auto"/>
            </w:tcBorders>
            <w:hideMark/>
          </w:tcPr>
          <w:p w14:paraId="37493095" w14:textId="57507806" w:rsidR="00222C40" w:rsidRPr="00714F80" w:rsidRDefault="005C15FE" w:rsidP="00605D6D">
            <w:pPr>
              <w:keepNext/>
              <w:keepLines/>
              <w:widowControl w:val="0"/>
              <w:jc w:val="center"/>
              <w:rPr>
                <w:b/>
                <w:sz w:val="20"/>
                <w:szCs w:val="20"/>
                <w:lang w:val="fr-CA"/>
              </w:rPr>
            </w:pPr>
            <w:r w:rsidRPr="005C15FE">
              <w:rPr>
                <w:b/>
                <w:sz w:val="20"/>
                <w:szCs w:val="20"/>
                <w:lang w:val="fr-FR"/>
              </w:rPr>
              <w:t>Reçus avant la</w:t>
            </w:r>
            <w:r w:rsidR="00222C40" w:rsidRPr="00714F80">
              <w:rPr>
                <w:b/>
                <w:sz w:val="20"/>
                <w:szCs w:val="20"/>
                <w:lang w:val="fr-CA"/>
              </w:rPr>
              <w:t xml:space="preserve"> </w:t>
            </w:r>
          </w:p>
          <w:p w14:paraId="0DD9A648" w14:textId="0F6B58A2" w:rsidR="00222C40" w:rsidRPr="00714F80" w:rsidRDefault="005C15FE" w:rsidP="00D82CA5">
            <w:pPr>
              <w:keepNext/>
              <w:keepLines/>
              <w:widowControl w:val="0"/>
              <w:jc w:val="center"/>
              <w:rPr>
                <w:b/>
                <w:sz w:val="20"/>
                <w:szCs w:val="20"/>
                <w:lang w:val="fr-CA"/>
              </w:rPr>
            </w:pPr>
            <w:r w:rsidRPr="005C15FE">
              <w:rPr>
                <w:b/>
                <w:sz w:val="20"/>
                <w:szCs w:val="20"/>
                <w:lang w:val="fr-FR"/>
              </w:rPr>
              <w:t>86</w:t>
            </w:r>
            <w:r w:rsidRPr="005C15FE">
              <w:rPr>
                <w:b/>
                <w:sz w:val="20"/>
                <w:szCs w:val="20"/>
                <w:vertAlign w:val="superscript"/>
                <w:lang w:val="fr-FR"/>
              </w:rPr>
              <w:t>e</w:t>
            </w:r>
            <w:r w:rsidRPr="005C15FE">
              <w:rPr>
                <w:b/>
                <w:sz w:val="20"/>
                <w:szCs w:val="20"/>
                <w:lang w:val="fr-FR"/>
              </w:rPr>
              <w:t xml:space="preserve"> réunion</w:t>
            </w:r>
          </w:p>
        </w:tc>
        <w:tc>
          <w:tcPr>
            <w:tcW w:w="998" w:type="pct"/>
            <w:tcBorders>
              <w:top w:val="single" w:sz="4" w:space="0" w:color="auto"/>
              <w:left w:val="single" w:sz="4" w:space="0" w:color="auto"/>
              <w:bottom w:val="single" w:sz="4" w:space="0" w:color="auto"/>
              <w:right w:val="single" w:sz="4" w:space="0" w:color="auto"/>
            </w:tcBorders>
            <w:hideMark/>
          </w:tcPr>
          <w:p w14:paraId="71CCDFC9" w14:textId="77CD5338" w:rsidR="00222C40" w:rsidRPr="00714F80" w:rsidRDefault="005C15FE" w:rsidP="00605D6D">
            <w:pPr>
              <w:keepNext/>
              <w:keepLines/>
              <w:widowControl w:val="0"/>
              <w:suppressAutoHyphens/>
              <w:jc w:val="center"/>
              <w:rPr>
                <w:b/>
                <w:sz w:val="20"/>
                <w:szCs w:val="20"/>
                <w:lang w:val="fr-CA"/>
              </w:rPr>
            </w:pPr>
            <w:r w:rsidRPr="005C15FE">
              <w:rPr>
                <w:b/>
                <w:sz w:val="20"/>
                <w:szCs w:val="20"/>
                <w:lang w:val="fr-FR"/>
              </w:rPr>
              <w:t>Reçus après la</w:t>
            </w:r>
            <w:r w:rsidR="00222C40" w:rsidRPr="00714F80">
              <w:rPr>
                <w:b/>
                <w:sz w:val="20"/>
                <w:szCs w:val="20"/>
                <w:lang w:val="fr-CA"/>
              </w:rPr>
              <w:t xml:space="preserve"> </w:t>
            </w:r>
          </w:p>
          <w:p w14:paraId="5BB214BC" w14:textId="34B91632" w:rsidR="00222C40" w:rsidRPr="00714F80" w:rsidRDefault="005C15FE" w:rsidP="00D82CA5">
            <w:pPr>
              <w:keepNext/>
              <w:keepLines/>
              <w:widowControl w:val="0"/>
              <w:suppressAutoHyphens/>
              <w:jc w:val="center"/>
              <w:rPr>
                <w:b/>
                <w:snapToGrid w:val="0"/>
                <w:sz w:val="20"/>
                <w:szCs w:val="20"/>
                <w:lang w:val="fr-CA"/>
              </w:rPr>
            </w:pPr>
            <w:r w:rsidRPr="005C15FE">
              <w:rPr>
                <w:b/>
                <w:sz w:val="20"/>
                <w:szCs w:val="20"/>
                <w:lang w:val="fr-FR"/>
              </w:rPr>
              <w:t>86</w:t>
            </w:r>
            <w:r w:rsidRPr="005C15FE">
              <w:rPr>
                <w:b/>
                <w:sz w:val="20"/>
                <w:szCs w:val="20"/>
                <w:vertAlign w:val="superscript"/>
                <w:lang w:val="fr-FR"/>
              </w:rPr>
              <w:t>e</w:t>
            </w:r>
            <w:r w:rsidRPr="005C15FE">
              <w:rPr>
                <w:b/>
                <w:sz w:val="20"/>
                <w:szCs w:val="20"/>
                <w:lang w:val="fr-FR"/>
              </w:rPr>
              <w:t xml:space="preserve"> réunion</w:t>
            </w:r>
          </w:p>
        </w:tc>
        <w:tc>
          <w:tcPr>
            <w:tcW w:w="846" w:type="pct"/>
            <w:tcBorders>
              <w:top w:val="single" w:sz="4" w:space="0" w:color="auto"/>
              <w:left w:val="single" w:sz="4" w:space="0" w:color="auto"/>
              <w:bottom w:val="single" w:sz="4" w:space="0" w:color="auto"/>
              <w:right w:val="single" w:sz="4" w:space="0" w:color="auto"/>
            </w:tcBorders>
            <w:hideMark/>
          </w:tcPr>
          <w:p w14:paraId="59D24DBB" w14:textId="6A14416A" w:rsidR="00222C40" w:rsidRPr="005C15FE" w:rsidRDefault="005C15FE" w:rsidP="00D82CA5">
            <w:pPr>
              <w:keepNext/>
              <w:keepLines/>
              <w:widowControl w:val="0"/>
              <w:suppressAutoHyphens/>
              <w:jc w:val="center"/>
              <w:rPr>
                <w:b/>
                <w:snapToGrid w:val="0"/>
                <w:sz w:val="20"/>
                <w:szCs w:val="20"/>
              </w:rPr>
            </w:pPr>
            <w:r w:rsidRPr="005C15FE">
              <w:rPr>
                <w:b/>
                <w:sz w:val="20"/>
                <w:szCs w:val="20"/>
                <w:lang w:val="fr-FR"/>
              </w:rPr>
              <w:t>En instance</w:t>
            </w:r>
          </w:p>
        </w:tc>
      </w:tr>
      <w:tr w:rsidR="00222C40" w:rsidRPr="00CF4114" w14:paraId="632532D3"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48FD741B" w14:textId="77E01FC6" w:rsidR="00222C40" w:rsidRPr="005C15FE" w:rsidRDefault="005C15FE" w:rsidP="00D82CA5">
            <w:pPr>
              <w:widowControl w:val="0"/>
              <w:suppressAutoHyphens/>
              <w:jc w:val="left"/>
              <w:rPr>
                <w:snapToGrid w:val="0"/>
                <w:sz w:val="20"/>
                <w:szCs w:val="20"/>
              </w:rPr>
            </w:pPr>
            <w:r w:rsidRPr="005C15FE">
              <w:rPr>
                <w:snapToGrid w:val="0"/>
                <w:sz w:val="20"/>
                <w:szCs w:val="20"/>
                <w:lang w:val="fr-FR"/>
              </w:rPr>
              <w:t>France</w:t>
            </w:r>
          </w:p>
        </w:tc>
        <w:tc>
          <w:tcPr>
            <w:tcW w:w="864" w:type="pct"/>
            <w:tcBorders>
              <w:top w:val="single" w:sz="4" w:space="0" w:color="auto"/>
              <w:left w:val="single" w:sz="4" w:space="0" w:color="auto"/>
              <w:bottom w:val="single" w:sz="4" w:space="0" w:color="auto"/>
              <w:right w:val="single" w:sz="4" w:space="0" w:color="auto"/>
            </w:tcBorders>
            <w:hideMark/>
          </w:tcPr>
          <w:p w14:paraId="3E5C1018"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13</w:t>
            </w:r>
          </w:p>
        </w:tc>
        <w:tc>
          <w:tcPr>
            <w:tcW w:w="922" w:type="pct"/>
            <w:tcBorders>
              <w:top w:val="single" w:sz="4" w:space="0" w:color="auto"/>
              <w:left w:val="single" w:sz="4" w:space="0" w:color="auto"/>
              <w:bottom w:val="single" w:sz="4" w:space="0" w:color="auto"/>
              <w:right w:val="single" w:sz="4" w:space="0" w:color="auto"/>
            </w:tcBorders>
            <w:hideMark/>
          </w:tcPr>
          <w:p w14:paraId="6CE22BDA"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13</w:t>
            </w:r>
          </w:p>
        </w:tc>
        <w:tc>
          <w:tcPr>
            <w:tcW w:w="998" w:type="pct"/>
            <w:tcBorders>
              <w:top w:val="single" w:sz="4" w:space="0" w:color="auto"/>
              <w:left w:val="single" w:sz="4" w:space="0" w:color="auto"/>
              <w:bottom w:val="single" w:sz="4" w:space="0" w:color="auto"/>
              <w:right w:val="single" w:sz="4" w:space="0" w:color="auto"/>
            </w:tcBorders>
            <w:hideMark/>
          </w:tcPr>
          <w:p w14:paraId="3BB940CF" w14:textId="77777777" w:rsidR="00222C40" w:rsidRPr="004B2A39" w:rsidRDefault="00222C40" w:rsidP="00605D6D">
            <w:pPr>
              <w:widowControl w:val="0"/>
              <w:suppressAutoHyphens/>
              <w:jc w:val="center"/>
              <w:rPr>
                <w:snapToGrid w:val="0"/>
                <w:sz w:val="20"/>
                <w:szCs w:val="20"/>
              </w:rPr>
            </w:pPr>
            <w:r w:rsidRPr="004B2A39">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hideMark/>
          </w:tcPr>
          <w:p w14:paraId="4CF80D5B"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0</w:t>
            </w:r>
          </w:p>
        </w:tc>
      </w:tr>
      <w:tr w:rsidR="00222C40" w:rsidRPr="00CF4114" w14:paraId="286B6560"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251BAF88" w14:textId="044C503E" w:rsidR="00222C40" w:rsidRPr="005C15FE" w:rsidRDefault="005C15FE" w:rsidP="00D82CA5">
            <w:pPr>
              <w:widowControl w:val="0"/>
              <w:suppressAutoHyphens/>
              <w:jc w:val="left"/>
              <w:rPr>
                <w:snapToGrid w:val="0"/>
                <w:sz w:val="20"/>
                <w:szCs w:val="20"/>
              </w:rPr>
            </w:pPr>
            <w:r w:rsidRPr="005C15FE">
              <w:rPr>
                <w:snapToGrid w:val="0"/>
                <w:sz w:val="20"/>
                <w:szCs w:val="20"/>
                <w:lang w:val="fr-FR"/>
              </w:rPr>
              <w:t>Allemagne</w:t>
            </w:r>
          </w:p>
        </w:tc>
        <w:tc>
          <w:tcPr>
            <w:tcW w:w="864" w:type="pct"/>
            <w:tcBorders>
              <w:top w:val="single" w:sz="4" w:space="0" w:color="auto"/>
              <w:left w:val="single" w:sz="4" w:space="0" w:color="auto"/>
              <w:bottom w:val="single" w:sz="4" w:space="0" w:color="auto"/>
              <w:right w:val="single" w:sz="4" w:space="0" w:color="auto"/>
            </w:tcBorders>
            <w:hideMark/>
          </w:tcPr>
          <w:p w14:paraId="3229B6F2"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20</w:t>
            </w:r>
          </w:p>
        </w:tc>
        <w:tc>
          <w:tcPr>
            <w:tcW w:w="922" w:type="pct"/>
            <w:tcBorders>
              <w:top w:val="single" w:sz="4" w:space="0" w:color="auto"/>
              <w:left w:val="single" w:sz="4" w:space="0" w:color="auto"/>
              <w:bottom w:val="single" w:sz="4" w:space="0" w:color="auto"/>
              <w:right w:val="single" w:sz="4" w:space="0" w:color="auto"/>
            </w:tcBorders>
            <w:hideMark/>
          </w:tcPr>
          <w:p w14:paraId="055C20C8"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19</w:t>
            </w:r>
          </w:p>
        </w:tc>
        <w:tc>
          <w:tcPr>
            <w:tcW w:w="998" w:type="pct"/>
            <w:tcBorders>
              <w:top w:val="single" w:sz="4" w:space="0" w:color="auto"/>
              <w:left w:val="single" w:sz="4" w:space="0" w:color="auto"/>
              <w:bottom w:val="single" w:sz="4" w:space="0" w:color="auto"/>
              <w:right w:val="single" w:sz="4" w:space="0" w:color="auto"/>
            </w:tcBorders>
            <w:hideMark/>
          </w:tcPr>
          <w:p w14:paraId="3A625B58" w14:textId="77777777" w:rsidR="00222C40" w:rsidRPr="004B2A39" w:rsidRDefault="00222C40" w:rsidP="00605D6D">
            <w:pPr>
              <w:widowControl w:val="0"/>
              <w:suppressAutoHyphens/>
              <w:jc w:val="center"/>
              <w:rPr>
                <w:snapToGrid w:val="0"/>
                <w:sz w:val="20"/>
                <w:szCs w:val="20"/>
              </w:rPr>
            </w:pPr>
            <w:r w:rsidRPr="004B2A39">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hideMark/>
          </w:tcPr>
          <w:p w14:paraId="6A570BC5"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w:t>
            </w:r>
          </w:p>
        </w:tc>
      </w:tr>
      <w:tr w:rsidR="00222C40" w:rsidRPr="00CF4114" w14:paraId="7D958ED6"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3B1CE16D" w14:textId="1D206305" w:rsidR="00222C40" w:rsidRPr="005C15FE" w:rsidRDefault="005C15FE" w:rsidP="00D82CA5">
            <w:pPr>
              <w:widowControl w:val="0"/>
              <w:suppressAutoHyphens/>
              <w:jc w:val="left"/>
              <w:rPr>
                <w:snapToGrid w:val="0"/>
                <w:sz w:val="20"/>
                <w:szCs w:val="20"/>
              </w:rPr>
            </w:pPr>
            <w:r w:rsidRPr="005C15FE">
              <w:rPr>
                <w:snapToGrid w:val="0"/>
                <w:sz w:val="20"/>
                <w:szCs w:val="20"/>
                <w:lang w:val="fr-FR"/>
              </w:rPr>
              <w:t>Italie</w:t>
            </w:r>
          </w:p>
        </w:tc>
        <w:tc>
          <w:tcPr>
            <w:tcW w:w="864" w:type="pct"/>
            <w:tcBorders>
              <w:top w:val="single" w:sz="4" w:space="0" w:color="auto"/>
              <w:left w:val="single" w:sz="4" w:space="0" w:color="auto"/>
              <w:bottom w:val="single" w:sz="4" w:space="0" w:color="auto"/>
              <w:right w:val="single" w:sz="4" w:space="0" w:color="auto"/>
            </w:tcBorders>
            <w:hideMark/>
          </w:tcPr>
          <w:p w14:paraId="5E00EC5C"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11</w:t>
            </w:r>
          </w:p>
        </w:tc>
        <w:tc>
          <w:tcPr>
            <w:tcW w:w="922" w:type="pct"/>
            <w:tcBorders>
              <w:top w:val="single" w:sz="4" w:space="0" w:color="auto"/>
              <w:left w:val="single" w:sz="4" w:space="0" w:color="auto"/>
              <w:bottom w:val="single" w:sz="4" w:space="0" w:color="auto"/>
              <w:right w:val="single" w:sz="4" w:space="0" w:color="auto"/>
            </w:tcBorders>
            <w:hideMark/>
          </w:tcPr>
          <w:p w14:paraId="6478767D"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11</w:t>
            </w:r>
          </w:p>
        </w:tc>
        <w:tc>
          <w:tcPr>
            <w:tcW w:w="998" w:type="pct"/>
            <w:tcBorders>
              <w:top w:val="single" w:sz="4" w:space="0" w:color="auto"/>
              <w:left w:val="single" w:sz="4" w:space="0" w:color="auto"/>
              <w:bottom w:val="single" w:sz="4" w:space="0" w:color="auto"/>
              <w:right w:val="single" w:sz="4" w:space="0" w:color="auto"/>
            </w:tcBorders>
            <w:hideMark/>
          </w:tcPr>
          <w:p w14:paraId="7C6676EB" w14:textId="77777777" w:rsidR="00222C40" w:rsidRPr="004B2A39" w:rsidRDefault="00222C40" w:rsidP="00605D6D">
            <w:pPr>
              <w:widowControl w:val="0"/>
              <w:suppressAutoHyphens/>
              <w:jc w:val="center"/>
              <w:rPr>
                <w:snapToGrid w:val="0"/>
                <w:sz w:val="20"/>
                <w:szCs w:val="20"/>
              </w:rPr>
            </w:pPr>
            <w:r w:rsidRPr="004B2A39">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hideMark/>
          </w:tcPr>
          <w:p w14:paraId="01ED0997"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0</w:t>
            </w:r>
          </w:p>
        </w:tc>
      </w:tr>
      <w:tr w:rsidR="00222C40" w:rsidRPr="00CF4114" w14:paraId="0EA369C7"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6D95B5A8" w14:textId="134988A5" w:rsidR="00222C40" w:rsidRPr="005C15FE" w:rsidRDefault="005C15FE" w:rsidP="00D82CA5">
            <w:pPr>
              <w:widowControl w:val="0"/>
              <w:suppressAutoHyphens/>
              <w:jc w:val="left"/>
              <w:rPr>
                <w:snapToGrid w:val="0"/>
                <w:sz w:val="20"/>
                <w:szCs w:val="20"/>
              </w:rPr>
            </w:pPr>
            <w:r w:rsidRPr="005C15FE">
              <w:rPr>
                <w:snapToGrid w:val="0"/>
                <w:sz w:val="20"/>
                <w:szCs w:val="20"/>
                <w:lang w:val="fr-FR"/>
              </w:rPr>
              <w:t>Japon</w:t>
            </w:r>
          </w:p>
        </w:tc>
        <w:tc>
          <w:tcPr>
            <w:tcW w:w="864" w:type="pct"/>
            <w:tcBorders>
              <w:top w:val="single" w:sz="4" w:space="0" w:color="auto"/>
              <w:left w:val="single" w:sz="4" w:space="0" w:color="auto"/>
              <w:bottom w:val="single" w:sz="4" w:space="0" w:color="auto"/>
              <w:right w:val="single" w:sz="4" w:space="0" w:color="auto"/>
            </w:tcBorders>
            <w:hideMark/>
          </w:tcPr>
          <w:p w14:paraId="2366E000"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6</w:t>
            </w:r>
          </w:p>
        </w:tc>
        <w:tc>
          <w:tcPr>
            <w:tcW w:w="922" w:type="pct"/>
            <w:tcBorders>
              <w:top w:val="single" w:sz="4" w:space="0" w:color="auto"/>
              <w:left w:val="single" w:sz="4" w:space="0" w:color="auto"/>
              <w:bottom w:val="single" w:sz="4" w:space="0" w:color="auto"/>
              <w:right w:val="single" w:sz="4" w:space="0" w:color="auto"/>
            </w:tcBorders>
            <w:hideMark/>
          </w:tcPr>
          <w:p w14:paraId="3CAC1E1E"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6</w:t>
            </w:r>
          </w:p>
        </w:tc>
        <w:tc>
          <w:tcPr>
            <w:tcW w:w="998" w:type="pct"/>
            <w:tcBorders>
              <w:top w:val="single" w:sz="4" w:space="0" w:color="auto"/>
              <w:left w:val="single" w:sz="4" w:space="0" w:color="auto"/>
              <w:bottom w:val="single" w:sz="4" w:space="0" w:color="auto"/>
              <w:right w:val="single" w:sz="4" w:space="0" w:color="auto"/>
            </w:tcBorders>
            <w:hideMark/>
          </w:tcPr>
          <w:p w14:paraId="320C2EA1" w14:textId="77777777" w:rsidR="00222C40" w:rsidRPr="004B2A39" w:rsidRDefault="00222C40" w:rsidP="00605D6D">
            <w:pPr>
              <w:widowControl w:val="0"/>
              <w:suppressAutoHyphens/>
              <w:jc w:val="center"/>
              <w:rPr>
                <w:snapToGrid w:val="0"/>
                <w:sz w:val="20"/>
                <w:szCs w:val="20"/>
              </w:rPr>
            </w:pPr>
            <w:r w:rsidRPr="004B2A39">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hideMark/>
          </w:tcPr>
          <w:p w14:paraId="1865A624"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0</w:t>
            </w:r>
          </w:p>
        </w:tc>
      </w:tr>
      <w:tr w:rsidR="00222C40" w:rsidRPr="00CF4114" w14:paraId="795DB2C0"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2E1DC1B3" w14:textId="6CB3B3C8" w:rsidR="00222C40" w:rsidRPr="005C15FE" w:rsidRDefault="005C15FE" w:rsidP="00D82CA5">
            <w:pPr>
              <w:widowControl w:val="0"/>
              <w:suppressAutoHyphens/>
              <w:jc w:val="left"/>
              <w:rPr>
                <w:snapToGrid w:val="0"/>
                <w:sz w:val="20"/>
                <w:szCs w:val="20"/>
              </w:rPr>
            </w:pPr>
            <w:r w:rsidRPr="005C15FE">
              <w:rPr>
                <w:snapToGrid w:val="0"/>
                <w:sz w:val="20"/>
                <w:szCs w:val="20"/>
                <w:lang w:val="fr-FR"/>
              </w:rPr>
              <w:t>Espagne</w:t>
            </w:r>
          </w:p>
        </w:tc>
        <w:tc>
          <w:tcPr>
            <w:tcW w:w="864" w:type="pct"/>
            <w:tcBorders>
              <w:top w:val="single" w:sz="4" w:space="0" w:color="auto"/>
              <w:left w:val="single" w:sz="4" w:space="0" w:color="auto"/>
              <w:bottom w:val="single" w:sz="4" w:space="0" w:color="auto"/>
              <w:right w:val="single" w:sz="4" w:space="0" w:color="auto"/>
            </w:tcBorders>
            <w:hideMark/>
          </w:tcPr>
          <w:p w14:paraId="469CB1AA"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w:t>
            </w:r>
          </w:p>
        </w:tc>
        <w:tc>
          <w:tcPr>
            <w:tcW w:w="922" w:type="pct"/>
            <w:tcBorders>
              <w:top w:val="single" w:sz="4" w:space="0" w:color="auto"/>
              <w:left w:val="single" w:sz="4" w:space="0" w:color="auto"/>
              <w:bottom w:val="single" w:sz="4" w:space="0" w:color="auto"/>
              <w:right w:val="single" w:sz="4" w:space="0" w:color="auto"/>
            </w:tcBorders>
            <w:hideMark/>
          </w:tcPr>
          <w:p w14:paraId="0458A519"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w:t>
            </w:r>
          </w:p>
        </w:tc>
        <w:tc>
          <w:tcPr>
            <w:tcW w:w="998" w:type="pct"/>
            <w:tcBorders>
              <w:top w:val="single" w:sz="4" w:space="0" w:color="auto"/>
              <w:left w:val="single" w:sz="4" w:space="0" w:color="auto"/>
              <w:bottom w:val="single" w:sz="4" w:space="0" w:color="auto"/>
              <w:right w:val="single" w:sz="4" w:space="0" w:color="auto"/>
            </w:tcBorders>
            <w:hideMark/>
          </w:tcPr>
          <w:p w14:paraId="57C2577E" w14:textId="77777777" w:rsidR="00222C40" w:rsidRPr="004B2A39" w:rsidRDefault="00222C40" w:rsidP="00605D6D">
            <w:pPr>
              <w:widowControl w:val="0"/>
              <w:suppressAutoHyphens/>
              <w:jc w:val="center"/>
              <w:rPr>
                <w:snapToGrid w:val="0"/>
                <w:sz w:val="20"/>
                <w:szCs w:val="20"/>
              </w:rPr>
            </w:pPr>
            <w:r w:rsidRPr="004B2A39">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hideMark/>
          </w:tcPr>
          <w:p w14:paraId="55A36B71"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0</w:t>
            </w:r>
          </w:p>
        </w:tc>
      </w:tr>
      <w:tr w:rsidR="00222C40" w:rsidRPr="00CF4114" w14:paraId="21C42F0F"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1A9F74C0" w14:textId="694E1D88" w:rsidR="00222C40" w:rsidRPr="00714F80" w:rsidRDefault="005C15FE" w:rsidP="00D82CA5">
            <w:pPr>
              <w:widowControl w:val="0"/>
              <w:suppressAutoHyphens/>
              <w:jc w:val="left"/>
              <w:rPr>
                <w:snapToGrid w:val="0"/>
                <w:sz w:val="20"/>
                <w:szCs w:val="20"/>
                <w:lang w:val="fr-CA"/>
              </w:rPr>
            </w:pPr>
            <w:r w:rsidRPr="005C15FE">
              <w:rPr>
                <w:snapToGrid w:val="0"/>
                <w:sz w:val="20"/>
                <w:szCs w:val="20"/>
                <w:lang w:val="fr-FR"/>
              </w:rPr>
              <w:t>Royaume-Uni de Grande Bretagne et d</w:t>
            </w:r>
            <w:r w:rsidR="00F5401A">
              <w:rPr>
                <w:snapToGrid w:val="0"/>
                <w:sz w:val="20"/>
                <w:szCs w:val="20"/>
                <w:lang w:val="fr-FR"/>
              </w:rPr>
              <w:t>’</w:t>
            </w:r>
            <w:r w:rsidRPr="005C15FE">
              <w:rPr>
                <w:snapToGrid w:val="0"/>
                <w:sz w:val="20"/>
                <w:szCs w:val="20"/>
                <w:lang w:val="fr-FR"/>
              </w:rPr>
              <w:t>Irlande du Nord</w:t>
            </w:r>
            <w:r w:rsidR="00222C40" w:rsidRPr="00714F80">
              <w:rPr>
                <w:snapToGrid w:val="0"/>
                <w:sz w:val="20"/>
                <w:szCs w:val="20"/>
                <w:lang w:val="fr-CA"/>
              </w:rPr>
              <w:t xml:space="preserve"> </w:t>
            </w:r>
          </w:p>
        </w:tc>
        <w:tc>
          <w:tcPr>
            <w:tcW w:w="864" w:type="pct"/>
            <w:tcBorders>
              <w:top w:val="single" w:sz="4" w:space="0" w:color="auto"/>
              <w:left w:val="single" w:sz="4" w:space="0" w:color="auto"/>
              <w:bottom w:val="single" w:sz="4" w:space="0" w:color="auto"/>
              <w:right w:val="single" w:sz="4" w:space="0" w:color="auto"/>
            </w:tcBorders>
            <w:vAlign w:val="center"/>
            <w:hideMark/>
          </w:tcPr>
          <w:p w14:paraId="724EAD1C"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w:t>
            </w:r>
          </w:p>
        </w:tc>
        <w:tc>
          <w:tcPr>
            <w:tcW w:w="922" w:type="pct"/>
            <w:tcBorders>
              <w:top w:val="single" w:sz="4" w:space="0" w:color="auto"/>
              <w:left w:val="single" w:sz="4" w:space="0" w:color="auto"/>
              <w:bottom w:val="single" w:sz="4" w:space="0" w:color="auto"/>
              <w:right w:val="single" w:sz="4" w:space="0" w:color="auto"/>
            </w:tcBorders>
            <w:vAlign w:val="center"/>
            <w:hideMark/>
          </w:tcPr>
          <w:p w14:paraId="4F53F053"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1</w:t>
            </w:r>
          </w:p>
        </w:tc>
        <w:tc>
          <w:tcPr>
            <w:tcW w:w="998" w:type="pct"/>
            <w:tcBorders>
              <w:top w:val="single" w:sz="4" w:space="0" w:color="auto"/>
              <w:left w:val="single" w:sz="4" w:space="0" w:color="auto"/>
              <w:bottom w:val="single" w:sz="4" w:space="0" w:color="auto"/>
              <w:right w:val="single" w:sz="4" w:space="0" w:color="auto"/>
            </w:tcBorders>
            <w:vAlign w:val="center"/>
            <w:hideMark/>
          </w:tcPr>
          <w:p w14:paraId="62378262" w14:textId="77777777" w:rsidR="00222C40" w:rsidRPr="004B2A39" w:rsidRDefault="00222C40" w:rsidP="00605D6D">
            <w:pPr>
              <w:widowControl w:val="0"/>
              <w:suppressAutoHyphens/>
              <w:jc w:val="center"/>
              <w:rPr>
                <w:snapToGrid w:val="0"/>
                <w:sz w:val="20"/>
                <w:szCs w:val="20"/>
              </w:rPr>
            </w:pPr>
            <w:r w:rsidRPr="004B2A39">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vAlign w:val="center"/>
            <w:hideMark/>
          </w:tcPr>
          <w:p w14:paraId="0691C877"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0</w:t>
            </w:r>
          </w:p>
        </w:tc>
      </w:tr>
      <w:tr w:rsidR="00222C40" w:rsidRPr="00CF4114" w14:paraId="591BA6CD"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7E4E2444" w14:textId="674E5581" w:rsidR="00222C40" w:rsidRPr="005C15FE" w:rsidRDefault="005C15FE" w:rsidP="00D82CA5">
            <w:pPr>
              <w:widowControl w:val="0"/>
              <w:suppressAutoHyphens/>
              <w:jc w:val="left"/>
              <w:rPr>
                <w:snapToGrid w:val="0"/>
                <w:sz w:val="20"/>
                <w:szCs w:val="20"/>
              </w:rPr>
            </w:pPr>
            <w:r w:rsidRPr="005C15FE">
              <w:rPr>
                <w:snapToGrid w:val="0"/>
                <w:sz w:val="20"/>
                <w:szCs w:val="20"/>
                <w:lang w:val="fr-FR"/>
              </w:rPr>
              <w:t>États-Unis d</w:t>
            </w:r>
            <w:r w:rsidR="00F5401A">
              <w:rPr>
                <w:snapToGrid w:val="0"/>
                <w:sz w:val="20"/>
                <w:szCs w:val="20"/>
                <w:lang w:val="fr-FR"/>
              </w:rPr>
              <w:t>’</w:t>
            </w:r>
            <w:r w:rsidRPr="005C15FE">
              <w:rPr>
                <w:snapToGrid w:val="0"/>
                <w:sz w:val="20"/>
                <w:szCs w:val="20"/>
                <w:lang w:val="fr-FR"/>
              </w:rPr>
              <w:t>Amérique</w:t>
            </w:r>
          </w:p>
        </w:tc>
        <w:tc>
          <w:tcPr>
            <w:tcW w:w="864" w:type="pct"/>
            <w:tcBorders>
              <w:top w:val="single" w:sz="4" w:space="0" w:color="auto"/>
              <w:left w:val="single" w:sz="4" w:space="0" w:color="auto"/>
              <w:bottom w:val="single" w:sz="4" w:space="0" w:color="auto"/>
              <w:right w:val="single" w:sz="4" w:space="0" w:color="auto"/>
            </w:tcBorders>
            <w:hideMark/>
          </w:tcPr>
          <w:p w14:paraId="16D25265"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2</w:t>
            </w:r>
          </w:p>
        </w:tc>
        <w:tc>
          <w:tcPr>
            <w:tcW w:w="922" w:type="pct"/>
            <w:tcBorders>
              <w:top w:val="single" w:sz="4" w:space="0" w:color="auto"/>
              <w:left w:val="single" w:sz="4" w:space="0" w:color="auto"/>
              <w:bottom w:val="single" w:sz="4" w:space="0" w:color="auto"/>
              <w:right w:val="single" w:sz="4" w:space="0" w:color="auto"/>
            </w:tcBorders>
            <w:hideMark/>
          </w:tcPr>
          <w:p w14:paraId="1DAFB2C0"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2</w:t>
            </w:r>
          </w:p>
        </w:tc>
        <w:tc>
          <w:tcPr>
            <w:tcW w:w="998" w:type="pct"/>
            <w:tcBorders>
              <w:top w:val="single" w:sz="4" w:space="0" w:color="auto"/>
              <w:left w:val="single" w:sz="4" w:space="0" w:color="auto"/>
              <w:bottom w:val="single" w:sz="4" w:space="0" w:color="auto"/>
              <w:right w:val="single" w:sz="4" w:space="0" w:color="auto"/>
            </w:tcBorders>
            <w:hideMark/>
          </w:tcPr>
          <w:p w14:paraId="78694338" w14:textId="77777777" w:rsidR="00222C40" w:rsidRPr="004B2A39" w:rsidRDefault="00222C40" w:rsidP="00605D6D">
            <w:pPr>
              <w:widowControl w:val="0"/>
              <w:suppressAutoHyphens/>
              <w:jc w:val="center"/>
              <w:rPr>
                <w:snapToGrid w:val="0"/>
                <w:sz w:val="20"/>
                <w:szCs w:val="20"/>
              </w:rPr>
            </w:pPr>
            <w:r w:rsidRPr="004B2A39">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hideMark/>
          </w:tcPr>
          <w:p w14:paraId="7944A284"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0</w:t>
            </w:r>
          </w:p>
        </w:tc>
      </w:tr>
      <w:tr w:rsidR="00222C40" w:rsidRPr="00CF4114" w14:paraId="0980EA61"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14DAE243" w14:textId="0B9212F1" w:rsidR="00222C40" w:rsidRPr="005C15FE" w:rsidRDefault="005C15FE" w:rsidP="00D82CA5">
            <w:pPr>
              <w:widowControl w:val="0"/>
              <w:suppressAutoHyphens/>
              <w:jc w:val="left"/>
              <w:rPr>
                <w:snapToGrid w:val="0"/>
                <w:sz w:val="20"/>
                <w:szCs w:val="20"/>
              </w:rPr>
            </w:pPr>
            <w:r w:rsidRPr="005C15FE">
              <w:rPr>
                <w:snapToGrid w:val="0"/>
                <w:sz w:val="20"/>
                <w:szCs w:val="20"/>
                <w:lang w:val="fr-FR"/>
              </w:rPr>
              <w:lastRenderedPageBreak/>
              <w:t>PNUD</w:t>
            </w:r>
          </w:p>
        </w:tc>
        <w:tc>
          <w:tcPr>
            <w:tcW w:w="864" w:type="pct"/>
            <w:tcBorders>
              <w:top w:val="single" w:sz="4" w:space="0" w:color="auto"/>
              <w:left w:val="single" w:sz="4" w:space="0" w:color="auto"/>
              <w:bottom w:val="single" w:sz="4" w:space="0" w:color="auto"/>
              <w:right w:val="single" w:sz="4" w:space="0" w:color="auto"/>
            </w:tcBorders>
            <w:hideMark/>
          </w:tcPr>
          <w:p w14:paraId="2C26EB60"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89</w:t>
            </w:r>
            <w:r w:rsidR="00FE4BE2" w:rsidRPr="007D5761">
              <w:rPr>
                <w:snapToGrid w:val="0"/>
                <w:sz w:val="20"/>
                <w:szCs w:val="20"/>
              </w:rPr>
              <w:t>7</w:t>
            </w:r>
          </w:p>
        </w:tc>
        <w:tc>
          <w:tcPr>
            <w:tcW w:w="922" w:type="pct"/>
            <w:tcBorders>
              <w:top w:val="single" w:sz="4" w:space="0" w:color="auto"/>
              <w:left w:val="single" w:sz="4" w:space="0" w:color="auto"/>
              <w:bottom w:val="single" w:sz="4" w:space="0" w:color="auto"/>
              <w:right w:val="single" w:sz="4" w:space="0" w:color="auto"/>
            </w:tcBorders>
            <w:hideMark/>
          </w:tcPr>
          <w:p w14:paraId="6C207CD7"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895</w:t>
            </w:r>
          </w:p>
        </w:tc>
        <w:tc>
          <w:tcPr>
            <w:tcW w:w="998" w:type="pct"/>
            <w:tcBorders>
              <w:top w:val="single" w:sz="4" w:space="0" w:color="auto"/>
              <w:left w:val="single" w:sz="4" w:space="0" w:color="auto"/>
              <w:bottom w:val="single" w:sz="4" w:space="0" w:color="auto"/>
              <w:right w:val="single" w:sz="4" w:space="0" w:color="auto"/>
            </w:tcBorders>
            <w:hideMark/>
          </w:tcPr>
          <w:p w14:paraId="35624270" w14:textId="27C01321" w:rsidR="00222C40" w:rsidRPr="004B2A39" w:rsidRDefault="004B2A39" w:rsidP="00605D6D">
            <w:pPr>
              <w:widowControl w:val="0"/>
              <w:suppressAutoHyphens/>
              <w:jc w:val="center"/>
              <w:rPr>
                <w:snapToGrid w:val="0"/>
                <w:sz w:val="20"/>
                <w:szCs w:val="20"/>
              </w:rPr>
            </w:pPr>
            <w:r w:rsidRPr="004B2A39">
              <w:rPr>
                <w:snapToGrid w:val="0"/>
                <w:sz w:val="20"/>
                <w:szCs w:val="20"/>
              </w:rPr>
              <w:t>2</w:t>
            </w:r>
          </w:p>
        </w:tc>
        <w:tc>
          <w:tcPr>
            <w:tcW w:w="846" w:type="pct"/>
            <w:tcBorders>
              <w:top w:val="single" w:sz="4" w:space="0" w:color="auto"/>
              <w:left w:val="single" w:sz="4" w:space="0" w:color="auto"/>
              <w:bottom w:val="single" w:sz="4" w:space="0" w:color="auto"/>
              <w:right w:val="single" w:sz="4" w:space="0" w:color="auto"/>
            </w:tcBorders>
            <w:hideMark/>
          </w:tcPr>
          <w:p w14:paraId="159B7FC2" w14:textId="05E72354" w:rsidR="00222C40" w:rsidRPr="007D5761" w:rsidRDefault="004B2A39" w:rsidP="00605D6D">
            <w:pPr>
              <w:widowControl w:val="0"/>
              <w:suppressAutoHyphens/>
              <w:jc w:val="center"/>
              <w:rPr>
                <w:snapToGrid w:val="0"/>
                <w:sz w:val="20"/>
                <w:szCs w:val="20"/>
              </w:rPr>
            </w:pPr>
            <w:r w:rsidRPr="007D5761">
              <w:rPr>
                <w:snapToGrid w:val="0"/>
                <w:sz w:val="20"/>
                <w:szCs w:val="20"/>
              </w:rPr>
              <w:t>0</w:t>
            </w:r>
          </w:p>
        </w:tc>
      </w:tr>
      <w:tr w:rsidR="00222C40" w:rsidRPr="00CF4114" w14:paraId="70040ABF"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31AC47DB" w14:textId="17119E79" w:rsidR="00222C40" w:rsidRPr="005C15FE" w:rsidRDefault="005C15FE" w:rsidP="00D82CA5">
            <w:pPr>
              <w:widowControl w:val="0"/>
              <w:suppressAutoHyphens/>
              <w:jc w:val="left"/>
              <w:rPr>
                <w:snapToGrid w:val="0"/>
                <w:sz w:val="20"/>
                <w:szCs w:val="20"/>
              </w:rPr>
            </w:pPr>
            <w:r w:rsidRPr="005C15FE">
              <w:rPr>
                <w:snapToGrid w:val="0"/>
                <w:sz w:val="20"/>
                <w:szCs w:val="20"/>
                <w:lang w:val="fr-FR"/>
              </w:rPr>
              <w:t>ONUDI</w:t>
            </w:r>
          </w:p>
        </w:tc>
        <w:tc>
          <w:tcPr>
            <w:tcW w:w="864" w:type="pct"/>
            <w:tcBorders>
              <w:top w:val="single" w:sz="4" w:space="0" w:color="auto"/>
              <w:left w:val="single" w:sz="4" w:space="0" w:color="auto"/>
              <w:bottom w:val="single" w:sz="4" w:space="0" w:color="auto"/>
              <w:right w:val="single" w:sz="4" w:space="0" w:color="auto"/>
            </w:tcBorders>
            <w:hideMark/>
          </w:tcPr>
          <w:p w14:paraId="394D7460"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448</w:t>
            </w:r>
          </w:p>
        </w:tc>
        <w:tc>
          <w:tcPr>
            <w:tcW w:w="922" w:type="pct"/>
            <w:tcBorders>
              <w:top w:val="single" w:sz="4" w:space="0" w:color="auto"/>
              <w:left w:val="single" w:sz="4" w:space="0" w:color="auto"/>
              <w:bottom w:val="single" w:sz="4" w:space="0" w:color="auto"/>
              <w:right w:val="single" w:sz="4" w:space="0" w:color="auto"/>
            </w:tcBorders>
            <w:hideMark/>
          </w:tcPr>
          <w:p w14:paraId="6B765C37"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448</w:t>
            </w:r>
          </w:p>
        </w:tc>
        <w:tc>
          <w:tcPr>
            <w:tcW w:w="998" w:type="pct"/>
            <w:tcBorders>
              <w:top w:val="single" w:sz="4" w:space="0" w:color="auto"/>
              <w:left w:val="single" w:sz="4" w:space="0" w:color="auto"/>
              <w:bottom w:val="single" w:sz="4" w:space="0" w:color="auto"/>
              <w:right w:val="single" w:sz="4" w:space="0" w:color="auto"/>
            </w:tcBorders>
            <w:hideMark/>
          </w:tcPr>
          <w:p w14:paraId="36BCA5EA" w14:textId="2EDC0976" w:rsidR="00222C40" w:rsidRPr="004B2A39" w:rsidRDefault="004B2A39" w:rsidP="00605D6D">
            <w:pPr>
              <w:widowControl w:val="0"/>
              <w:suppressAutoHyphens/>
              <w:jc w:val="center"/>
              <w:rPr>
                <w:snapToGrid w:val="0"/>
                <w:sz w:val="20"/>
                <w:szCs w:val="20"/>
              </w:rPr>
            </w:pPr>
            <w:r>
              <w:rPr>
                <w:snapToGrid w:val="0"/>
                <w:sz w:val="20"/>
                <w:szCs w:val="20"/>
              </w:rPr>
              <w:t>0</w:t>
            </w:r>
            <w:r w:rsidR="00605E38" w:rsidRPr="007D6E7B">
              <w:rPr>
                <w:snapToGrid w:val="0"/>
                <w:sz w:val="20"/>
                <w:szCs w:val="20"/>
              </w:rPr>
              <w:t>*</w:t>
            </w:r>
          </w:p>
        </w:tc>
        <w:tc>
          <w:tcPr>
            <w:tcW w:w="846" w:type="pct"/>
            <w:tcBorders>
              <w:top w:val="single" w:sz="4" w:space="0" w:color="auto"/>
              <w:left w:val="single" w:sz="4" w:space="0" w:color="auto"/>
              <w:bottom w:val="single" w:sz="4" w:space="0" w:color="auto"/>
              <w:right w:val="single" w:sz="4" w:space="0" w:color="auto"/>
            </w:tcBorders>
            <w:hideMark/>
          </w:tcPr>
          <w:p w14:paraId="7E35C644" w14:textId="77777777" w:rsidR="00222C40" w:rsidRPr="007D5761" w:rsidRDefault="00222C40" w:rsidP="00605D6D">
            <w:pPr>
              <w:widowControl w:val="0"/>
              <w:suppressAutoHyphens/>
              <w:jc w:val="center"/>
              <w:rPr>
                <w:snapToGrid w:val="0"/>
                <w:sz w:val="20"/>
                <w:szCs w:val="20"/>
              </w:rPr>
            </w:pPr>
            <w:r w:rsidRPr="007D5761">
              <w:rPr>
                <w:snapToGrid w:val="0"/>
                <w:sz w:val="20"/>
                <w:szCs w:val="20"/>
              </w:rPr>
              <w:t>0</w:t>
            </w:r>
          </w:p>
        </w:tc>
      </w:tr>
      <w:tr w:rsidR="00222C40" w:rsidRPr="007D6E7B" w14:paraId="2680E068"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661D3EE4" w14:textId="0DAE31DB" w:rsidR="00222C40" w:rsidRPr="005C15FE" w:rsidRDefault="005C15FE" w:rsidP="00D82CA5">
            <w:pPr>
              <w:widowControl w:val="0"/>
              <w:suppressAutoHyphens/>
              <w:jc w:val="left"/>
              <w:rPr>
                <w:snapToGrid w:val="0"/>
                <w:sz w:val="20"/>
                <w:szCs w:val="20"/>
              </w:rPr>
            </w:pPr>
            <w:r w:rsidRPr="005C15FE">
              <w:rPr>
                <w:snapToGrid w:val="0"/>
                <w:sz w:val="20"/>
                <w:szCs w:val="20"/>
                <w:lang w:val="fr-FR"/>
              </w:rPr>
              <w:t>Banque mondiale</w:t>
            </w:r>
          </w:p>
        </w:tc>
        <w:tc>
          <w:tcPr>
            <w:tcW w:w="864" w:type="pct"/>
            <w:tcBorders>
              <w:top w:val="single" w:sz="4" w:space="0" w:color="auto"/>
              <w:left w:val="single" w:sz="4" w:space="0" w:color="auto"/>
              <w:bottom w:val="single" w:sz="4" w:space="0" w:color="auto"/>
              <w:right w:val="single" w:sz="4" w:space="0" w:color="auto"/>
            </w:tcBorders>
            <w:hideMark/>
          </w:tcPr>
          <w:p w14:paraId="0B029443" w14:textId="77777777" w:rsidR="00222C40" w:rsidRPr="007D6E7B" w:rsidRDefault="00222C40" w:rsidP="00605D6D">
            <w:pPr>
              <w:widowControl w:val="0"/>
              <w:suppressAutoHyphens/>
              <w:jc w:val="center"/>
              <w:rPr>
                <w:snapToGrid w:val="0"/>
                <w:sz w:val="20"/>
                <w:szCs w:val="20"/>
              </w:rPr>
            </w:pPr>
            <w:r w:rsidRPr="007D6E7B">
              <w:rPr>
                <w:snapToGrid w:val="0"/>
                <w:sz w:val="20"/>
                <w:szCs w:val="20"/>
              </w:rPr>
              <w:t>457</w:t>
            </w:r>
          </w:p>
        </w:tc>
        <w:tc>
          <w:tcPr>
            <w:tcW w:w="922" w:type="pct"/>
            <w:tcBorders>
              <w:top w:val="single" w:sz="4" w:space="0" w:color="auto"/>
              <w:left w:val="single" w:sz="4" w:space="0" w:color="auto"/>
              <w:bottom w:val="single" w:sz="4" w:space="0" w:color="auto"/>
              <w:right w:val="single" w:sz="4" w:space="0" w:color="auto"/>
            </w:tcBorders>
            <w:hideMark/>
          </w:tcPr>
          <w:p w14:paraId="7CFE833C" w14:textId="5857F997" w:rsidR="00222C40" w:rsidRPr="007D6E7B" w:rsidRDefault="00222C40" w:rsidP="00605D6D">
            <w:pPr>
              <w:widowControl w:val="0"/>
              <w:suppressAutoHyphens/>
              <w:jc w:val="center"/>
              <w:rPr>
                <w:snapToGrid w:val="0"/>
                <w:sz w:val="20"/>
                <w:szCs w:val="20"/>
              </w:rPr>
            </w:pPr>
            <w:r w:rsidRPr="007D6E7B">
              <w:rPr>
                <w:snapToGrid w:val="0"/>
                <w:sz w:val="20"/>
                <w:szCs w:val="20"/>
              </w:rPr>
              <w:t>45</w:t>
            </w:r>
            <w:r w:rsidR="00FF3995" w:rsidRPr="007D6E7B">
              <w:rPr>
                <w:snapToGrid w:val="0"/>
                <w:sz w:val="20"/>
                <w:szCs w:val="20"/>
              </w:rPr>
              <w:t>4</w:t>
            </w:r>
          </w:p>
        </w:tc>
        <w:tc>
          <w:tcPr>
            <w:tcW w:w="998" w:type="pct"/>
            <w:tcBorders>
              <w:top w:val="single" w:sz="4" w:space="0" w:color="auto"/>
              <w:left w:val="single" w:sz="4" w:space="0" w:color="auto"/>
              <w:bottom w:val="single" w:sz="4" w:space="0" w:color="auto"/>
              <w:right w:val="single" w:sz="4" w:space="0" w:color="auto"/>
            </w:tcBorders>
            <w:hideMark/>
          </w:tcPr>
          <w:p w14:paraId="4AFD9E24" w14:textId="47FD2AB6" w:rsidR="00222C40" w:rsidRPr="007D6E7B" w:rsidRDefault="004B2A39" w:rsidP="00605D6D">
            <w:pPr>
              <w:widowControl w:val="0"/>
              <w:suppressAutoHyphens/>
              <w:jc w:val="center"/>
              <w:rPr>
                <w:snapToGrid w:val="0"/>
                <w:sz w:val="20"/>
                <w:szCs w:val="20"/>
              </w:rPr>
            </w:pPr>
            <w:r w:rsidRPr="007D6E7B">
              <w:rPr>
                <w:snapToGrid w:val="0"/>
                <w:sz w:val="20"/>
                <w:szCs w:val="20"/>
              </w:rPr>
              <w:t>1</w:t>
            </w:r>
          </w:p>
        </w:tc>
        <w:tc>
          <w:tcPr>
            <w:tcW w:w="846" w:type="pct"/>
            <w:tcBorders>
              <w:top w:val="single" w:sz="4" w:space="0" w:color="auto"/>
              <w:left w:val="single" w:sz="4" w:space="0" w:color="auto"/>
              <w:bottom w:val="single" w:sz="4" w:space="0" w:color="auto"/>
              <w:right w:val="single" w:sz="4" w:space="0" w:color="auto"/>
            </w:tcBorders>
            <w:hideMark/>
          </w:tcPr>
          <w:p w14:paraId="7EA8A2F7" w14:textId="14161925" w:rsidR="00222C40" w:rsidRPr="007D6E7B" w:rsidRDefault="004B2A39" w:rsidP="00605D6D">
            <w:pPr>
              <w:widowControl w:val="0"/>
              <w:suppressAutoHyphens/>
              <w:jc w:val="center"/>
              <w:rPr>
                <w:snapToGrid w:val="0"/>
                <w:sz w:val="20"/>
                <w:szCs w:val="20"/>
              </w:rPr>
            </w:pPr>
            <w:r w:rsidRPr="007D6E7B">
              <w:rPr>
                <w:snapToGrid w:val="0"/>
                <w:sz w:val="20"/>
                <w:szCs w:val="20"/>
              </w:rPr>
              <w:t>2</w:t>
            </w:r>
          </w:p>
        </w:tc>
      </w:tr>
      <w:tr w:rsidR="00222C40" w:rsidRPr="007D6E7B" w14:paraId="4192A9AF" w14:textId="77777777" w:rsidTr="005C15FE">
        <w:trPr>
          <w:cantSplit/>
        </w:trPr>
        <w:tc>
          <w:tcPr>
            <w:tcW w:w="1370" w:type="pct"/>
            <w:tcBorders>
              <w:top w:val="single" w:sz="4" w:space="0" w:color="auto"/>
              <w:left w:val="single" w:sz="4" w:space="0" w:color="auto"/>
              <w:bottom w:val="single" w:sz="4" w:space="0" w:color="auto"/>
              <w:right w:val="single" w:sz="4" w:space="0" w:color="auto"/>
            </w:tcBorders>
            <w:hideMark/>
          </w:tcPr>
          <w:p w14:paraId="392DC73B" w14:textId="243E29D2" w:rsidR="00222C40" w:rsidRPr="005C15FE" w:rsidRDefault="005C15FE" w:rsidP="00D82CA5">
            <w:pPr>
              <w:widowControl w:val="0"/>
              <w:suppressAutoHyphens/>
              <w:jc w:val="left"/>
              <w:rPr>
                <w:b/>
                <w:snapToGrid w:val="0"/>
                <w:sz w:val="20"/>
                <w:szCs w:val="20"/>
              </w:rPr>
            </w:pPr>
            <w:r w:rsidRPr="005C15FE">
              <w:rPr>
                <w:b/>
                <w:snapToGrid w:val="0"/>
                <w:sz w:val="20"/>
                <w:szCs w:val="20"/>
                <w:lang w:val="fr-FR"/>
              </w:rPr>
              <w:t>Total</w:t>
            </w:r>
          </w:p>
        </w:tc>
        <w:tc>
          <w:tcPr>
            <w:tcW w:w="864" w:type="pct"/>
            <w:tcBorders>
              <w:top w:val="single" w:sz="4" w:space="0" w:color="auto"/>
              <w:left w:val="single" w:sz="4" w:space="0" w:color="auto"/>
              <w:bottom w:val="single" w:sz="4" w:space="0" w:color="auto"/>
              <w:right w:val="single" w:sz="4" w:space="0" w:color="auto"/>
            </w:tcBorders>
            <w:hideMark/>
          </w:tcPr>
          <w:p w14:paraId="2C40E6EB" w14:textId="5A929158" w:rsidR="00222C40" w:rsidRPr="007D6E7B" w:rsidRDefault="00222C40" w:rsidP="00273F5E">
            <w:pPr>
              <w:widowControl w:val="0"/>
              <w:tabs>
                <w:tab w:val="left" w:pos="600"/>
                <w:tab w:val="center" w:pos="915"/>
              </w:tabs>
              <w:suppressAutoHyphens/>
              <w:jc w:val="center"/>
              <w:rPr>
                <w:b/>
                <w:snapToGrid w:val="0"/>
                <w:sz w:val="20"/>
                <w:szCs w:val="20"/>
              </w:rPr>
            </w:pPr>
            <w:r w:rsidRPr="007D6E7B">
              <w:rPr>
                <w:b/>
                <w:snapToGrid w:val="0"/>
                <w:sz w:val="20"/>
                <w:szCs w:val="20"/>
              </w:rPr>
              <w:t>1</w:t>
            </w:r>
            <w:r w:rsidR="00273F5E">
              <w:rPr>
                <w:b/>
                <w:snapToGrid w:val="0"/>
                <w:sz w:val="20"/>
                <w:szCs w:val="20"/>
              </w:rPr>
              <w:t> </w:t>
            </w:r>
            <w:r w:rsidRPr="007D6E7B">
              <w:rPr>
                <w:b/>
                <w:snapToGrid w:val="0"/>
                <w:sz w:val="20"/>
                <w:szCs w:val="20"/>
              </w:rPr>
              <w:t>85</w:t>
            </w:r>
            <w:r w:rsidR="002027EB" w:rsidRPr="007D6E7B">
              <w:rPr>
                <w:b/>
                <w:snapToGrid w:val="0"/>
                <w:sz w:val="20"/>
                <w:szCs w:val="20"/>
              </w:rPr>
              <w:t>6</w:t>
            </w:r>
          </w:p>
        </w:tc>
        <w:tc>
          <w:tcPr>
            <w:tcW w:w="922" w:type="pct"/>
            <w:tcBorders>
              <w:top w:val="single" w:sz="4" w:space="0" w:color="auto"/>
              <w:left w:val="single" w:sz="4" w:space="0" w:color="auto"/>
              <w:bottom w:val="single" w:sz="4" w:space="0" w:color="auto"/>
              <w:right w:val="single" w:sz="4" w:space="0" w:color="auto"/>
            </w:tcBorders>
            <w:hideMark/>
          </w:tcPr>
          <w:p w14:paraId="50E79FF5" w14:textId="5370E55A" w:rsidR="00222C40" w:rsidRPr="007D6E7B" w:rsidRDefault="00FF3995" w:rsidP="00273F5E">
            <w:pPr>
              <w:widowControl w:val="0"/>
              <w:suppressAutoHyphens/>
              <w:jc w:val="center"/>
              <w:rPr>
                <w:b/>
                <w:snapToGrid w:val="0"/>
                <w:sz w:val="20"/>
                <w:szCs w:val="20"/>
              </w:rPr>
            </w:pPr>
            <w:r w:rsidRPr="007D6E7B">
              <w:rPr>
                <w:b/>
                <w:snapToGrid w:val="0"/>
                <w:sz w:val="20"/>
                <w:szCs w:val="20"/>
              </w:rPr>
              <w:t>1</w:t>
            </w:r>
            <w:r w:rsidR="00273F5E">
              <w:rPr>
                <w:b/>
                <w:snapToGrid w:val="0"/>
                <w:sz w:val="20"/>
                <w:szCs w:val="20"/>
              </w:rPr>
              <w:t> </w:t>
            </w:r>
            <w:r w:rsidRPr="007D6E7B">
              <w:rPr>
                <w:b/>
                <w:snapToGrid w:val="0"/>
                <w:sz w:val="20"/>
                <w:szCs w:val="20"/>
              </w:rPr>
              <w:t>850</w:t>
            </w:r>
          </w:p>
        </w:tc>
        <w:tc>
          <w:tcPr>
            <w:tcW w:w="998" w:type="pct"/>
            <w:tcBorders>
              <w:top w:val="single" w:sz="4" w:space="0" w:color="auto"/>
              <w:left w:val="single" w:sz="4" w:space="0" w:color="auto"/>
              <w:bottom w:val="single" w:sz="4" w:space="0" w:color="auto"/>
              <w:right w:val="single" w:sz="4" w:space="0" w:color="auto"/>
            </w:tcBorders>
            <w:hideMark/>
          </w:tcPr>
          <w:p w14:paraId="60F06AFE" w14:textId="7B27097E" w:rsidR="00222C40" w:rsidRPr="007D6E7B" w:rsidRDefault="007D5761" w:rsidP="00605D6D">
            <w:pPr>
              <w:widowControl w:val="0"/>
              <w:suppressAutoHyphens/>
              <w:jc w:val="center"/>
              <w:rPr>
                <w:b/>
                <w:snapToGrid w:val="0"/>
                <w:sz w:val="20"/>
                <w:szCs w:val="20"/>
              </w:rPr>
            </w:pPr>
            <w:r w:rsidRPr="007D6E7B">
              <w:rPr>
                <w:b/>
                <w:snapToGrid w:val="0"/>
                <w:sz w:val="20"/>
                <w:szCs w:val="20"/>
              </w:rPr>
              <w:t>3</w:t>
            </w:r>
          </w:p>
        </w:tc>
        <w:tc>
          <w:tcPr>
            <w:tcW w:w="846" w:type="pct"/>
            <w:tcBorders>
              <w:top w:val="single" w:sz="4" w:space="0" w:color="auto"/>
              <w:left w:val="single" w:sz="4" w:space="0" w:color="auto"/>
              <w:bottom w:val="single" w:sz="4" w:space="0" w:color="auto"/>
              <w:right w:val="single" w:sz="4" w:space="0" w:color="auto"/>
            </w:tcBorders>
            <w:hideMark/>
          </w:tcPr>
          <w:p w14:paraId="02458F2F" w14:textId="139A3D79" w:rsidR="00222C40" w:rsidRPr="007D6E7B" w:rsidRDefault="007D5761" w:rsidP="00605D6D">
            <w:pPr>
              <w:widowControl w:val="0"/>
              <w:suppressAutoHyphens/>
              <w:jc w:val="center"/>
              <w:rPr>
                <w:b/>
                <w:snapToGrid w:val="0"/>
                <w:sz w:val="20"/>
                <w:szCs w:val="20"/>
              </w:rPr>
            </w:pPr>
            <w:r w:rsidRPr="007D6E7B">
              <w:rPr>
                <w:b/>
                <w:snapToGrid w:val="0"/>
                <w:sz w:val="20"/>
                <w:szCs w:val="20"/>
              </w:rPr>
              <w:t>3</w:t>
            </w:r>
          </w:p>
        </w:tc>
      </w:tr>
    </w:tbl>
    <w:bookmarkEnd w:id="10"/>
    <w:p w14:paraId="3AAED6D2" w14:textId="1E6EBEB2" w:rsidR="004B2A39" w:rsidRPr="00714F80" w:rsidRDefault="005C15FE" w:rsidP="005C15FE">
      <w:pPr>
        <w:pStyle w:val="Heading1"/>
        <w:numPr>
          <w:ilvl w:val="0"/>
          <w:numId w:val="0"/>
        </w:numPr>
        <w:rPr>
          <w:sz w:val="20"/>
          <w:lang w:val="fr-CA"/>
        </w:rPr>
      </w:pPr>
      <w:r w:rsidRPr="005C15FE">
        <w:rPr>
          <w:sz w:val="20"/>
          <w:lang w:val="fr-FR"/>
        </w:rPr>
        <w:t>L</w:t>
      </w:r>
      <w:r w:rsidR="00F5401A">
        <w:rPr>
          <w:sz w:val="20"/>
          <w:lang w:val="fr-FR"/>
        </w:rPr>
        <w:t>’</w:t>
      </w:r>
      <w:r w:rsidRPr="005C15FE">
        <w:rPr>
          <w:sz w:val="20"/>
          <w:lang w:val="fr-FR"/>
        </w:rPr>
        <w:t>ONUDI a soumis un RAP (EGY/ARS/50/INV/92) qui ne faisait pas partie des objectifs de 2021.</w:t>
      </w:r>
    </w:p>
    <w:p w14:paraId="2AAA50C4" w14:textId="712BE67D" w:rsidR="005C15FE" w:rsidRPr="00714F80" w:rsidRDefault="005C15FE" w:rsidP="005C15FE">
      <w:pPr>
        <w:pStyle w:val="Heading1"/>
        <w:numPr>
          <w:ilvl w:val="0"/>
          <w:numId w:val="21"/>
        </w:numPr>
        <w:spacing w:before="240"/>
        <w:rPr>
          <w:lang w:val="fr-CA"/>
        </w:rPr>
      </w:pPr>
      <w:r w:rsidRPr="005C15FE">
        <w:rPr>
          <w:lang w:val="fr-FR"/>
        </w:rPr>
        <w:t>Sur les 1 234 projets ne portant pas sur des investissements</w:t>
      </w:r>
      <w:r w:rsidRPr="005C15FE">
        <w:rPr>
          <w:rStyle w:val="FootnoteReference"/>
          <w:lang w:val="fr-FR"/>
        </w:rPr>
        <w:footnoteReference w:id="3"/>
      </w:r>
      <w:r w:rsidRPr="005C15FE">
        <w:rPr>
          <w:lang w:val="fr-FR"/>
        </w:rPr>
        <w:t xml:space="preserve"> menés à bien, les agences bilatérales et d</w:t>
      </w:r>
      <w:r w:rsidR="00F5401A">
        <w:rPr>
          <w:lang w:val="fr-FR"/>
        </w:rPr>
        <w:t>’</w:t>
      </w:r>
      <w:r w:rsidRPr="005C15FE">
        <w:rPr>
          <w:lang w:val="fr-FR"/>
        </w:rPr>
        <w:t>exécution ont soumis 1 221 rapports d</w:t>
      </w:r>
      <w:r w:rsidR="00F5401A">
        <w:rPr>
          <w:lang w:val="fr-FR"/>
        </w:rPr>
        <w:t>’</w:t>
      </w:r>
      <w:r w:rsidRPr="005C15FE">
        <w:rPr>
          <w:lang w:val="fr-FR"/>
        </w:rPr>
        <w:t>achèvement de projet, laissant 13 RAP</w:t>
      </w:r>
      <w:r w:rsidR="00F5401A">
        <w:rPr>
          <w:lang w:val="fr-FR"/>
        </w:rPr>
        <w:t> </w:t>
      </w:r>
      <w:r w:rsidRPr="005C15FE">
        <w:rPr>
          <w:lang w:val="fr-FR"/>
        </w:rPr>
        <w:t>en souffrance, comme l</w:t>
      </w:r>
      <w:r w:rsidR="00F5401A">
        <w:rPr>
          <w:lang w:val="fr-FR"/>
        </w:rPr>
        <w:t>’</w:t>
      </w:r>
      <w:r w:rsidRPr="005C15FE">
        <w:rPr>
          <w:lang w:val="fr-FR"/>
        </w:rPr>
        <w:t>indique le tableau 4.</w:t>
      </w:r>
      <w:r w:rsidRPr="00714F80">
        <w:rPr>
          <w:lang w:val="fr-CA"/>
        </w:rPr>
        <w:t xml:space="preserve"> </w:t>
      </w:r>
    </w:p>
    <w:p w14:paraId="1D68B611" w14:textId="29B1C924" w:rsidR="00222C40" w:rsidRPr="00714F80" w:rsidRDefault="005C15FE" w:rsidP="00605D6D">
      <w:pPr>
        <w:pStyle w:val="FootnoteText"/>
        <w:keepNext/>
        <w:keepLines/>
        <w:widowControl w:val="0"/>
        <w:ind w:left="14"/>
        <w:contextualSpacing/>
        <w:rPr>
          <w:b/>
          <w:sz w:val="21"/>
          <w:szCs w:val="21"/>
          <w:lang w:val="fr-CA"/>
        </w:rPr>
      </w:pPr>
      <w:r w:rsidRPr="005C15FE">
        <w:rPr>
          <w:b/>
          <w:sz w:val="21"/>
          <w:szCs w:val="21"/>
          <w:lang w:val="fr-FR"/>
        </w:rPr>
        <w:t>Tableau 4. RAP remis pour des projets ne portant pas sur des investissements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67"/>
        <w:gridCol w:w="1868"/>
        <w:gridCol w:w="1867"/>
        <w:gridCol w:w="1868"/>
      </w:tblGrid>
      <w:tr w:rsidR="00222C40" w:rsidRPr="00CF4114" w14:paraId="5A6706F5" w14:textId="77777777" w:rsidTr="00E6546D">
        <w:trPr>
          <w:trHeight w:val="467"/>
          <w:tblHeader/>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551D6E5C" w14:textId="38389BFF" w:rsidR="00222C40" w:rsidRPr="005C15FE" w:rsidRDefault="005C15FE" w:rsidP="00D82CA5">
            <w:pPr>
              <w:widowControl w:val="0"/>
              <w:jc w:val="left"/>
              <w:rPr>
                <w:b/>
                <w:color w:val="000000"/>
                <w:sz w:val="20"/>
                <w:szCs w:val="20"/>
              </w:rPr>
            </w:pPr>
            <w:r w:rsidRPr="005C15FE">
              <w:rPr>
                <w:b/>
                <w:color w:val="000000"/>
                <w:sz w:val="20"/>
                <w:szCs w:val="20"/>
                <w:lang w:val="fr-FR"/>
              </w:rPr>
              <w:t>Agence</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51FA480" w14:textId="23461001" w:rsidR="00222C40" w:rsidRPr="005C15FE" w:rsidRDefault="005C15FE" w:rsidP="00D82CA5">
            <w:pPr>
              <w:widowControl w:val="0"/>
              <w:jc w:val="center"/>
              <w:rPr>
                <w:b/>
                <w:color w:val="000000"/>
                <w:sz w:val="20"/>
                <w:szCs w:val="20"/>
              </w:rPr>
            </w:pPr>
            <w:r w:rsidRPr="005C15FE">
              <w:rPr>
                <w:b/>
                <w:color w:val="000000"/>
                <w:sz w:val="20"/>
                <w:szCs w:val="20"/>
                <w:lang w:val="fr-FR"/>
              </w:rPr>
              <w:t>Achevés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5096514" w14:textId="07D2D34F" w:rsidR="00222C40" w:rsidRPr="00714F80" w:rsidRDefault="005C15FE" w:rsidP="00D82CA5">
            <w:pPr>
              <w:widowControl w:val="0"/>
              <w:jc w:val="center"/>
              <w:rPr>
                <w:b/>
                <w:sz w:val="20"/>
                <w:szCs w:val="20"/>
                <w:lang w:val="fr-CA"/>
              </w:rPr>
            </w:pPr>
            <w:r w:rsidRPr="005C15FE">
              <w:rPr>
                <w:b/>
                <w:sz w:val="20"/>
                <w:szCs w:val="20"/>
                <w:lang w:val="fr-FR"/>
              </w:rPr>
              <w:t>Reçus avant la 86</w:t>
            </w:r>
            <w:r w:rsidRPr="005C15FE">
              <w:rPr>
                <w:b/>
                <w:sz w:val="20"/>
                <w:szCs w:val="20"/>
                <w:vertAlign w:val="superscript"/>
                <w:lang w:val="fr-FR"/>
              </w:rPr>
              <w:t>e</w:t>
            </w:r>
            <w:r w:rsidR="00F5401A">
              <w:rPr>
                <w:b/>
                <w:sz w:val="20"/>
                <w:szCs w:val="20"/>
                <w:lang w:val="fr-FR"/>
              </w:rPr>
              <w:t> </w:t>
            </w:r>
            <w:r w:rsidRPr="005C15FE">
              <w:rPr>
                <w:b/>
                <w:sz w:val="20"/>
                <w:szCs w:val="20"/>
                <w:lang w:val="fr-FR"/>
              </w:rPr>
              <w:t>réunion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9E894BF" w14:textId="4E5E01CE" w:rsidR="00222C40" w:rsidRPr="00714F80" w:rsidRDefault="005C15FE" w:rsidP="00D82CA5">
            <w:pPr>
              <w:widowControl w:val="0"/>
              <w:jc w:val="center"/>
              <w:rPr>
                <w:b/>
                <w:sz w:val="20"/>
                <w:szCs w:val="20"/>
                <w:lang w:val="fr-CA"/>
              </w:rPr>
            </w:pPr>
            <w:r w:rsidRPr="005C15FE">
              <w:rPr>
                <w:b/>
                <w:sz w:val="20"/>
                <w:szCs w:val="20"/>
                <w:lang w:val="fr-FR"/>
              </w:rPr>
              <w:t>Reçus après la 86e</w:t>
            </w:r>
            <w:r w:rsidR="00F5401A">
              <w:rPr>
                <w:b/>
                <w:sz w:val="20"/>
                <w:szCs w:val="20"/>
                <w:lang w:val="fr-FR"/>
              </w:rPr>
              <w:t> </w:t>
            </w:r>
            <w:r w:rsidRPr="005C15FE">
              <w:rPr>
                <w:b/>
                <w:sz w:val="20"/>
                <w:szCs w:val="20"/>
                <w:lang w:val="fr-FR"/>
              </w:rPr>
              <w:t>réunion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A9F3FFF" w14:textId="4DFD9FA0" w:rsidR="00222C40" w:rsidRPr="005C15FE" w:rsidRDefault="005C15FE" w:rsidP="00D82CA5">
            <w:pPr>
              <w:widowControl w:val="0"/>
              <w:jc w:val="center"/>
              <w:rPr>
                <w:b/>
                <w:sz w:val="20"/>
                <w:szCs w:val="20"/>
              </w:rPr>
            </w:pPr>
            <w:r w:rsidRPr="005C15FE">
              <w:rPr>
                <w:b/>
                <w:sz w:val="20"/>
                <w:szCs w:val="20"/>
                <w:lang w:val="fr-FR"/>
              </w:rPr>
              <w:t>En instance</w:t>
            </w:r>
          </w:p>
        </w:tc>
      </w:tr>
      <w:tr w:rsidR="00222C40" w:rsidRPr="00CF4114" w14:paraId="5D291751"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3D82BF5E" w14:textId="08C5A64A" w:rsidR="00222C40" w:rsidRPr="005C15FE" w:rsidRDefault="005C15FE" w:rsidP="00D82CA5">
            <w:pPr>
              <w:widowControl w:val="0"/>
              <w:jc w:val="left"/>
              <w:rPr>
                <w:color w:val="000000"/>
                <w:sz w:val="20"/>
                <w:szCs w:val="20"/>
              </w:rPr>
            </w:pPr>
            <w:r w:rsidRPr="005C15FE">
              <w:rPr>
                <w:color w:val="000000"/>
                <w:sz w:val="20"/>
                <w:szCs w:val="20"/>
                <w:lang w:val="fr-FR"/>
              </w:rPr>
              <w:t>Canada</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5BF4553C" w14:textId="77777777" w:rsidR="00222C40" w:rsidRPr="00323A06" w:rsidRDefault="00222C40" w:rsidP="00605D6D">
            <w:pPr>
              <w:widowControl w:val="0"/>
              <w:ind w:left="-25" w:right="-605"/>
              <w:jc w:val="center"/>
              <w:rPr>
                <w:sz w:val="20"/>
                <w:szCs w:val="20"/>
              </w:rPr>
            </w:pPr>
            <w:r w:rsidRPr="00323A06">
              <w:rPr>
                <w:sz w:val="20"/>
                <w:szCs w:val="20"/>
              </w:rPr>
              <w:t>57</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4776C1B4" w14:textId="023F5526" w:rsidR="00222C40" w:rsidRPr="00323A06" w:rsidRDefault="00222C40" w:rsidP="00605D6D">
            <w:pPr>
              <w:widowControl w:val="0"/>
              <w:ind w:left="778"/>
              <w:jc w:val="center"/>
              <w:rPr>
                <w:sz w:val="20"/>
                <w:szCs w:val="20"/>
              </w:rPr>
            </w:pPr>
            <w:r w:rsidRPr="00323A06">
              <w:rPr>
                <w:sz w:val="20"/>
                <w:szCs w:val="20"/>
              </w:rPr>
              <w:t>5</w:t>
            </w:r>
            <w:r w:rsidR="007D5761" w:rsidRPr="00323A06">
              <w:rPr>
                <w:sz w:val="20"/>
                <w:szCs w:val="20"/>
              </w:rPr>
              <w:t>7</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31F1E73D" w14:textId="1E9E223F" w:rsidR="00222C40" w:rsidRPr="00323A06" w:rsidRDefault="007D5761"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2840E8A0" w14:textId="77777777" w:rsidR="00222C40" w:rsidRPr="00323A06" w:rsidRDefault="00222C40" w:rsidP="00605D6D">
            <w:pPr>
              <w:widowControl w:val="0"/>
              <w:ind w:right="-799"/>
              <w:jc w:val="center"/>
              <w:rPr>
                <w:sz w:val="20"/>
                <w:szCs w:val="20"/>
              </w:rPr>
            </w:pPr>
            <w:r w:rsidRPr="00323A06">
              <w:rPr>
                <w:sz w:val="20"/>
                <w:szCs w:val="20"/>
              </w:rPr>
              <w:t>0</w:t>
            </w:r>
          </w:p>
        </w:tc>
      </w:tr>
      <w:tr w:rsidR="00222C40" w:rsidRPr="00CF4114" w14:paraId="37DBE9CB"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0C706C6D" w14:textId="219568D3" w:rsidR="00222C40" w:rsidRPr="005C15FE" w:rsidRDefault="005C15FE" w:rsidP="00D82CA5">
            <w:pPr>
              <w:widowControl w:val="0"/>
              <w:jc w:val="left"/>
              <w:rPr>
                <w:color w:val="000000"/>
                <w:sz w:val="20"/>
                <w:szCs w:val="20"/>
              </w:rPr>
            </w:pPr>
            <w:r w:rsidRPr="005C15FE">
              <w:rPr>
                <w:color w:val="000000"/>
                <w:sz w:val="20"/>
                <w:szCs w:val="20"/>
                <w:lang w:val="fr-FR"/>
              </w:rPr>
              <w:t>France</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4FFC3796" w14:textId="77777777" w:rsidR="00222C40" w:rsidRPr="00323A06" w:rsidRDefault="00222C40" w:rsidP="00605D6D">
            <w:pPr>
              <w:widowControl w:val="0"/>
              <w:ind w:left="-25" w:right="-605"/>
              <w:jc w:val="center"/>
              <w:rPr>
                <w:sz w:val="20"/>
                <w:szCs w:val="20"/>
              </w:rPr>
            </w:pPr>
            <w:r w:rsidRPr="00323A06">
              <w:rPr>
                <w:sz w:val="20"/>
                <w:szCs w:val="20"/>
              </w:rPr>
              <w:t>34</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19ED52DB" w14:textId="77777777" w:rsidR="00222C40" w:rsidRPr="00323A06" w:rsidRDefault="00222C40" w:rsidP="00605D6D">
            <w:pPr>
              <w:widowControl w:val="0"/>
              <w:ind w:left="778"/>
              <w:jc w:val="center"/>
              <w:rPr>
                <w:sz w:val="20"/>
                <w:szCs w:val="20"/>
              </w:rPr>
            </w:pPr>
            <w:r w:rsidRPr="00323A06">
              <w:rPr>
                <w:sz w:val="20"/>
                <w:szCs w:val="20"/>
              </w:rPr>
              <w:t>34</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40905B79" w14:textId="77777777" w:rsidR="00222C40" w:rsidRPr="00323A06" w:rsidRDefault="00222C40"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7D120878" w14:textId="77777777" w:rsidR="00222C40" w:rsidRPr="00323A06" w:rsidRDefault="00222C40" w:rsidP="00605D6D">
            <w:pPr>
              <w:widowControl w:val="0"/>
              <w:ind w:right="-799"/>
              <w:jc w:val="center"/>
              <w:rPr>
                <w:sz w:val="20"/>
                <w:szCs w:val="20"/>
              </w:rPr>
            </w:pPr>
            <w:r w:rsidRPr="00323A06">
              <w:rPr>
                <w:sz w:val="20"/>
                <w:szCs w:val="20"/>
              </w:rPr>
              <w:t>0</w:t>
            </w:r>
          </w:p>
        </w:tc>
      </w:tr>
      <w:tr w:rsidR="00222C40" w:rsidRPr="00CF4114" w14:paraId="5F89A031"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0AA4D083" w14:textId="52A1F355" w:rsidR="00222C40" w:rsidRPr="005C15FE" w:rsidRDefault="005C15FE" w:rsidP="00D82CA5">
            <w:pPr>
              <w:widowControl w:val="0"/>
              <w:jc w:val="left"/>
              <w:rPr>
                <w:color w:val="000000"/>
                <w:sz w:val="20"/>
                <w:szCs w:val="20"/>
              </w:rPr>
            </w:pPr>
            <w:r w:rsidRPr="005C15FE">
              <w:rPr>
                <w:color w:val="000000"/>
                <w:sz w:val="20"/>
                <w:szCs w:val="20"/>
                <w:lang w:val="fr-FR"/>
              </w:rPr>
              <w:t>Allemagne</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6FDFFB2B" w14:textId="77777777" w:rsidR="00222C40" w:rsidRPr="00323A06" w:rsidRDefault="00222C40" w:rsidP="00605D6D">
            <w:pPr>
              <w:widowControl w:val="0"/>
              <w:ind w:left="-25" w:right="-605"/>
              <w:jc w:val="center"/>
              <w:rPr>
                <w:sz w:val="20"/>
                <w:szCs w:val="20"/>
              </w:rPr>
            </w:pPr>
            <w:r w:rsidRPr="00323A06">
              <w:rPr>
                <w:sz w:val="20"/>
                <w:szCs w:val="20"/>
              </w:rPr>
              <w:t>61</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7EB388B1" w14:textId="77777777" w:rsidR="00222C40" w:rsidRPr="00323A06" w:rsidRDefault="00222C40" w:rsidP="00605D6D">
            <w:pPr>
              <w:widowControl w:val="0"/>
              <w:ind w:left="778"/>
              <w:jc w:val="center"/>
              <w:rPr>
                <w:sz w:val="20"/>
                <w:szCs w:val="20"/>
              </w:rPr>
            </w:pPr>
            <w:r w:rsidRPr="00323A06">
              <w:rPr>
                <w:sz w:val="20"/>
                <w:szCs w:val="20"/>
              </w:rPr>
              <w:t>60</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488FFA0B" w14:textId="77777777" w:rsidR="00222C40" w:rsidRPr="00323A06" w:rsidRDefault="00222C40"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567848B1" w14:textId="77777777" w:rsidR="00222C40" w:rsidRPr="00323A06" w:rsidRDefault="00222C40" w:rsidP="00605D6D">
            <w:pPr>
              <w:widowControl w:val="0"/>
              <w:ind w:right="-799"/>
              <w:jc w:val="center"/>
              <w:rPr>
                <w:sz w:val="20"/>
                <w:szCs w:val="20"/>
              </w:rPr>
            </w:pPr>
            <w:r w:rsidRPr="00323A06">
              <w:rPr>
                <w:sz w:val="20"/>
                <w:szCs w:val="20"/>
              </w:rPr>
              <w:t>1</w:t>
            </w:r>
          </w:p>
        </w:tc>
      </w:tr>
      <w:tr w:rsidR="00222C40" w:rsidRPr="00CF4114" w14:paraId="6CDDEF3B"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3DD3553D" w14:textId="7E9729E4" w:rsidR="00222C40" w:rsidRPr="005C15FE" w:rsidRDefault="005C15FE" w:rsidP="00D82CA5">
            <w:pPr>
              <w:widowControl w:val="0"/>
              <w:jc w:val="left"/>
              <w:rPr>
                <w:color w:val="000000"/>
                <w:sz w:val="20"/>
                <w:szCs w:val="20"/>
              </w:rPr>
            </w:pPr>
            <w:r w:rsidRPr="005C15FE">
              <w:rPr>
                <w:color w:val="000000"/>
                <w:sz w:val="20"/>
                <w:szCs w:val="20"/>
                <w:lang w:val="fr-FR"/>
              </w:rPr>
              <w:t>Italie</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6F79CC0A" w14:textId="77777777" w:rsidR="00222C40" w:rsidRPr="00323A06" w:rsidRDefault="00222C40" w:rsidP="00605D6D">
            <w:pPr>
              <w:widowControl w:val="0"/>
              <w:ind w:left="-25" w:right="-605"/>
              <w:jc w:val="center"/>
              <w:rPr>
                <w:sz w:val="20"/>
                <w:szCs w:val="20"/>
              </w:rPr>
            </w:pPr>
            <w:r w:rsidRPr="00323A06">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2E959565" w14:textId="77777777" w:rsidR="00222C40" w:rsidRPr="00323A06" w:rsidRDefault="00222C40" w:rsidP="00605D6D">
            <w:pPr>
              <w:widowControl w:val="0"/>
              <w:ind w:left="778"/>
              <w:jc w:val="center"/>
              <w:rPr>
                <w:sz w:val="20"/>
                <w:szCs w:val="20"/>
              </w:rPr>
            </w:pPr>
            <w:r w:rsidRPr="00323A06">
              <w:rPr>
                <w:sz w:val="20"/>
                <w:szCs w:val="20"/>
              </w:rPr>
              <w:t>1</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3B90FD9D" w14:textId="77777777" w:rsidR="00222C40" w:rsidRPr="00323A06" w:rsidRDefault="00222C40"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445E332C" w14:textId="77777777" w:rsidR="00222C40" w:rsidRPr="00323A06" w:rsidRDefault="00222C40" w:rsidP="00605D6D">
            <w:pPr>
              <w:widowControl w:val="0"/>
              <w:ind w:right="-799"/>
              <w:jc w:val="center"/>
              <w:rPr>
                <w:sz w:val="20"/>
                <w:szCs w:val="20"/>
              </w:rPr>
            </w:pPr>
            <w:r w:rsidRPr="00323A06">
              <w:rPr>
                <w:sz w:val="20"/>
                <w:szCs w:val="20"/>
              </w:rPr>
              <w:t>0</w:t>
            </w:r>
          </w:p>
        </w:tc>
      </w:tr>
      <w:tr w:rsidR="00222C40" w:rsidRPr="00CF4114" w14:paraId="142C5FD2"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92F98E1" w14:textId="106A15F3" w:rsidR="00222C40" w:rsidRPr="005C15FE" w:rsidRDefault="005C15FE" w:rsidP="00D82CA5">
            <w:pPr>
              <w:widowControl w:val="0"/>
              <w:jc w:val="left"/>
              <w:rPr>
                <w:color w:val="000000"/>
                <w:sz w:val="20"/>
                <w:szCs w:val="20"/>
              </w:rPr>
            </w:pPr>
            <w:r w:rsidRPr="005C15FE">
              <w:rPr>
                <w:color w:val="000000"/>
                <w:sz w:val="20"/>
                <w:szCs w:val="20"/>
                <w:lang w:val="fr-FR"/>
              </w:rPr>
              <w:t>Japon</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5208BFB0" w14:textId="77777777" w:rsidR="00222C40" w:rsidRPr="00323A06" w:rsidRDefault="00222C40" w:rsidP="00605D6D">
            <w:pPr>
              <w:widowControl w:val="0"/>
              <w:ind w:left="-25" w:right="-605"/>
              <w:jc w:val="center"/>
              <w:rPr>
                <w:sz w:val="20"/>
                <w:szCs w:val="20"/>
              </w:rPr>
            </w:pPr>
            <w:r w:rsidRPr="00323A06">
              <w:rPr>
                <w:sz w:val="20"/>
                <w:szCs w:val="20"/>
              </w:rPr>
              <w:t>17</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34AE9582" w14:textId="77777777" w:rsidR="00222C40" w:rsidRPr="00323A06" w:rsidRDefault="00222C40" w:rsidP="00605D6D">
            <w:pPr>
              <w:widowControl w:val="0"/>
              <w:ind w:left="778"/>
              <w:jc w:val="center"/>
              <w:rPr>
                <w:sz w:val="20"/>
                <w:szCs w:val="20"/>
              </w:rPr>
            </w:pPr>
            <w:r w:rsidRPr="00323A06">
              <w:rPr>
                <w:sz w:val="20"/>
                <w:szCs w:val="20"/>
              </w:rPr>
              <w:t>17</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28AA7C83" w14:textId="77777777" w:rsidR="00222C40" w:rsidRPr="00323A06" w:rsidRDefault="00222C40"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2F7770BA" w14:textId="77777777" w:rsidR="00222C40" w:rsidRPr="00323A06" w:rsidRDefault="00222C40" w:rsidP="00605D6D">
            <w:pPr>
              <w:widowControl w:val="0"/>
              <w:ind w:right="-799"/>
              <w:jc w:val="center"/>
              <w:rPr>
                <w:sz w:val="20"/>
                <w:szCs w:val="20"/>
              </w:rPr>
            </w:pPr>
            <w:r w:rsidRPr="00323A06">
              <w:rPr>
                <w:sz w:val="20"/>
                <w:szCs w:val="20"/>
              </w:rPr>
              <w:t>0</w:t>
            </w:r>
          </w:p>
        </w:tc>
      </w:tr>
      <w:tr w:rsidR="00222C40" w:rsidRPr="00CF4114" w14:paraId="1EFB8FBB"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0564C360" w14:textId="2782139F" w:rsidR="00222C40" w:rsidRPr="005C15FE" w:rsidRDefault="005C15FE" w:rsidP="00D82CA5">
            <w:pPr>
              <w:widowControl w:val="0"/>
              <w:jc w:val="left"/>
              <w:rPr>
                <w:color w:val="000000"/>
                <w:sz w:val="20"/>
                <w:szCs w:val="20"/>
              </w:rPr>
            </w:pPr>
            <w:r w:rsidRPr="005C15FE">
              <w:rPr>
                <w:color w:val="000000"/>
                <w:sz w:val="20"/>
                <w:szCs w:val="20"/>
                <w:lang w:val="fr-FR"/>
              </w:rPr>
              <w:t>Portugal</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05A7E350" w14:textId="77777777" w:rsidR="00222C40" w:rsidRPr="00323A06" w:rsidRDefault="00222C40" w:rsidP="00605D6D">
            <w:pPr>
              <w:widowControl w:val="0"/>
              <w:ind w:left="-25" w:right="-605"/>
              <w:jc w:val="center"/>
              <w:rPr>
                <w:sz w:val="20"/>
                <w:szCs w:val="20"/>
              </w:rPr>
            </w:pPr>
            <w:r w:rsidRPr="00323A06">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14C838B3" w14:textId="77777777" w:rsidR="00222C40" w:rsidRPr="00323A06" w:rsidRDefault="00222C40" w:rsidP="00605D6D">
            <w:pPr>
              <w:widowControl w:val="0"/>
              <w:ind w:left="778"/>
              <w:jc w:val="center"/>
              <w:rPr>
                <w:sz w:val="20"/>
                <w:szCs w:val="20"/>
              </w:rPr>
            </w:pPr>
            <w:r w:rsidRPr="00323A06">
              <w:rPr>
                <w:sz w:val="20"/>
                <w:szCs w:val="20"/>
              </w:rPr>
              <w:t>0</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6033ED30" w14:textId="77777777" w:rsidR="00222C40" w:rsidRPr="00323A06" w:rsidRDefault="00222C40"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431F3330" w14:textId="77777777" w:rsidR="00222C40" w:rsidRPr="00323A06" w:rsidRDefault="00222C40" w:rsidP="00605D6D">
            <w:pPr>
              <w:widowControl w:val="0"/>
              <w:ind w:right="-799"/>
              <w:jc w:val="center"/>
              <w:rPr>
                <w:sz w:val="20"/>
                <w:szCs w:val="20"/>
              </w:rPr>
            </w:pPr>
            <w:r w:rsidRPr="00323A06">
              <w:rPr>
                <w:sz w:val="20"/>
                <w:szCs w:val="20"/>
              </w:rPr>
              <w:t>1</w:t>
            </w:r>
          </w:p>
        </w:tc>
      </w:tr>
      <w:tr w:rsidR="00FE4BE2" w:rsidRPr="00CF4114" w14:paraId="53625BCC"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tcPr>
          <w:p w14:paraId="33C5C3DD" w14:textId="20C5E6B8" w:rsidR="00FE4BE2" w:rsidRPr="005C15FE" w:rsidRDefault="005C15FE" w:rsidP="00D82CA5">
            <w:pPr>
              <w:widowControl w:val="0"/>
              <w:jc w:val="left"/>
              <w:rPr>
                <w:color w:val="000000"/>
                <w:sz w:val="20"/>
                <w:szCs w:val="20"/>
              </w:rPr>
            </w:pPr>
            <w:r w:rsidRPr="005C15FE">
              <w:rPr>
                <w:color w:val="000000"/>
                <w:sz w:val="20"/>
                <w:szCs w:val="20"/>
                <w:lang w:val="fr-FR"/>
              </w:rPr>
              <w:t>Fédération de Russie</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tcPr>
          <w:p w14:paraId="44F7C156" w14:textId="77777777" w:rsidR="00FE4BE2" w:rsidRPr="00323A06" w:rsidRDefault="00FE4BE2" w:rsidP="00605D6D">
            <w:pPr>
              <w:widowControl w:val="0"/>
              <w:ind w:left="-25" w:right="-605"/>
              <w:jc w:val="center"/>
              <w:rPr>
                <w:sz w:val="20"/>
                <w:szCs w:val="20"/>
              </w:rPr>
            </w:pPr>
            <w:r w:rsidRPr="00323A06">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tcPr>
          <w:p w14:paraId="6FC0E817" w14:textId="77777777" w:rsidR="00FE4BE2" w:rsidRPr="00323A06" w:rsidRDefault="00FE4BE2" w:rsidP="00605D6D">
            <w:pPr>
              <w:widowControl w:val="0"/>
              <w:ind w:left="778"/>
              <w:jc w:val="center"/>
              <w:rPr>
                <w:sz w:val="20"/>
                <w:szCs w:val="20"/>
              </w:rPr>
            </w:pPr>
            <w:r w:rsidRPr="00323A06">
              <w:rPr>
                <w:sz w:val="20"/>
                <w:szCs w:val="20"/>
              </w:rPr>
              <w:t>0</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tcPr>
          <w:p w14:paraId="5694B11E" w14:textId="77777777" w:rsidR="00FE4BE2" w:rsidRPr="00323A06" w:rsidRDefault="00FE4BE2"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tcPr>
          <w:p w14:paraId="215BA1FE" w14:textId="77777777" w:rsidR="00FE4BE2" w:rsidRPr="00323A06" w:rsidRDefault="00FE4BE2" w:rsidP="00605D6D">
            <w:pPr>
              <w:widowControl w:val="0"/>
              <w:ind w:right="-799"/>
              <w:jc w:val="center"/>
              <w:rPr>
                <w:sz w:val="20"/>
                <w:szCs w:val="20"/>
              </w:rPr>
            </w:pPr>
            <w:r w:rsidRPr="00323A06">
              <w:rPr>
                <w:sz w:val="20"/>
                <w:szCs w:val="20"/>
              </w:rPr>
              <w:t>1</w:t>
            </w:r>
          </w:p>
        </w:tc>
      </w:tr>
      <w:tr w:rsidR="00222C40" w:rsidRPr="00CF4114" w14:paraId="5FA2F329"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7F6888BB" w14:textId="6436F4FC" w:rsidR="00222C40" w:rsidRPr="005C15FE" w:rsidRDefault="005C15FE" w:rsidP="00D82CA5">
            <w:pPr>
              <w:widowControl w:val="0"/>
              <w:jc w:val="left"/>
              <w:rPr>
                <w:color w:val="000000"/>
                <w:sz w:val="20"/>
                <w:szCs w:val="20"/>
              </w:rPr>
            </w:pPr>
            <w:r w:rsidRPr="005C15FE">
              <w:rPr>
                <w:color w:val="000000"/>
                <w:sz w:val="20"/>
                <w:szCs w:val="20"/>
                <w:lang w:val="fr-FR"/>
              </w:rPr>
              <w:t>PNUD</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68527627" w14:textId="77777777" w:rsidR="00222C40" w:rsidRPr="00323A06" w:rsidRDefault="00222C40" w:rsidP="00605D6D">
            <w:pPr>
              <w:widowControl w:val="0"/>
              <w:ind w:left="-25" w:right="-605"/>
              <w:jc w:val="center"/>
              <w:rPr>
                <w:sz w:val="20"/>
                <w:szCs w:val="20"/>
              </w:rPr>
            </w:pPr>
            <w:r w:rsidRPr="00323A06">
              <w:rPr>
                <w:sz w:val="20"/>
                <w:szCs w:val="20"/>
              </w:rPr>
              <w:t>29</w:t>
            </w:r>
            <w:r w:rsidR="00C63921" w:rsidRPr="00323A06">
              <w:rPr>
                <w:sz w:val="20"/>
                <w:szCs w:val="20"/>
              </w:rPr>
              <w:t>5</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3E8B98B3" w14:textId="6A88E74E" w:rsidR="00222C40" w:rsidRPr="00323A06" w:rsidRDefault="007D5761" w:rsidP="00605D6D">
            <w:pPr>
              <w:widowControl w:val="0"/>
              <w:ind w:left="778"/>
              <w:jc w:val="center"/>
              <w:rPr>
                <w:sz w:val="20"/>
                <w:szCs w:val="20"/>
              </w:rPr>
            </w:pPr>
            <w:r w:rsidRPr="00323A06">
              <w:rPr>
                <w:sz w:val="20"/>
                <w:szCs w:val="20"/>
              </w:rPr>
              <w:t>294</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0C6DDF66" w14:textId="2150A216" w:rsidR="00222C40" w:rsidRPr="00323A06" w:rsidRDefault="007D5761" w:rsidP="00605D6D">
            <w:pPr>
              <w:widowControl w:val="0"/>
              <w:ind w:left="875"/>
              <w:jc w:val="center"/>
              <w:rPr>
                <w:sz w:val="20"/>
                <w:szCs w:val="20"/>
              </w:rPr>
            </w:pPr>
            <w:r w:rsidRPr="00323A06">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6E2013C2" w14:textId="15CCBC23" w:rsidR="00222C40" w:rsidRPr="00323A06" w:rsidRDefault="007D5761" w:rsidP="00605D6D">
            <w:pPr>
              <w:widowControl w:val="0"/>
              <w:ind w:right="-799"/>
              <w:jc w:val="center"/>
              <w:rPr>
                <w:sz w:val="20"/>
                <w:szCs w:val="20"/>
              </w:rPr>
            </w:pPr>
            <w:r w:rsidRPr="00323A06">
              <w:rPr>
                <w:sz w:val="20"/>
                <w:szCs w:val="20"/>
              </w:rPr>
              <w:t>0</w:t>
            </w:r>
          </w:p>
        </w:tc>
      </w:tr>
      <w:tr w:rsidR="00222C40" w:rsidRPr="00CF4114" w14:paraId="6739E6B0"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09574523" w14:textId="4EBCD1A0" w:rsidR="00222C40" w:rsidRPr="005C15FE" w:rsidRDefault="005C15FE" w:rsidP="00D82CA5">
            <w:pPr>
              <w:widowControl w:val="0"/>
              <w:jc w:val="left"/>
              <w:rPr>
                <w:color w:val="000000"/>
                <w:sz w:val="20"/>
                <w:szCs w:val="20"/>
              </w:rPr>
            </w:pPr>
            <w:r w:rsidRPr="005C15FE">
              <w:rPr>
                <w:color w:val="000000"/>
                <w:sz w:val="20"/>
                <w:szCs w:val="20"/>
                <w:lang w:val="fr-FR"/>
              </w:rPr>
              <w:t>PNUE</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74041000" w14:textId="77777777" w:rsidR="00222C40" w:rsidRPr="00323A06" w:rsidRDefault="00222C40" w:rsidP="00605D6D">
            <w:pPr>
              <w:widowControl w:val="0"/>
              <w:ind w:left="-25" w:right="-605"/>
              <w:jc w:val="center"/>
              <w:rPr>
                <w:sz w:val="20"/>
                <w:szCs w:val="20"/>
              </w:rPr>
            </w:pPr>
            <w:r w:rsidRPr="00323A06">
              <w:rPr>
                <w:sz w:val="20"/>
                <w:szCs w:val="20"/>
              </w:rPr>
              <w:t>47</w:t>
            </w:r>
            <w:r w:rsidR="00C63921" w:rsidRPr="00323A06">
              <w:rPr>
                <w:sz w:val="20"/>
                <w:szCs w:val="20"/>
              </w:rPr>
              <w:t>9</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5AE6CA5B" w14:textId="7D951CC8" w:rsidR="00222C40" w:rsidRPr="00323A06" w:rsidRDefault="007D5761" w:rsidP="00605D6D">
            <w:pPr>
              <w:widowControl w:val="0"/>
              <w:ind w:left="778"/>
              <w:jc w:val="center"/>
              <w:rPr>
                <w:sz w:val="20"/>
                <w:szCs w:val="20"/>
              </w:rPr>
            </w:pPr>
            <w:r w:rsidRPr="00323A06">
              <w:rPr>
                <w:sz w:val="20"/>
                <w:szCs w:val="20"/>
              </w:rPr>
              <w:t>469</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62EDF6B9" w14:textId="3227D811" w:rsidR="00222C40" w:rsidRPr="00323A06" w:rsidRDefault="007D5761" w:rsidP="00605D6D">
            <w:pPr>
              <w:widowControl w:val="0"/>
              <w:ind w:left="875"/>
              <w:jc w:val="center"/>
              <w:rPr>
                <w:sz w:val="20"/>
                <w:szCs w:val="20"/>
              </w:rPr>
            </w:pPr>
            <w:r w:rsidRPr="00323A06">
              <w:rPr>
                <w:sz w:val="20"/>
                <w:szCs w:val="20"/>
              </w:rPr>
              <w:t>3</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5E1F0619" w14:textId="7C944DF0" w:rsidR="00222C40" w:rsidRPr="00323A06" w:rsidRDefault="007D5761" w:rsidP="00605D6D">
            <w:pPr>
              <w:widowControl w:val="0"/>
              <w:ind w:right="-799"/>
              <w:jc w:val="center"/>
              <w:rPr>
                <w:sz w:val="20"/>
                <w:szCs w:val="20"/>
              </w:rPr>
            </w:pPr>
            <w:r w:rsidRPr="00323A06">
              <w:rPr>
                <w:sz w:val="20"/>
                <w:szCs w:val="20"/>
              </w:rPr>
              <w:t>7</w:t>
            </w:r>
          </w:p>
        </w:tc>
      </w:tr>
      <w:tr w:rsidR="00222C40" w:rsidRPr="00CF4114" w14:paraId="751456A6"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3353E693" w14:textId="1793E858" w:rsidR="00222C40" w:rsidRPr="005C15FE" w:rsidRDefault="005C15FE" w:rsidP="00D82CA5">
            <w:pPr>
              <w:widowControl w:val="0"/>
              <w:jc w:val="left"/>
              <w:rPr>
                <w:color w:val="000000"/>
                <w:sz w:val="20"/>
                <w:szCs w:val="20"/>
              </w:rPr>
            </w:pPr>
            <w:r w:rsidRPr="005C15FE">
              <w:rPr>
                <w:color w:val="000000"/>
                <w:sz w:val="20"/>
                <w:szCs w:val="20"/>
                <w:lang w:val="fr-FR"/>
              </w:rPr>
              <w:t>ONUDI</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34C159D0" w14:textId="77777777" w:rsidR="00222C40" w:rsidRPr="00323A06" w:rsidRDefault="00C63921" w:rsidP="00605D6D">
            <w:pPr>
              <w:widowControl w:val="0"/>
              <w:ind w:left="-25" w:right="-605"/>
              <w:jc w:val="center"/>
              <w:rPr>
                <w:sz w:val="20"/>
                <w:szCs w:val="20"/>
              </w:rPr>
            </w:pPr>
            <w:r w:rsidRPr="00323A06">
              <w:rPr>
                <w:sz w:val="20"/>
                <w:szCs w:val="20"/>
              </w:rPr>
              <w:t>154</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789F542E" w14:textId="11E9DEA8" w:rsidR="00222C40" w:rsidRPr="00323A06" w:rsidRDefault="00EB12EE" w:rsidP="00605D6D">
            <w:pPr>
              <w:widowControl w:val="0"/>
              <w:ind w:left="778"/>
              <w:jc w:val="center"/>
              <w:rPr>
                <w:sz w:val="20"/>
                <w:szCs w:val="20"/>
              </w:rPr>
            </w:pPr>
            <w:r w:rsidRPr="00323A06">
              <w:rPr>
                <w:sz w:val="20"/>
                <w:szCs w:val="20"/>
              </w:rPr>
              <w:t>154</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136D5DD4" w14:textId="26D35AC5" w:rsidR="00222C40" w:rsidRPr="00323A06" w:rsidRDefault="00EB12EE"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65B53DE5" w14:textId="75BD57D2" w:rsidR="00222C40" w:rsidRPr="00323A06" w:rsidRDefault="009F2C38" w:rsidP="00605D6D">
            <w:pPr>
              <w:widowControl w:val="0"/>
              <w:ind w:right="-799"/>
              <w:jc w:val="center"/>
              <w:rPr>
                <w:sz w:val="20"/>
                <w:szCs w:val="20"/>
              </w:rPr>
            </w:pPr>
            <w:r w:rsidRPr="00323A06">
              <w:rPr>
                <w:sz w:val="20"/>
                <w:szCs w:val="20"/>
              </w:rPr>
              <w:t>0</w:t>
            </w:r>
          </w:p>
        </w:tc>
      </w:tr>
      <w:tr w:rsidR="00222C40" w:rsidRPr="00CF4114" w14:paraId="01B4D9F5"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284D240E" w14:textId="196C9CE8" w:rsidR="00222C40" w:rsidRPr="005C15FE" w:rsidRDefault="005C15FE" w:rsidP="00D82CA5">
            <w:pPr>
              <w:widowControl w:val="0"/>
              <w:jc w:val="left"/>
              <w:rPr>
                <w:color w:val="000000"/>
                <w:sz w:val="20"/>
                <w:szCs w:val="20"/>
              </w:rPr>
            </w:pPr>
            <w:r w:rsidRPr="005C15FE">
              <w:rPr>
                <w:color w:val="000000"/>
                <w:sz w:val="20"/>
                <w:szCs w:val="20"/>
                <w:lang w:val="fr-FR"/>
              </w:rPr>
              <w:t>Banque mondiale</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326CE968" w14:textId="77777777" w:rsidR="00222C40" w:rsidRPr="00323A06" w:rsidRDefault="00222C40" w:rsidP="00605D6D">
            <w:pPr>
              <w:widowControl w:val="0"/>
              <w:ind w:left="-25" w:right="-605"/>
              <w:jc w:val="center"/>
              <w:rPr>
                <w:sz w:val="20"/>
                <w:szCs w:val="20"/>
              </w:rPr>
            </w:pPr>
            <w:r w:rsidRPr="00323A06">
              <w:rPr>
                <w:sz w:val="20"/>
                <w:szCs w:val="20"/>
              </w:rPr>
              <w:t>44</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1742F6BA" w14:textId="0EAA865C" w:rsidR="00222C40" w:rsidRPr="00323A06" w:rsidRDefault="00222C40" w:rsidP="00605D6D">
            <w:pPr>
              <w:widowControl w:val="0"/>
              <w:ind w:left="778"/>
              <w:jc w:val="center"/>
              <w:rPr>
                <w:sz w:val="20"/>
                <w:szCs w:val="20"/>
              </w:rPr>
            </w:pPr>
            <w:r w:rsidRPr="00323A06">
              <w:rPr>
                <w:sz w:val="20"/>
                <w:szCs w:val="20"/>
              </w:rPr>
              <w:t>3</w:t>
            </w:r>
            <w:r w:rsidR="00EB12EE" w:rsidRPr="00323A06">
              <w:rPr>
                <w:sz w:val="20"/>
                <w:szCs w:val="20"/>
              </w:rPr>
              <w:t>9</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7EFFFD08" w14:textId="05DBD999" w:rsidR="00222C40" w:rsidRPr="00323A06" w:rsidRDefault="00EB12EE" w:rsidP="00605D6D">
            <w:pPr>
              <w:widowControl w:val="0"/>
              <w:ind w:left="875"/>
              <w:jc w:val="center"/>
              <w:rPr>
                <w:sz w:val="20"/>
                <w:szCs w:val="20"/>
              </w:rPr>
            </w:pPr>
            <w:r w:rsidRPr="00323A06">
              <w:rPr>
                <w:sz w:val="20"/>
                <w:szCs w:val="20"/>
              </w:rPr>
              <w:t>2</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3D9B1657" w14:textId="7B20EFBF" w:rsidR="00222C40" w:rsidRPr="00323A06" w:rsidRDefault="00EB12EE" w:rsidP="00605D6D">
            <w:pPr>
              <w:widowControl w:val="0"/>
              <w:ind w:right="-799"/>
              <w:jc w:val="center"/>
              <w:rPr>
                <w:sz w:val="20"/>
                <w:szCs w:val="20"/>
              </w:rPr>
            </w:pPr>
            <w:r w:rsidRPr="00323A06">
              <w:rPr>
                <w:sz w:val="20"/>
                <w:szCs w:val="20"/>
              </w:rPr>
              <w:t>3</w:t>
            </w:r>
          </w:p>
        </w:tc>
      </w:tr>
      <w:tr w:rsidR="00222C40" w:rsidRPr="00CF4114" w14:paraId="264CCB2F"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21A3106" w14:textId="1298633A" w:rsidR="00222C40" w:rsidRPr="005C15FE" w:rsidRDefault="005C15FE" w:rsidP="00D82CA5">
            <w:pPr>
              <w:widowControl w:val="0"/>
              <w:jc w:val="left"/>
              <w:rPr>
                <w:color w:val="000000"/>
                <w:sz w:val="20"/>
                <w:szCs w:val="20"/>
              </w:rPr>
            </w:pPr>
            <w:r w:rsidRPr="005C15FE">
              <w:rPr>
                <w:color w:val="000000"/>
                <w:sz w:val="20"/>
                <w:szCs w:val="20"/>
                <w:lang w:val="fr-FR"/>
              </w:rPr>
              <w:t>Autres</w:t>
            </w:r>
            <w:r w:rsidRPr="005C15FE">
              <w:rPr>
                <w:rStyle w:val="FootnoteReference"/>
                <w:color w:val="000000"/>
                <w:sz w:val="20"/>
                <w:szCs w:val="20"/>
                <w:lang w:val="fr-FR"/>
              </w:rPr>
              <w:footnoteReference w:id="4"/>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11D75C52" w14:textId="77777777" w:rsidR="00222C40" w:rsidRPr="00323A06" w:rsidRDefault="00222C40" w:rsidP="00605D6D">
            <w:pPr>
              <w:widowControl w:val="0"/>
              <w:ind w:left="-25" w:right="-605"/>
              <w:jc w:val="center"/>
              <w:rPr>
                <w:sz w:val="20"/>
                <w:szCs w:val="20"/>
              </w:rPr>
            </w:pPr>
            <w:r w:rsidRPr="00323A06">
              <w:rPr>
                <w:sz w:val="20"/>
                <w:szCs w:val="20"/>
              </w:rPr>
              <w:t>90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0DFD758E" w14:textId="77777777" w:rsidR="00222C40" w:rsidRPr="00323A06" w:rsidRDefault="00222C40" w:rsidP="00605D6D">
            <w:pPr>
              <w:widowControl w:val="0"/>
              <w:ind w:left="778"/>
              <w:jc w:val="center"/>
              <w:rPr>
                <w:sz w:val="20"/>
                <w:szCs w:val="20"/>
              </w:rPr>
            </w:pPr>
            <w:r w:rsidRPr="00323A06">
              <w:rPr>
                <w:sz w:val="20"/>
                <w:szCs w:val="20"/>
              </w:rPr>
              <w:t>90</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4F93922A" w14:textId="77777777" w:rsidR="00222C40" w:rsidRPr="00323A06" w:rsidRDefault="00222C40" w:rsidP="00605D6D">
            <w:pPr>
              <w:widowControl w:val="0"/>
              <w:ind w:left="875"/>
              <w:jc w:val="center"/>
              <w:rPr>
                <w:sz w:val="20"/>
                <w:szCs w:val="20"/>
              </w:rPr>
            </w:pPr>
            <w:r w:rsidRPr="00323A06">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6B5B3D55" w14:textId="77777777" w:rsidR="00222C40" w:rsidRPr="00323A06" w:rsidRDefault="00222C40" w:rsidP="00605D6D">
            <w:pPr>
              <w:widowControl w:val="0"/>
              <w:ind w:right="-799"/>
              <w:jc w:val="center"/>
              <w:rPr>
                <w:sz w:val="20"/>
                <w:szCs w:val="20"/>
              </w:rPr>
            </w:pPr>
            <w:r w:rsidRPr="00323A06">
              <w:rPr>
                <w:sz w:val="20"/>
                <w:szCs w:val="20"/>
              </w:rPr>
              <w:t>0</w:t>
            </w:r>
          </w:p>
        </w:tc>
      </w:tr>
      <w:tr w:rsidR="00222C40" w:rsidRPr="00B12990" w14:paraId="15AEB941" w14:textId="77777777" w:rsidTr="00E6546D">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6B1B93BA" w14:textId="172853C6" w:rsidR="00222C40" w:rsidRPr="005C15FE" w:rsidRDefault="005C15FE" w:rsidP="00D82CA5">
            <w:pPr>
              <w:widowControl w:val="0"/>
              <w:jc w:val="left"/>
              <w:rPr>
                <w:b/>
                <w:color w:val="000000"/>
                <w:sz w:val="20"/>
                <w:szCs w:val="20"/>
              </w:rPr>
            </w:pPr>
            <w:r w:rsidRPr="005C15FE">
              <w:rPr>
                <w:b/>
                <w:color w:val="000000"/>
                <w:sz w:val="20"/>
                <w:szCs w:val="20"/>
                <w:lang w:val="fr-FR"/>
              </w:rPr>
              <w:t>Total</w:t>
            </w:r>
          </w:p>
        </w:tc>
        <w:tc>
          <w:tcPr>
            <w:tcW w:w="186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432" w:type="dxa"/>
            </w:tcMar>
            <w:vAlign w:val="center"/>
            <w:hideMark/>
          </w:tcPr>
          <w:p w14:paraId="1BFF359E" w14:textId="14BB1DFA" w:rsidR="00222C40" w:rsidRPr="00323A06" w:rsidRDefault="00222C40" w:rsidP="00273F5E">
            <w:pPr>
              <w:widowControl w:val="0"/>
              <w:ind w:left="-25" w:right="-605"/>
              <w:jc w:val="center"/>
              <w:rPr>
                <w:b/>
                <w:sz w:val="20"/>
                <w:szCs w:val="20"/>
              </w:rPr>
            </w:pPr>
            <w:r w:rsidRPr="00323A06">
              <w:rPr>
                <w:b/>
                <w:sz w:val="20"/>
                <w:szCs w:val="20"/>
              </w:rPr>
              <w:t>1</w:t>
            </w:r>
            <w:r w:rsidR="00273F5E">
              <w:rPr>
                <w:b/>
                <w:sz w:val="20"/>
                <w:szCs w:val="20"/>
              </w:rPr>
              <w:t> </w:t>
            </w:r>
            <w:r w:rsidRPr="00323A06">
              <w:rPr>
                <w:b/>
                <w:sz w:val="20"/>
                <w:szCs w:val="20"/>
              </w:rPr>
              <w:t>2</w:t>
            </w:r>
            <w:r w:rsidR="00C63921" w:rsidRPr="00323A06">
              <w:rPr>
                <w:b/>
                <w:sz w:val="20"/>
                <w:szCs w:val="20"/>
              </w:rPr>
              <w:t>34</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28B8A95E" w14:textId="006C936B" w:rsidR="00222C40" w:rsidRPr="00323A06" w:rsidRDefault="00EB12EE" w:rsidP="00273F5E">
            <w:pPr>
              <w:widowControl w:val="0"/>
              <w:ind w:left="778"/>
              <w:jc w:val="center"/>
              <w:rPr>
                <w:b/>
                <w:sz w:val="20"/>
                <w:szCs w:val="20"/>
              </w:rPr>
            </w:pPr>
            <w:r w:rsidRPr="00323A06">
              <w:rPr>
                <w:b/>
                <w:sz w:val="20"/>
                <w:szCs w:val="20"/>
              </w:rPr>
              <w:t>1</w:t>
            </w:r>
            <w:r w:rsidR="00273F5E">
              <w:rPr>
                <w:b/>
                <w:sz w:val="20"/>
                <w:szCs w:val="20"/>
              </w:rPr>
              <w:t> </w:t>
            </w:r>
            <w:r w:rsidRPr="00323A06">
              <w:rPr>
                <w:b/>
                <w:sz w:val="20"/>
                <w:szCs w:val="20"/>
              </w:rPr>
              <w:t>215</w:t>
            </w:r>
          </w:p>
        </w:tc>
        <w:tc>
          <w:tcPr>
            <w:tcW w:w="1867"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4F46531D" w14:textId="27504D14" w:rsidR="00222C40" w:rsidRPr="00323A06" w:rsidRDefault="00EB12EE" w:rsidP="00605D6D">
            <w:pPr>
              <w:widowControl w:val="0"/>
              <w:ind w:left="875"/>
              <w:jc w:val="center"/>
              <w:rPr>
                <w:b/>
                <w:sz w:val="20"/>
                <w:szCs w:val="20"/>
              </w:rPr>
            </w:pPr>
            <w:r w:rsidRPr="00323A06">
              <w:rPr>
                <w:b/>
                <w:sz w:val="20"/>
                <w:szCs w:val="20"/>
              </w:rPr>
              <w:t>6</w:t>
            </w:r>
          </w:p>
        </w:tc>
        <w:tc>
          <w:tcPr>
            <w:tcW w:w="1868" w:type="dxa"/>
            <w:tcBorders>
              <w:top w:val="single" w:sz="4" w:space="0" w:color="auto"/>
              <w:left w:val="single" w:sz="4" w:space="0" w:color="auto"/>
              <w:bottom w:val="single" w:sz="4" w:space="0" w:color="auto"/>
              <w:right w:val="single" w:sz="4" w:space="0" w:color="auto"/>
            </w:tcBorders>
            <w:tcMar>
              <w:top w:w="0" w:type="dxa"/>
              <w:left w:w="115" w:type="dxa"/>
              <w:bottom w:w="0" w:type="dxa"/>
              <w:right w:w="432" w:type="dxa"/>
            </w:tcMar>
            <w:vAlign w:val="center"/>
            <w:hideMark/>
          </w:tcPr>
          <w:p w14:paraId="57EF62D0" w14:textId="53800A4D" w:rsidR="00222C40" w:rsidRPr="00323A06" w:rsidRDefault="001C0A2A" w:rsidP="00605D6D">
            <w:pPr>
              <w:widowControl w:val="0"/>
              <w:ind w:right="-799"/>
              <w:jc w:val="center"/>
              <w:rPr>
                <w:b/>
                <w:sz w:val="20"/>
                <w:szCs w:val="20"/>
              </w:rPr>
            </w:pPr>
            <w:r w:rsidRPr="00323A06">
              <w:rPr>
                <w:b/>
                <w:sz w:val="20"/>
                <w:szCs w:val="20"/>
              </w:rPr>
              <w:t>1</w:t>
            </w:r>
            <w:r w:rsidR="00EB12EE" w:rsidRPr="00323A06">
              <w:rPr>
                <w:b/>
                <w:sz w:val="20"/>
                <w:szCs w:val="20"/>
              </w:rPr>
              <w:t>3</w:t>
            </w:r>
          </w:p>
        </w:tc>
      </w:tr>
    </w:tbl>
    <w:p w14:paraId="5546E6FD" w14:textId="60D6FEB8" w:rsidR="005C15FE" w:rsidRPr="00714F80" w:rsidRDefault="005C15FE" w:rsidP="005C15FE">
      <w:pPr>
        <w:pStyle w:val="Heading1"/>
        <w:widowControl w:val="0"/>
        <w:tabs>
          <w:tab w:val="clear" w:pos="0"/>
          <w:tab w:val="num" w:pos="720"/>
        </w:tabs>
        <w:spacing w:before="240"/>
        <w:rPr>
          <w:lang w:val="fr-CA"/>
        </w:rPr>
      </w:pPr>
      <w:r w:rsidRPr="005C15FE">
        <w:rPr>
          <w:lang w:val="fr-FR"/>
        </w:rPr>
        <w:t>La liste des 10 RAP pour des projets d</w:t>
      </w:r>
      <w:r w:rsidR="00F5401A">
        <w:rPr>
          <w:lang w:val="fr-FR"/>
        </w:rPr>
        <w:t>’</w:t>
      </w:r>
      <w:r w:rsidRPr="005C15FE">
        <w:rPr>
          <w:lang w:val="fr-FR"/>
        </w:rPr>
        <w:t>investissement et des projets ne portant pas sur des investissements (y compris un rapport global d</w:t>
      </w:r>
      <w:r w:rsidR="00F5401A">
        <w:rPr>
          <w:lang w:val="fr-FR"/>
        </w:rPr>
        <w:t>’</w:t>
      </w:r>
      <w:r w:rsidRPr="005C15FE">
        <w:rPr>
          <w:lang w:val="fr-FR"/>
        </w:rPr>
        <w:t>achèvement pour une enquête sur les solutions de remplacement des SAO au niveau national) reçus après la 86</w:t>
      </w:r>
      <w:r w:rsidRPr="005C15FE">
        <w:rPr>
          <w:vertAlign w:val="superscript"/>
          <w:lang w:val="fr-FR"/>
        </w:rPr>
        <w:t>e</w:t>
      </w:r>
      <w:r w:rsidRPr="005C15FE">
        <w:rPr>
          <w:lang w:val="fr-FR"/>
        </w:rPr>
        <w:t xml:space="preserve"> réunion figure à l</w:t>
      </w:r>
      <w:r w:rsidR="00F5401A">
        <w:rPr>
          <w:lang w:val="fr-FR"/>
        </w:rPr>
        <w:t>’</w:t>
      </w:r>
      <w:r w:rsidRPr="005C15FE">
        <w:rPr>
          <w:lang w:val="fr-FR"/>
        </w:rPr>
        <w:t>Annexe II du présent document.</w:t>
      </w:r>
      <w:r w:rsidRPr="00714F80">
        <w:rPr>
          <w:lang w:val="fr-CA"/>
        </w:rPr>
        <w:t xml:space="preserve"> </w:t>
      </w:r>
      <w:r w:rsidRPr="005C15FE">
        <w:rPr>
          <w:lang w:val="fr-FR"/>
        </w:rPr>
        <w:t>Les résultats cumulés pertinents pour le décaissement, l</w:t>
      </w:r>
      <w:r w:rsidR="00F5401A">
        <w:rPr>
          <w:lang w:val="fr-FR"/>
        </w:rPr>
        <w:t>’</w:t>
      </w:r>
      <w:r w:rsidRPr="005C15FE">
        <w:rPr>
          <w:lang w:val="fr-FR"/>
        </w:rPr>
        <w:t>élimination réelle et les retards sont indiqués au tableau 5.</w:t>
      </w:r>
    </w:p>
    <w:p w14:paraId="555C7406" w14:textId="3CD5B963" w:rsidR="00222C40" w:rsidRPr="00714F80" w:rsidRDefault="005C15FE" w:rsidP="00605D6D">
      <w:pPr>
        <w:pStyle w:val="Heading1"/>
        <w:keepNext/>
        <w:keepLines/>
        <w:widowControl w:val="0"/>
        <w:numPr>
          <w:ilvl w:val="0"/>
          <w:numId w:val="0"/>
        </w:numPr>
        <w:tabs>
          <w:tab w:val="left" w:pos="720"/>
        </w:tabs>
        <w:spacing w:after="0"/>
        <w:rPr>
          <w:b/>
          <w:sz w:val="21"/>
          <w:szCs w:val="21"/>
          <w:lang w:val="fr-CA"/>
        </w:rPr>
      </w:pPr>
      <w:r w:rsidRPr="005C15FE">
        <w:rPr>
          <w:b/>
          <w:sz w:val="21"/>
          <w:szCs w:val="21"/>
          <w:lang w:val="fr-FR"/>
        </w:rPr>
        <w:t>Table</w:t>
      </w:r>
      <w:r w:rsidR="003A6564">
        <w:rPr>
          <w:b/>
          <w:sz w:val="21"/>
          <w:szCs w:val="21"/>
          <w:lang w:val="fr-FR"/>
        </w:rPr>
        <w:t>au</w:t>
      </w:r>
      <w:r w:rsidRPr="005C15FE">
        <w:rPr>
          <w:b/>
          <w:sz w:val="21"/>
          <w:szCs w:val="21"/>
          <w:lang w:val="fr-FR"/>
        </w:rPr>
        <w:t xml:space="preserve"> 5. Vue d</w:t>
      </w:r>
      <w:r w:rsidR="00F5401A">
        <w:rPr>
          <w:b/>
          <w:sz w:val="21"/>
          <w:szCs w:val="21"/>
          <w:lang w:val="fr-FR"/>
        </w:rPr>
        <w:t>’</w:t>
      </w:r>
      <w:r w:rsidRPr="005C15FE">
        <w:rPr>
          <w:b/>
          <w:sz w:val="21"/>
          <w:szCs w:val="21"/>
          <w:lang w:val="fr-FR"/>
        </w:rPr>
        <w:t>ensemble du budget, des SAO éliminées et des retards dans les projets individuels soumis après la 86</w:t>
      </w:r>
      <w:r w:rsidRPr="005C15FE">
        <w:rPr>
          <w:b/>
          <w:sz w:val="21"/>
          <w:szCs w:val="21"/>
          <w:vertAlign w:val="superscript"/>
          <w:lang w:val="fr-FR"/>
        </w:rPr>
        <w:t>e</w:t>
      </w:r>
      <w:r w:rsidRPr="005C15FE">
        <w:rPr>
          <w:b/>
          <w:sz w:val="21"/>
          <w:szCs w:val="21"/>
          <w:lang w:val="fr-FR"/>
        </w:rPr>
        <w:t xml:space="preserve"> réunion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039"/>
        <w:gridCol w:w="1179"/>
        <w:gridCol w:w="1179"/>
        <w:gridCol w:w="1179"/>
        <w:gridCol w:w="1179"/>
        <w:gridCol w:w="1179"/>
        <w:gridCol w:w="1179"/>
      </w:tblGrid>
      <w:tr w:rsidR="00222C40" w:rsidRPr="005E0970" w14:paraId="31292257" w14:textId="77777777" w:rsidTr="00AD05C2">
        <w:tc>
          <w:tcPr>
            <w:tcW w:w="1247" w:type="dxa"/>
            <w:vMerge w:val="restart"/>
            <w:shd w:val="clear" w:color="auto" w:fill="auto"/>
            <w:vAlign w:val="center"/>
            <w:hideMark/>
          </w:tcPr>
          <w:p w14:paraId="56DBE6B7" w14:textId="64811897" w:rsidR="00222C40" w:rsidRPr="005C15FE" w:rsidRDefault="005C15FE" w:rsidP="00D82CA5">
            <w:pPr>
              <w:widowControl w:val="0"/>
              <w:jc w:val="left"/>
              <w:rPr>
                <w:b/>
                <w:bCs/>
                <w:sz w:val="20"/>
                <w:szCs w:val="20"/>
                <w:lang w:val="en-CA" w:eastAsia="en-CA"/>
              </w:rPr>
            </w:pPr>
            <w:r w:rsidRPr="005C15FE">
              <w:rPr>
                <w:b/>
                <w:bCs/>
                <w:sz w:val="20"/>
                <w:szCs w:val="20"/>
                <w:lang w:val="fr-FR" w:eastAsia="en-CA"/>
              </w:rPr>
              <w:t>Agence</w:t>
            </w:r>
          </w:p>
        </w:tc>
        <w:tc>
          <w:tcPr>
            <w:tcW w:w="1039" w:type="dxa"/>
            <w:vMerge w:val="restart"/>
            <w:shd w:val="clear" w:color="auto" w:fill="auto"/>
            <w:tcMar>
              <w:left w:w="0" w:type="dxa"/>
              <w:right w:w="0" w:type="dxa"/>
            </w:tcMar>
            <w:vAlign w:val="center"/>
            <w:hideMark/>
          </w:tcPr>
          <w:p w14:paraId="4D2EE0D5" w14:textId="24ADC1FB" w:rsidR="00222C40" w:rsidRPr="005C15FE" w:rsidRDefault="005C15FE" w:rsidP="00D82CA5">
            <w:pPr>
              <w:widowControl w:val="0"/>
              <w:jc w:val="center"/>
              <w:rPr>
                <w:b/>
                <w:bCs/>
                <w:sz w:val="20"/>
                <w:szCs w:val="20"/>
                <w:lang w:val="en-CA" w:eastAsia="en-CA"/>
              </w:rPr>
            </w:pPr>
            <w:r w:rsidRPr="005C15FE">
              <w:rPr>
                <w:b/>
                <w:bCs/>
                <w:sz w:val="20"/>
                <w:szCs w:val="20"/>
                <w:lang w:val="fr-FR" w:eastAsia="en-CA"/>
              </w:rPr>
              <w:t>Nombre de</w:t>
            </w:r>
            <w:r w:rsidR="00F5401A">
              <w:rPr>
                <w:b/>
                <w:bCs/>
                <w:sz w:val="20"/>
                <w:szCs w:val="20"/>
                <w:lang w:val="fr-FR" w:eastAsia="en-CA"/>
              </w:rPr>
              <w:t> </w:t>
            </w:r>
            <w:r w:rsidRPr="005C15FE">
              <w:rPr>
                <w:b/>
                <w:bCs/>
                <w:sz w:val="20"/>
                <w:szCs w:val="20"/>
                <w:lang w:val="fr-FR" w:eastAsia="en-CA"/>
              </w:rPr>
              <w:t>projets</w:t>
            </w:r>
          </w:p>
        </w:tc>
        <w:tc>
          <w:tcPr>
            <w:tcW w:w="2358" w:type="dxa"/>
            <w:gridSpan w:val="2"/>
            <w:shd w:val="clear" w:color="auto" w:fill="auto"/>
            <w:vAlign w:val="center"/>
            <w:hideMark/>
          </w:tcPr>
          <w:p w14:paraId="1A7429DE" w14:textId="628634EE" w:rsidR="00222C40" w:rsidRPr="005C15FE" w:rsidRDefault="005C15FE" w:rsidP="00D82CA5">
            <w:pPr>
              <w:widowControl w:val="0"/>
              <w:jc w:val="center"/>
              <w:rPr>
                <w:b/>
                <w:bCs/>
                <w:sz w:val="20"/>
                <w:szCs w:val="20"/>
                <w:lang w:val="en-CA" w:eastAsia="en-CA"/>
              </w:rPr>
            </w:pPr>
            <w:r w:rsidRPr="005C15FE">
              <w:rPr>
                <w:b/>
                <w:bCs/>
                <w:sz w:val="20"/>
                <w:szCs w:val="20"/>
                <w:lang w:val="fr-FR" w:eastAsia="en-CA"/>
              </w:rPr>
              <w:t>Financement ($US)</w:t>
            </w:r>
          </w:p>
        </w:tc>
        <w:tc>
          <w:tcPr>
            <w:tcW w:w="2358" w:type="dxa"/>
            <w:gridSpan w:val="2"/>
            <w:shd w:val="clear" w:color="auto" w:fill="auto"/>
            <w:vAlign w:val="center"/>
            <w:hideMark/>
          </w:tcPr>
          <w:p w14:paraId="7576DEFF" w14:textId="6B5B0069" w:rsidR="00222C40" w:rsidRPr="005C15FE" w:rsidRDefault="005C15FE" w:rsidP="00D82CA5">
            <w:pPr>
              <w:widowControl w:val="0"/>
              <w:jc w:val="center"/>
              <w:rPr>
                <w:b/>
                <w:bCs/>
                <w:sz w:val="20"/>
                <w:szCs w:val="20"/>
                <w:lang w:val="en-CA" w:eastAsia="en-CA"/>
              </w:rPr>
            </w:pPr>
            <w:r w:rsidRPr="005C15FE">
              <w:rPr>
                <w:b/>
                <w:bCs/>
                <w:sz w:val="20"/>
                <w:szCs w:val="20"/>
                <w:lang w:val="fr-FR" w:eastAsia="en-CA"/>
              </w:rPr>
              <w:t>Tonnes PAO éliminées</w:t>
            </w:r>
          </w:p>
        </w:tc>
        <w:tc>
          <w:tcPr>
            <w:tcW w:w="2358" w:type="dxa"/>
            <w:gridSpan w:val="2"/>
            <w:shd w:val="clear" w:color="auto" w:fill="auto"/>
            <w:vAlign w:val="center"/>
            <w:hideMark/>
          </w:tcPr>
          <w:p w14:paraId="6C55C310" w14:textId="2DE34253" w:rsidR="00222C40" w:rsidRPr="005C15FE" w:rsidRDefault="005C15FE" w:rsidP="00D82CA5">
            <w:pPr>
              <w:widowControl w:val="0"/>
              <w:jc w:val="center"/>
              <w:rPr>
                <w:b/>
                <w:bCs/>
                <w:sz w:val="20"/>
                <w:szCs w:val="20"/>
                <w:lang w:val="en-CA" w:eastAsia="en-CA"/>
              </w:rPr>
            </w:pPr>
            <w:r w:rsidRPr="005C15FE">
              <w:rPr>
                <w:b/>
                <w:bCs/>
                <w:sz w:val="20"/>
                <w:szCs w:val="20"/>
                <w:lang w:val="fr-FR" w:eastAsia="en-CA"/>
              </w:rPr>
              <w:t>Retard moyen (mois)</w:t>
            </w:r>
          </w:p>
        </w:tc>
      </w:tr>
      <w:tr w:rsidR="00222C40" w:rsidRPr="005E0970" w14:paraId="08EBBFD6" w14:textId="77777777" w:rsidTr="00AD05C2">
        <w:tc>
          <w:tcPr>
            <w:tcW w:w="1247" w:type="dxa"/>
            <w:vMerge/>
            <w:vAlign w:val="center"/>
            <w:hideMark/>
          </w:tcPr>
          <w:p w14:paraId="1217423E" w14:textId="77777777" w:rsidR="00222C40" w:rsidRPr="0009657E" w:rsidRDefault="00222C40" w:rsidP="00605D6D">
            <w:pPr>
              <w:widowControl w:val="0"/>
              <w:jc w:val="left"/>
              <w:rPr>
                <w:b/>
                <w:bCs/>
                <w:sz w:val="20"/>
                <w:szCs w:val="20"/>
                <w:lang w:val="en-CA" w:eastAsia="en-CA"/>
              </w:rPr>
            </w:pPr>
          </w:p>
        </w:tc>
        <w:tc>
          <w:tcPr>
            <w:tcW w:w="1039" w:type="dxa"/>
            <w:vMerge/>
            <w:vAlign w:val="center"/>
            <w:hideMark/>
          </w:tcPr>
          <w:p w14:paraId="215507D0" w14:textId="77777777" w:rsidR="00222C40" w:rsidRPr="0009657E" w:rsidRDefault="00222C40" w:rsidP="00605D6D">
            <w:pPr>
              <w:widowControl w:val="0"/>
              <w:jc w:val="left"/>
              <w:rPr>
                <w:b/>
                <w:bCs/>
                <w:sz w:val="20"/>
                <w:szCs w:val="20"/>
                <w:lang w:val="en-CA" w:eastAsia="en-CA"/>
              </w:rPr>
            </w:pPr>
          </w:p>
        </w:tc>
        <w:tc>
          <w:tcPr>
            <w:tcW w:w="1179" w:type="dxa"/>
            <w:shd w:val="clear" w:color="auto" w:fill="auto"/>
            <w:vAlign w:val="center"/>
            <w:hideMark/>
          </w:tcPr>
          <w:p w14:paraId="56196E62" w14:textId="3FA96CBC" w:rsidR="00222C40" w:rsidRPr="005C15FE" w:rsidRDefault="005C15FE" w:rsidP="00D82CA5">
            <w:pPr>
              <w:widowControl w:val="0"/>
              <w:jc w:val="center"/>
              <w:rPr>
                <w:b/>
                <w:bCs/>
                <w:sz w:val="20"/>
                <w:szCs w:val="20"/>
                <w:lang w:val="en-CA" w:eastAsia="en-CA"/>
              </w:rPr>
            </w:pPr>
            <w:r w:rsidRPr="005C15FE">
              <w:rPr>
                <w:b/>
                <w:bCs/>
                <w:sz w:val="20"/>
                <w:szCs w:val="20"/>
                <w:lang w:val="fr-FR" w:eastAsia="en-CA"/>
              </w:rPr>
              <w:t>Approuvé</w:t>
            </w:r>
          </w:p>
        </w:tc>
        <w:tc>
          <w:tcPr>
            <w:tcW w:w="1179" w:type="dxa"/>
            <w:shd w:val="clear" w:color="auto" w:fill="auto"/>
            <w:vAlign w:val="center"/>
            <w:hideMark/>
          </w:tcPr>
          <w:p w14:paraId="28AC8BCE" w14:textId="314F278B" w:rsidR="00222C40" w:rsidRPr="005C15FE" w:rsidRDefault="005C15FE" w:rsidP="00D82CA5">
            <w:pPr>
              <w:widowControl w:val="0"/>
              <w:jc w:val="center"/>
              <w:rPr>
                <w:b/>
                <w:bCs/>
                <w:sz w:val="20"/>
                <w:szCs w:val="20"/>
                <w:lang w:val="en-CA" w:eastAsia="en-CA"/>
              </w:rPr>
            </w:pPr>
            <w:r w:rsidRPr="005C15FE">
              <w:rPr>
                <w:b/>
                <w:bCs/>
                <w:sz w:val="20"/>
                <w:szCs w:val="20"/>
                <w:lang w:val="fr-FR" w:eastAsia="en-CA"/>
              </w:rPr>
              <w:t>Décaissé</w:t>
            </w:r>
          </w:p>
        </w:tc>
        <w:tc>
          <w:tcPr>
            <w:tcW w:w="1179" w:type="dxa"/>
            <w:shd w:val="clear" w:color="auto" w:fill="auto"/>
            <w:vAlign w:val="center"/>
            <w:hideMark/>
          </w:tcPr>
          <w:p w14:paraId="7E7C2E61" w14:textId="32E46EE7" w:rsidR="00222C40" w:rsidRPr="005C15FE" w:rsidRDefault="005C15FE" w:rsidP="00D82CA5">
            <w:pPr>
              <w:widowControl w:val="0"/>
              <w:jc w:val="center"/>
              <w:rPr>
                <w:b/>
                <w:bCs/>
                <w:sz w:val="20"/>
                <w:szCs w:val="20"/>
                <w:lang w:val="en-CA" w:eastAsia="en-CA"/>
              </w:rPr>
            </w:pPr>
            <w:r w:rsidRPr="005C15FE">
              <w:rPr>
                <w:b/>
                <w:bCs/>
                <w:sz w:val="20"/>
                <w:szCs w:val="20"/>
                <w:lang w:val="fr-FR" w:eastAsia="en-CA"/>
              </w:rPr>
              <w:t>Approuvé</w:t>
            </w:r>
          </w:p>
        </w:tc>
        <w:tc>
          <w:tcPr>
            <w:tcW w:w="1179" w:type="dxa"/>
            <w:shd w:val="clear" w:color="auto" w:fill="auto"/>
            <w:vAlign w:val="center"/>
            <w:hideMark/>
          </w:tcPr>
          <w:p w14:paraId="7D0C498D" w14:textId="31F9104A" w:rsidR="00222C40" w:rsidRPr="005C15FE" w:rsidRDefault="005C15FE" w:rsidP="00D82CA5">
            <w:pPr>
              <w:widowControl w:val="0"/>
              <w:jc w:val="center"/>
              <w:rPr>
                <w:b/>
                <w:bCs/>
                <w:sz w:val="20"/>
                <w:szCs w:val="20"/>
                <w:lang w:val="en-CA" w:eastAsia="en-CA"/>
              </w:rPr>
            </w:pPr>
            <w:r w:rsidRPr="005C15FE">
              <w:rPr>
                <w:b/>
                <w:bCs/>
                <w:sz w:val="20"/>
                <w:szCs w:val="20"/>
                <w:lang w:val="fr-FR" w:eastAsia="en-CA"/>
              </w:rPr>
              <w:t>Réelles</w:t>
            </w:r>
          </w:p>
        </w:tc>
        <w:tc>
          <w:tcPr>
            <w:tcW w:w="1179" w:type="dxa"/>
            <w:shd w:val="clear" w:color="auto" w:fill="auto"/>
            <w:vAlign w:val="center"/>
            <w:hideMark/>
          </w:tcPr>
          <w:p w14:paraId="5B6EB26A" w14:textId="0D319DE2" w:rsidR="00222C40" w:rsidRPr="005C15FE" w:rsidRDefault="005C15FE" w:rsidP="00D82CA5">
            <w:pPr>
              <w:widowControl w:val="0"/>
              <w:jc w:val="center"/>
              <w:rPr>
                <w:b/>
                <w:bCs/>
                <w:sz w:val="20"/>
                <w:szCs w:val="20"/>
                <w:lang w:val="en-CA" w:eastAsia="en-CA"/>
              </w:rPr>
            </w:pPr>
            <w:r w:rsidRPr="005C15FE">
              <w:rPr>
                <w:b/>
                <w:bCs/>
                <w:sz w:val="20"/>
                <w:szCs w:val="20"/>
                <w:lang w:val="fr-FR" w:eastAsia="en-CA"/>
              </w:rPr>
              <w:t>Durée</w:t>
            </w:r>
          </w:p>
        </w:tc>
        <w:tc>
          <w:tcPr>
            <w:tcW w:w="1179" w:type="dxa"/>
            <w:shd w:val="clear" w:color="auto" w:fill="auto"/>
            <w:vAlign w:val="center"/>
            <w:hideMark/>
          </w:tcPr>
          <w:p w14:paraId="40BF60A7" w14:textId="07E369BD" w:rsidR="00222C40" w:rsidRPr="005C15FE" w:rsidRDefault="005C15FE" w:rsidP="00D82CA5">
            <w:pPr>
              <w:widowControl w:val="0"/>
              <w:jc w:val="center"/>
              <w:rPr>
                <w:b/>
                <w:bCs/>
                <w:sz w:val="20"/>
                <w:szCs w:val="20"/>
                <w:lang w:val="en-CA" w:eastAsia="en-CA"/>
              </w:rPr>
            </w:pPr>
            <w:r w:rsidRPr="005C15FE">
              <w:rPr>
                <w:b/>
                <w:bCs/>
                <w:sz w:val="20"/>
                <w:szCs w:val="20"/>
                <w:lang w:val="fr-FR" w:eastAsia="en-CA"/>
              </w:rPr>
              <w:t>Retards</w:t>
            </w:r>
          </w:p>
        </w:tc>
      </w:tr>
      <w:tr w:rsidR="0009657E" w:rsidRPr="005E0970" w14:paraId="44C09A81" w14:textId="77777777" w:rsidTr="00AD05C2">
        <w:tc>
          <w:tcPr>
            <w:tcW w:w="1247" w:type="dxa"/>
            <w:shd w:val="clear" w:color="auto" w:fill="auto"/>
            <w:noWrap/>
            <w:vAlign w:val="center"/>
            <w:hideMark/>
          </w:tcPr>
          <w:p w14:paraId="2772851A" w14:textId="7CFE0EBD" w:rsidR="0009657E" w:rsidRPr="005C15FE" w:rsidRDefault="005C15FE" w:rsidP="00D82CA5">
            <w:pPr>
              <w:widowControl w:val="0"/>
              <w:rPr>
                <w:sz w:val="20"/>
                <w:szCs w:val="20"/>
                <w:lang w:val="en-CA" w:eastAsia="en-CA"/>
              </w:rPr>
            </w:pPr>
            <w:r w:rsidRPr="005C15FE">
              <w:rPr>
                <w:sz w:val="20"/>
                <w:szCs w:val="20"/>
                <w:lang w:val="fr-FR" w:eastAsia="en-CA"/>
              </w:rPr>
              <w:t>BIRD</w:t>
            </w:r>
          </w:p>
        </w:tc>
        <w:tc>
          <w:tcPr>
            <w:tcW w:w="1039" w:type="dxa"/>
            <w:shd w:val="clear" w:color="auto" w:fill="auto"/>
            <w:noWrap/>
            <w:vAlign w:val="center"/>
            <w:hideMark/>
          </w:tcPr>
          <w:p w14:paraId="6F691048" w14:textId="24ADF744" w:rsidR="0009657E" w:rsidRPr="0009657E" w:rsidRDefault="0009657E" w:rsidP="0009657E">
            <w:pPr>
              <w:widowControl w:val="0"/>
              <w:jc w:val="center"/>
              <w:rPr>
                <w:sz w:val="20"/>
                <w:szCs w:val="20"/>
              </w:rPr>
            </w:pPr>
            <w:r>
              <w:rPr>
                <w:sz w:val="20"/>
                <w:szCs w:val="20"/>
                <w:lang w:val="en-CA" w:eastAsia="en-CA"/>
              </w:rPr>
              <w:t>3</w:t>
            </w:r>
          </w:p>
        </w:tc>
        <w:tc>
          <w:tcPr>
            <w:tcW w:w="1179" w:type="dxa"/>
            <w:shd w:val="clear" w:color="auto" w:fill="auto"/>
            <w:noWrap/>
            <w:tcMar>
              <w:left w:w="0" w:type="dxa"/>
              <w:right w:w="173" w:type="dxa"/>
            </w:tcMar>
            <w:vAlign w:val="center"/>
            <w:hideMark/>
          </w:tcPr>
          <w:p w14:paraId="2CA29231" w14:textId="6C4D2503" w:rsidR="0009657E" w:rsidRPr="0009657E" w:rsidRDefault="0009657E" w:rsidP="0009657E">
            <w:pPr>
              <w:widowControl w:val="0"/>
              <w:jc w:val="right"/>
              <w:rPr>
                <w:sz w:val="20"/>
                <w:szCs w:val="20"/>
              </w:rPr>
            </w:pPr>
            <w:r w:rsidRPr="0009657E">
              <w:rPr>
                <w:bCs/>
                <w:color w:val="000000"/>
                <w:sz w:val="20"/>
                <w:szCs w:val="20"/>
              </w:rPr>
              <w:t>6</w:t>
            </w:r>
            <w:r w:rsidR="00273F5E">
              <w:rPr>
                <w:bCs/>
                <w:color w:val="000000"/>
                <w:sz w:val="20"/>
                <w:szCs w:val="20"/>
              </w:rPr>
              <w:t> </w:t>
            </w:r>
            <w:r w:rsidRPr="0009657E">
              <w:rPr>
                <w:bCs/>
                <w:color w:val="000000"/>
                <w:sz w:val="20"/>
                <w:szCs w:val="20"/>
              </w:rPr>
              <w:t>392</w:t>
            </w:r>
            <w:r w:rsidR="00273F5E">
              <w:rPr>
                <w:bCs/>
                <w:color w:val="000000"/>
                <w:sz w:val="20"/>
                <w:szCs w:val="20"/>
              </w:rPr>
              <w:t> </w:t>
            </w:r>
            <w:r w:rsidRPr="0009657E">
              <w:rPr>
                <w:bCs/>
                <w:color w:val="000000"/>
                <w:sz w:val="20"/>
                <w:szCs w:val="20"/>
              </w:rPr>
              <w:t>550</w:t>
            </w:r>
          </w:p>
        </w:tc>
        <w:tc>
          <w:tcPr>
            <w:tcW w:w="1179" w:type="dxa"/>
            <w:shd w:val="clear" w:color="auto" w:fill="auto"/>
            <w:noWrap/>
            <w:tcMar>
              <w:left w:w="0" w:type="dxa"/>
              <w:right w:w="173" w:type="dxa"/>
            </w:tcMar>
            <w:vAlign w:val="center"/>
            <w:hideMark/>
          </w:tcPr>
          <w:p w14:paraId="73CF3B56" w14:textId="6F3F377B" w:rsidR="0009657E" w:rsidRPr="0009657E" w:rsidRDefault="0009657E" w:rsidP="0009657E">
            <w:pPr>
              <w:widowControl w:val="0"/>
              <w:jc w:val="right"/>
              <w:rPr>
                <w:sz w:val="20"/>
                <w:szCs w:val="20"/>
              </w:rPr>
            </w:pPr>
            <w:r w:rsidRPr="0009657E">
              <w:rPr>
                <w:bCs/>
                <w:color w:val="000000"/>
                <w:sz w:val="20"/>
                <w:szCs w:val="20"/>
              </w:rPr>
              <w:t>6</w:t>
            </w:r>
            <w:r w:rsidR="00273F5E">
              <w:rPr>
                <w:bCs/>
                <w:color w:val="000000"/>
                <w:sz w:val="20"/>
                <w:szCs w:val="20"/>
              </w:rPr>
              <w:t> </w:t>
            </w:r>
            <w:r w:rsidRPr="0009657E">
              <w:rPr>
                <w:bCs/>
                <w:color w:val="000000"/>
                <w:sz w:val="20"/>
                <w:szCs w:val="20"/>
              </w:rPr>
              <w:t>314</w:t>
            </w:r>
            <w:r w:rsidR="00273F5E">
              <w:rPr>
                <w:bCs/>
                <w:color w:val="000000"/>
                <w:sz w:val="20"/>
                <w:szCs w:val="20"/>
              </w:rPr>
              <w:t> </w:t>
            </w:r>
            <w:r w:rsidRPr="0009657E">
              <w:rPr>
                <w:bCs/>
                <w:color w:val="000000"/>
                <w:sz w:val="20"/>
                <w:szCs w:val="20"/>
              </w:rPr>
              <w:t>804</w:t>
            </w:r>
          </w:p>
        </w:tc>
        <w:tc>
          <w:tcPr>
            <w:tcW w:w="1179" w:type="dxa"/>
            <w:shd w:val="clear" w:color="auto" w:fill="auto"/>
            <w:noWrap/>
            <w:tcMar>
              <w:left w:w="0" w:type="dxa"/>
              <w:right w:w="173" w:type="dxa"/>
            </w:tcMar>
            <w:vAlign w:val="center"/>
            <w:hideMark/>
          </w:tcPr>
          <w:p w14:paraId="702454C4" w14:textId="166DC013" w:rsidR="0009657E" w:rsidRPr="0009657E" w:rsidRDefault="0009657E" w:rsidP="0009657E">
            <w:pPr>
              <w:widowControl w:val="0"/>
              <w:jc w:val="right"/>
              <w:rPr>
                <w:sz w:val="20"/>
                <w:szCs w:val="20"/>
              </w:rPr>
            </w:pPr>
            <w:r w:rsidRPr="0009657E">
              <w:rPr>
                <w:bCs/>
                <w:color w:val="000000"/>
                <w:sz w:val="20"/>
                <w:szCs w:val="20"/>
              </w:rPr>
              <w:t>489</w:t>
            </w:r>
            <w:r w:rsidR="00273F5E">
              <w:rPr>
                <w:bCs/>
                <w:color w:val="000000"/>
                <w:sz w:val="20"/>
                <w:szCs w:val="20"/>
              </w:rPr>
              <w:t>,</w:t>
            </w:r>
            <w:r w:rsidRPr="0009657E">
              <w:rPr>
                <w:bCs/>
                <w:color w:val="000000"/>
                <w:sz w:val="20"/>
                <w:szCs w:val="20"/>
              </w:rPr>
              <w:t>00</w:t>
            </w:r>
          </w:p>
        </w:tc>
        <w:tc>
          <w:tcPr>
            <w:tcW w:w="1179" w:type="dxa"/>
            <w:shd w:val="clear" w:color="auto" w:fill="auto"/>
            <w:noWrap/>
            <w:tcMar>
              <w:left w:w="0" w:type="dxa"/>
              <w:right w:w="173" w:type="dxa"/>
            </w:tcMar>
            <w:vAlign w:val="center"/>
            <w:hideMark/>
          </w:tcPr>
          <w:p w14:paraId="3CD4CD3A" w14:textId="237A5FA2" w:rsidR="0009657E" w:rsidRPr="0009657E" w:rsidRDefault="0009657E" w:rsidP="0009657E">
            <w:pPr>
              <w:widowControl w:val="0"/>
              <w:jc w:val="right"/>
              <w:rPr>
                <w:sz w:val="20"/>
                <w:szCs w:val="20"/>
              </w:rPr>
            </w:pPr>
            <w:r w:rsidRPr="0009657E">
              <w:rPr>
                <w:bCs/>
                <w:color w:val="000000"/>
                <w:sz w:val="20"/>
                <w:szCs w:val="20"/>
              </w:rPr>
              <w:t>489</w:t>
            </w:r>
            <w:r w:rsidR="00273F5E">
              <w:rPr>
                <w:bCs/>
                <w:color w:val="000000"/>
                <w:sz w:val="20"/>
                <w:szCs w:val="20"/>
              </w:rPr>
              <w:t>,</w:t>
            </w:r>
            <w:r w:rsidRPr="0009657E">
              <w:rPr>
                <w:bCs/>
                <w:color w:val="000000"/>
                <w:sz w:val="20"/>
                <w:szCs w:val="20"/>
              </w:rPr>
              <w:t>00</w:t>
            </w:r>
          </w:p>
        </w:tc>
        <w:tc>
          <w:tcPr>
            <w:tcW w:w="1179" w:type="dxa"/>
            <w:shd w:val="clear" w:color="auto" w:fill="auto"/>
            <w:noWrap/>
            <w:tcMar>
              <w:left w:w="0" w:type="dxa"/>
              <w:right w:w="173" w:type="dxa"/>
            </w:tcMar>
            <w:vAlign w:val="bottom"/>
            <w:hideMark/>
          </w:tcPr>
          <w:p w14:paraId="4AD204CF" w14:textId="0C9BE5FF" w:rsidR="0009657E" w:rsidRPr="0009657E" w:rsidRDefault="0009657E" w:rsidP="0009657E">
            <w:pPr>
              <w:widowControl w:val="0"/>
              <w:jc w:val="right"/>
              <w:rPr>
                <w:sz w:val="20"/>
                <w:szCs w:val="20"/>
              </w:rPr>
            </w:pPr>
            <w:r w:rsidRPr="0009657E">
              <w:rPr>
                <w:color w:val="000000"/>
                <w:sz w:val="20"/>
              </w:rPr>
              <w:t>29</w:t>
            </w:r>
            <w:r w:rsidR="00273F5E">
              <w:rPr>
                <w:color w:val="000000"/>
                <w:sz w:val="20"/>
              </w:rPr>
              <w:t>,</w:t>
            </w:r>
            <w:r w:rsidRPr="0009657E">
              <w:rPr>
                <w:color w:val="000000"/>
                <w:sz w:val="20"/>
              </w:rPr>
              <w:t>33</w:t>
            </w:r>
          </w:p>
        </w:tc>
        <w:tc>
          <w:tcPr>
            <w:tcW w:w="1179" w:type="dxa"/>
            <w:shd w:val="clear" w:color="auto" w:fill="auto"/>
            <w:noWrap/>
            <w:tcMar>
              <w:left w:w="0" w:type="dxa"/>
              <w:right w:w="173" w:type="dxa"/>
            </w:tcMar>
            <w:vAlign w:val="bottom"/>
            <w:hideMark/>
          </w:tcPr>
          <w:p w14:paraId="760F51C3" w14:textId="6564F1F6" w:rsidR="0009657E" w:rsidRPr="0009657E" w:rsidRDefault="0009657E" w:rsidP="0009657E">
            <w:pPr>
              <w:widowControl w:val="0"/>
              <w:jc w:val="right"/>
              <w:rPr>
                <w:sz w:val="20"/>
                <w:szCs w:val="20"/>
              </w:rPr>
            </w:pPr>
            <w:r w:rsidRPr="0009657E">
              <w:rPr>
                <w:color w:val="000000"/>
                <w:sz w:val="20"/>
              </w:rPr>
              <w:t>10</w:t>
            </w:r>
            <w:r w:rsidR="00273F5E">
              <w:rPr>
                <w:color w:val="000000"/>
                <w:sz w:val="20"/>
              </w:rPr>
              <w:t>,</w:t>
            </w:r>
            <w:r w:rsidRPr="0009657E">
              <w:rPr>
                <w:color w:val="000000"/>
                <w:sz w:val="20"/>
              </w:rPr>
              <w:t>33</w:t>
            </w:r>
          </w:p>
        </w:tc>
      </w:tr>
      <w:tr w:rsidR="0009657E" w:rsidRPr="005E0970" w14:paraId="00E4EBC3" w14:textId="77777777" w:rsidTr="00AD05C2">
        <w:tc>
          <w:tcPr>
            <w:tcW w:w="1247" w:type="dxa"/>
            <w:shd w:val="clear" w:color="auto" w:fill="auto"/>
            <w:noWrap/>
            <w:vAlign w:val="center"/>
            <w:hideMark/>
          </w:tcPr>
          <w:p w14:paraId="2BF419A9" w14:textId="3E03FC73" w:rsidR="0009657E" w:rsidRPr="005C15FE" w:rsidRDefault="005C15FE" w:rsidP="00D82CA5">
            <w:pPr>
              <w:widowControl w:val="0"/>
              <w:jc w:val="left"/>
              <w:rPr>
                <w:sz w:val="20"/>
                <w:szCs w:val="20"/>
                <w:lang w:val="en-CA" w:eastAsia="en-CA"/>
              </w:rPr>
            </w:pPr>
            <w:r w:rsidRPr="005C15FE">
              <w:rPr>
                <w:sz w:val="20"/>
                <w:szCs w:val="20"/>
                <w:lang w:val="fr-FR" w:eastAsia="en-CA"/>
              </w:rPr>
              <w:t>PNUD</w:t>
            </w:r>
          </w:p>
        </w:tc>
        <w:tc>
          <w:tcPr>
            <w:tcW w:w="1039" w:type="dxa"/>
            <w:shd w:val="clear" w:color="auto" w:fill="auto"/>
            <w:noWrap/>
            <w:vAlign w:val="center"/>
            <w:hideMark/>
          </w:tcPr>
          <w:p w14:paraId="4E893738" w14:textId="16CEF0B5" w:rsidR="0009657E" w:rsidRPr="0009657E" w:rsidRDefault="0009657E" w:rsidP="0009657E">
            <w:pPr>
              <w:widowControl w:val="0"/>
              <w:jc w:val="center"/>
              <w:rPr>
                <w:sz w:val="20"/>
                <w:szCs w:val="20"/>
                <w:lang w:val="en-CA" w:eastAsia="en-CA"/>
              </w:rPr>
            </w:pPr>
            <w:r w:rsidRPr="0009657E">
              <w:rPr>
                <w:sz w:val="20"/>
                <w:szCs w:val="20"/>
                <w:lang w:val="en-CA" w:eastAsia="en-CA"/>
              </w:rPr>
              <w:t>3</w:t>
            </w:r>
          </w:p>
        </w:tc>
        <w:tc>
          <w:tcPr>
            <w:tcW w:w="1179" w:type="dxa"/>
            <w:shd w:val="clear" w:color="auto" w:fill="auto"/>
            <w:noWrap/>
            <w:tcMar>
              <w:left w:w="0" w:type="dxa"/>
              <w:right w:w="173" w:type="dxa"/>
            </w:tcMar>
            <w:vAlign w:val="center"/>
            <w:hideMark/>
          </w:tcPr>
          <w:p w14:paraId="01183C7C" w14:textId="6BC07F71" w:rsidR="0009657E" w:rsidRPr="0009657E" w:rsidRDefault="0009657E" w:rsidP="0009657E">
            <w:pPr>
              <w:widowControl w:val="0"/>
              <w:jc w:val="right"/>
              <w:rPr>
                <w:sz w:val="20"/>
                <w:szCs w:val="20"/>
                <w:lang w:val="en-CA" w:eastAsia="en-CA"/>
              </w:rPr>
            </w:pPr>
            <w:r w:rsidRPr="0009657E">
              <w:rPr>
                <w:sz w:val="20"/>
                <w:szCs w:val="20"/>
                <w:lang w:val="en-CA" w:eastAsia="en-CA"/>
              </w:rPr>
              <w:t>3</w:t>
            </w:r>
            <w:r w:rsidR="00273F5E">
              <w:rPr>
                <w:sz w:val="20"/>
                <w:szCs w:val="20"/>
                <w:lang w:val="en-CA" w:eastAsia="en-CA"/>
              </w:rPr>
              <w:t> </w:t>
            </w:r>
            <w:r w:rsidRPr="0009657E">
              <w:rPr>
                <w:sz w:val="20"/>
                <w:szCs w:val="20"/>
                <w:lang w:val="en-CA" w:eastAsia="en-CA"/>
              </w:rPr>
              <w:t>261</w:t>
            </w:r>
            <w:r w:rsidR="00273F5E">
              <w:rPr>
                <w:sz w:val="20"/>
                <w:szCs w:val="20"/>
                <w:lang w:val="en-CA" w:eastAsia="en-CA"/>
              </w:rPr>
              <w:t> </w:t>
            </w:r>
            <w:r w:rsidRPr="0009657E">
              <w:rPr>
                <w:sz w:val="20"/>
                <w:szCs w:val="20"/>
                <w:lang w:val="en-CA" w:eastAsia="en-CA"/>
              </w:rPr>
              <w:t>435</w:t>
            </w:r>
          </w:p>
        </w:tc>
        <w:tc>
          <w:tcPr>
            <w:tcW w:w="1179" w:type="dxa"/>
            <w:shd w:val="clear" w:color="auto" w:fill="auto"/>
            <w:noWrap/>
            <w:tcMar>
              <w:left w:w="0" w:type="dxa"/>
              <w:right w:w="173" w:type="dxa"/>
            </w:tcMar>
            <w:vAlign w:val="center"/>
            <w:hideMark/>
          </w:tcPr>
          <w:p w14:paraId="19D50C0F" w14:textId="64A2EF59" w:rsidR="0009657E" w:rsidRPr="0009657E" w:rsidRDefault="0009657E" w:rsidP="0009657E">
            <w:pPr>
              <w:widowControl w:val="0"/>
              <w:jc w:val="right"/>
              <w:rPr>
                <w:sz w:val="20"/>
                <w:szCs w:val="20"/>
                <w:lang w:val="en-CA" w:eastAsia="en-CA"/>
              </w:rPr>
            </w:pPr>
            <w:r w:rsidRPr="0009657E">
              <w:rPr>
                <w:sz w:val="20"/>
                <w:szCs w:val="20"/>
                <w:lang w:val="en-CA" w:eastAsia="en-CA"/>
              </w:rPr>
              <w:t>3</w:t>
            </w:r>
            <w:r w:rsidR="00273F5E">
              <w:rPr>
                <w:sz w:val="20"/>
                <w:szCs w:val="20"/>
                <w:lang w:val="en-CA" w:eastAsia="en-CA"/>
              </w:rPr>
              <w:t> </w:t>
            </w:r>
            <w:r w:rsidRPr="0009657E">
              <w:rPr>
                <w:sz w:val="20"/>
                <w:szCs w:val="20"/>
                <w:lang w:val="en-CA" w:eastAsia="en-CA"/>
              </w:rPr>
              <w:t>261</w:t>
            </w:r>
            <w:r w:rsidR="00273F5E">
              <w:rPr>
                <w:sz w:val="20"/>
                <w:szCs w:val="20"/>
                <w:lang w:val="en-CA" w:eastAsia="en-CA"/>
              </w:rPr>
              <w:t> </w:t>
            </w:r>
            <w:r w:rsidRPr="0009657E">
              <w:rPr>
                <w:sz w:val="20"/>
                <w:szCs w:val="20"/>
                <w:lang w:val="en-CA" w:eastAsia="en-CA"/>
              </w:rPr>
              <w:t>435</w:t>
            </w:r>
          </w:p>
        </w:tc>
        <w:tc>
          <w:tcPr>
            <w:tcW w:w="1179" w:type="dxa"/>
            <w:shd w:val="clear" w:color="auto" w:fill="auto"/>
            <w:noWrap/>
            <w:tcMar>
              <w:left w:w="0" w:type="dxa"/>
              <w:right w:w="173" w:type="dxa"/>
            </w:tcMar>
            <w:vAlign w:val="center"/>
            <w:hideMark/>
          </w:tcPr>
          <w:p w14:paraId="1D3C58F8" w14:textId="5413F685" w:rsidR="0009657E" w:rsidRPr="0009657E" w:rsidRDefault="0009657E" w:rsidP="0009657E">
            <w:pPr>
              <w:widowControl w:val="0"/>
              <w:jc w:val="right"/>
              <w:rPr>
                <w:sz w:val="20"/>
                <w:szCs w:val="20"/>
                <w:lang w:val="en-CA" w:eastAsia="en-CA"/>
              </w:rPr>
            </w:pPr>
            <w:r w:rsidRPr="0009657E">
              <w:rPr>
                <w:sz w:val="20"/>
                <w:szCs w:val="20"/>
                <w:lang w:val="en-CA" w:eastAsia="en-CA"/>
              </w:rPr>
              <w:t>239</w:t>
            </w:r>
            <w:r w:rsidR="00273F5E">
              <w:rPr>
                <w:sz w:val="20"/>
                <w:szCs w:val="20"/>
                <w:lang w:val="en-CA" w:eastAsia="en-CA"/>
              </w:rPr>
              <w:t>,</w:t>
            </w:r>
            <w:r w:rsidRPr="0009657E">
              <w:rPr>
                <w:sz w:val="20"/>
                <w:szCs w:val="20"/>
                <w:lang w:val="en-CA" w:eastAsia="en-CA"/>
              </w:rPr>
              <w:t>2</w:t>
            </w:r>
          </w:p>
        </w:tc>
        <w:tc>
          <w:tcPr>
            <w:tcW w:w="1179" w:type="dxa"/>
            <w:shd w:val="clear" w:color="auto" w:fill="auto"/>
            <w:noWrap/>
            <w:tcMar>
              <w:left w:w="0" w:type="dxa"/>
              <w:right w:w="173" w:type="dxa"/>
            </w:tcMar>
            <w:vAlign w:val="center"/>
            <w:hideMark/>
          </w:tcPr>
          <w:p w14:paraId="2F2DE5F1" w14:textId="20C9FD9D" w:rsidR="0009657E" w:rsidRPr="0009657E" w:rsidRDefault="0009657E" w:rsidP="0009657E">
            <w:pPr>
              <w:widowControl w:val="0"/>
              <w:jc w:val="right"/>
              <w:rPr>
                <w:sz w:val="20"/>
                <w:szCs w:val="20"/>
                <w:lang w:val="en-CA" w:eastAsia="en-CA"/>
              </w:rPr>
            </w:pPr>
            <w:r w:rsidRPr="0009657E">
              <w:rPr>
                <w:sz w:val="20"/>
                <w:szCs w:val="20"/>
                <w:lang w:val="en-CA" w:eastAsia="en-CA"/>
              </w:rPr>
              <w:t>239</w:t>
            </w:r>
            <w:r w:rsidR="00273F5E">
              <w:rPr>
                <w:sz w:val="20"/>
                <w:szCs w:val="20"/>
                <w:lang w:val="en-CA" w:eastAsia="en-CA"/>
              </w:rPr>
              <w:t>,</w:t>
            </w:r>
            <w:r w:rsidRPr="0009657E">
              <w:rPr>
                <w:sz w:val="20"/>
                <w:szCs w:val="20"/>
                <w:lang w:val="en-CA" w:eastAsia="en-CA"/>
              </w:rPr>
              <w:t>2</w:t>
            </w:r>
          </w:p>
        </w:tc>
        <w:tc>
          <w:tcPr>
            <w:tcW w:w="1179" w:type="dxa"/>
            <w:shd w:val="clear" w:color="auto" w:fill="auto"/>
            <w:noWrap/>
            <w:tcMar>
              <w:left w:w="0" w:type="dxa"/>
              <w:right w:w="173" w:type="dxa"/>
            </w:tcMar>
            <w:vAlign w:val="bottom"/>
            <w:hideMark/>
          </w:tcPr>
          <w:p w14:paraId="0EDB2775" w14:textId="7E8D2D7A" w:rsidR="0009657E" w:rsidRPr="0009657E" w:rsidRDefault="0009657E" w:rsidP="0009657E">
            <w:pPr>
              <w:widowControl w:val="0"/>
              <w:jc w:val="right"/>
              <w:rPr>
                <w:sz w:val="20"/>
                <w:szCs w:val="20"/>
                <w:lang w:val="en-CA" w:eastAsia="en-CA"/>
              </w:rPr>
            </w:pPr>
            <w:r w:rsidRPr="0009657E">
              <w:rPr>
                <w:color w:val="000000"/>
                <w:sz w:val="20"/>
              </w:rPr>
              <w:t>40</w:t>
            </w:r>
            <w:r w:rsidR="00273F5E">
              <w:rPr>
                <w:color w:val="000000"/>
                <w:sz w:val="20"/>
              </w:rPr>
              <w:t>,</w:t>
            </w:r>
            <w:r w:rsidRPr="0009657E">
              <w:rPr>
                <w:color w:val="000000"/>
                <w:sz w:val="20"/>
              </w:rPr>
              <w:t>33</w:t>
            </w:r>
          </w:p>
        </w:tc>
        <w:tc>
          <w:tcPr>
            <w:tcW w:w="1179" w:type="dxa"/>
            <w:shd w:val="clear" w:color="auto" w:fill="auto"/>
            <w:noWrap/>
            <w:tcMar>
              <w:left w:w="0" w:type="dxa"/>
              <w:right w:w="173" w:type="dxa"/>
            </w:tcMar>
            <w:vAlign w:val="bottom"/>
            <w:hideMark/>
          </w:tcPr>
          <w:p w14:paraId="0885679F" w14:textId="415F922C" w:rsidR="0009657E" w:rsidRPr="0009657E" w:rsidRDefault="0009657E" w:rsidP="0009657E">
            <w:pPr>
              <w:widowControl w:val="0"/>
              <w:jc w:val="right"/>
              <w:rPr>
                <w:sz w:val="20"/>
                <w:szCs w:val="20"/>
                <w:lang w:val="en-CA" w:eastAsia="en-CA"/>
              </w:rPr>
            </w:pPr>
            <w:r w:rsidRPr="0009657E">
              <w:rPr>
                <w:color w:val="000000"/>
                <w:sz w:val="20"/>
              </w:rPr>
              <w:t>16</w:t>
            </w:r>
            <w:r w:rsidR="00273F5E">
              <w:rPr>
                <w:color w:val="000000"/>
                <w:sz w:val="20"/>
              </w:rPr>
              <w:t>,</w:t>
            </w:r>
            <w:r w:rsidRPr="0009657E">
              <w:rPr>
                <w:color w:val="000000"/>
                <w:sz w:val="20"/>
              </w:rPr>
              <w:t>67</w:t>
            </w:r>
          </w:p>
        </w:tc>
      </w:tr>
      <w:tr w:rsidR="0009657E" w:rsidRPr="005E0970" w14:paraId="2848750D" w14:textId="77777777" w:rsidTr="00AD05C2">
        <w:tc>
          <w:tcPr>
            <w:tcW w:w="1247" w:type="dxa"/>
            <w:shd w:val="clear" w:color="auto" w:fill="auto"/>
            <w:noWrap/>
            <w:vAlign w:val="center"/>
            <w:hideMark/>
          </w:tcPr>
          <w:p w14:paraId="69353B04" w14:textId="0FB3BAB9" w:rsidR="0009657E" w:rsidRPr="005C15FE" w:rsidRDefault="005C15FE" w:rsidP="00D82CA5">
            <w:pPr>
              <w:widowControl w:val="0"/>
              <w:jc w:val="left"/>
              <w:rPr>
                <w:sz w:val="20"/>
                <w:szCs w:val="20"/>
                <w:lang w:val="en-CA" w:eastAsia="en-CA"/>
              </w:rPr>
            </w:pPr>
            <w:r w:rsidRPr="005C15FE">
              <w:rPr>
                <w:sz w:val="20"/>
                <w:szCs w:val="20"/>
                <w:lang w:val="fr-FR" w:eastAsia="en-CA"/>
              </w:rPr>
              <w:t>PNUE</w:t>
            </w:r>
          </w:p>
        </w:tc>
        <w:tc>
          <w:tcPr>
            <w:tcW w:w="1039" w:type="dxa"/>
            <w:shd w:val="clear" w:color="auto" w:fill="auto"/>
            <w:noWrap/>
            <w:vAlign w:val="center"/>
            <w:hideMark/>
          </w:tcPr>
          <w:p w14:paraId="3A26003A" w14:textId="7023C1D5" w:rsidR="0009657E" w:rsidRPr="0009657E" w:rsidRDefault="0009657E" w:rsidP="0009657E">
            <w:pPr>
              <w:widowControl w:val="0"/>
              <w:jc w:val="center"/>
              <w:rPr>
                <w:sz w:val="20"/>
                <w:szCs w:val="20"/>
                <w:lang w:val="en-CA" w:eastAsia="en-CA"/>
              </w:rPr>
            </w:pPr>
            <w:r w:rsidRPr="0009657E">
              <w:rPr>
                <w:sz w:val="20"/>
                <w:szCs w:val="20"/>
                <w:lang w:val="en-CA" w:eastAsia="en-CA"/>
              </w:rPr>
              <w:t>3</w:t>
            </w:r>
          </w:p>
        </w:tc>
        <w:tc>
          <w:tcPr>
            <w:tcW w:w="1179" w:type="dxa"/>
            <w:shd w:val="clear" w:color="auto" w:fill="auto"/>
            <w:noWrap/>
            <w:tcMar>
              <w:left w:w="0" w:type="dxa"/>
              <w:right w:w="173" w:type="dxa"/>
            </w:tcMar>
            <w:vAlign w:val="center"/>
            <w:hideMark/>
          </w:tcPr>
          <w:p w14:paraId="5EE390C1" w14:textId="7B222696" w:rsidR="0009657E" w:rsidRPr="0009657E" w:rsidRDefault="0009657E" w:rsidP="0009657E">
            <w:pPr>
              <w:widowControl w:val="0"/>
              <w:jc w:val="right"/>
              <w:rPr>
                <w:sz w:val="20"/>
                <w:szCs w:val="20"/>
                <w:lang w:val="en-CA" w:eastAsia="en-CA"/>
              </w:rPr>
            </w:pPr>
            <w:r w:rsidRPr="0009657E">
              <w:rPr>
                <w:sz w:val="20"/>
                <w:szCs w:val="20"/>
                <w:lang w:val="en-CA" w:eastAsia="en-CA"/>
              </w:rPr>
              <w:t>87</w:t>
            </w:r>
            <w:r w:rsidR="00273F5E">
              <w:rPr>
                <w:sz w:val="20"/>
                <w:szCs w:val="20"/>
                <w:lang w:val="en-CA" w:eastAsia="en-CA"/>
              </w:rPr>
              <w:t> </w:t>
            </w:r>
            <w:r w:rsidRPr="0009657E">
              <w:rPr>
                <w:sz w:val="20"/>
                <w:szCs w:val="20"/>
                <w:lang w:val="en-CA" w:eastAsia="en-CA"/>
              </w:rPr>
              <w:t>223</w:t>
            </w:r>
          </w:p>
        </w:tc>
        <w:tc>
          <w:tcPr>
            <w:tcW w:w="1179" w:type="dxa"/>
            <w:shd w:val="clear" w:color="auto" w:fill="auto"/>
            <w:noWrap/>
            <w:tcMar>
              <w:left w:w="0" w:type="dxa"/>
              <w:right w:w="173" w:type="dxa"/>
            </w:tcMar>
            <w:vAlign w:val="center"/>
            <w:hideMark/>
          </w:tcPr>
          <w:p w14:paraId="5B35143A" w14:textId="779D56A6" w:rsidR="0009657E" w:rsidRPr="0009657E" w:rsidRDefault="0009657E" w:rsidP="0009657E">
            <w:pPr>
              <w:widowControl w:val="0"/>
              <w:jc w:val="right"/>
              <w:rPr>
                <w:sz w:val="20"/>
                <w:szCs w:val="20"/>
                <w:lang w:val="en-CA" w:eastAsia="en-CA"/>
              </w:rPr>
            </w:pPr>
            <w:r w:rsidRPr="0009657E">
              <w:rPr>
                <w:sz w:val="20"/>
                <w:szCs w:val="20"/>
                <w:lang w:val="en-CA" w:eastAsia="en-CA"/>
              </w:rPr>
              <w:t>61</w:t>
            </w:r>
            <w:r w:rsidR="00273F5E">
              <w:rPr>
                <w:sz w:val="20"/>
                <w:szCs w:val="20"/>
                <w:lang w:val="en-CA" w:eastAsia="en-CA"/>
              </w:rPr>
              <w:t> </w:t>
            </w:r>
            <w:r w:rsidRPr="0009657E">
              <w:rPr>
                <w:sz w:val="20"/>
                <w:szCs w:val="20"/>
                <w:lang w:val="en-CA" w:eastAsia="en-CA"/>
              </w:rPr>
              <w:t>424</w:t>
            </w:r>
          </w:p>
        </w:tc>
        <w:tc>
          <w:tcPr>
            <w:tcW w:w="1179" w:type="dxa"/>
            <w:shd w:val="clear" w:color="auto" w:fill="auto"/>
            <w:noWrap/>
            <w:tcMar>
              <w:left w:w="0" w:type="dxa"/>
              <w:right w:w="173" w:type="dxa"/>
            </w:tcMar>
            <w:vAlign w:val="bottom"/>
            <w:hideMark/>
          </w:tcPr>
          <w:p w14:paraId="1E55E64A" w14:textId="6A2FB061" w:rsidR="0009657E" w:rsidRPr="0009657E" w:rsidRDefault="0009657E" w:rsidP="0009657E">
            <w:pPr>
              <w:widowControl w:val="0"/>
              <w:jc w:val="right"/>
              <w:rPr>
                <w:sz w:val="20"/>
                <w:szCs w:val="20"/>
                <w:lang w:val="en-CA" w:eastAsia="en-CA"/>
              </w:rPr>
            </w:pPr>
            <w:r w:rsidRPr="0009657E">
              <w:rPr>
                <w:sz w:val="20"/>
                <w:szCs w:val="20"/>
                <w:lang w:val="en-CA" w:eastAsia="en-CA"/>
              </w:rPr>
              <w:t>0</w:t>
            </w:r>
          </w:p>
        </w:tc>
        <w:tc>
          <w:tcPr>
            <w:tcW w:w="1179" w:type="dxa"/>
            <w:shd w:val="clear" w:color="auto" w:fill="auto"/>
            <w:noWrap/>
            <w:tcMar>
              <w:left w:w="0" w:type="dxa"/>
              <w:right w:w="173" w:type="dxa"/>
            </w:tcMar>
            <w:vAlign w:val="bottom"/>
            <w:hideMark/>
          </w:tcPr>
          <w:p w14:paraId="607069F7" w14:textId="6F2911F8" w:rsidR="0009657E" w:rsidRPr="0009657E" w:rsidRDefault="0009657E" w:rsidP="0009657E">
            <w:pPr>
              <w:widowControl w:val="0"/>
              <w:jc w:val="right"/>
              <w:rPr>
                <w:sz w:val="20"/>
                <w:szCs w:val="20"/>
                <w:lang w:val="en-CA" w:eastAsia="en-CA"/>
              </w:rPr>
            </w:pPr>
            <w:r w:rsidRPr="0009657E">
              <w:rPr>
                <w:sz w:val="20"/>
                <w:szCs w:val="20"/>
                <w:lang w:val="en-CA" w:eastAsia="en-CA"/>
              </w:rPr>
              <w:t>0</w:t>
            </w:r>
          </w:p>
        </w:tc>
        <w:tc>
          <w:tcPr>
            <w:tcW w:w="1179" w:type="dxa"/>
            <w:shd w:val="clear" w:color="auto" w:fill="auto"/>
            <w:noWrap/>
            <w:tcMar>
              <w:left w:w="0" w:type="dxa"/>
              <w:right w:w="173" w:type="dxa"/>
            </w:tcMar>
            <w:vAlign w:val="bottom"/>
            <w:hideMark/>
          </w:tcPr>
          <w:p w14:paraId="539E14B4" w14:textId="2346914D" w:rsidR="0009657E" w:rsidRPr="0009657E" w:rsidRDefault="0009657E" w:rsidP="0009657E">
            <w:pPr>
              <w:widowControl w:val="0"/>
              <w:jc w:val="right"/>
              <w:rPr>
                <w:sz w:val="20"/>
                <w:szCs w:val="20"/>
                <w:lang w:val="en-CA" w:eastAsia="en-CA"/>
              </w:rPr>
            </w:pPr>
            <w:r w:rsidRPr="0009657E">
              <w:rPr>
                <w:color w:val="000000"/>
                <w:sz w:val="20"/>
              </w:rPr>
              <w:t>39</w:t>
            </w:r>
            <w:r w:rsidR="00273F5E">
              <w:rPr>
                <w:color w:val="000000"/>
                <w:sz w:val="20"/>
              </w:rPr>
              <w:t>,</w:t>
            </w:r>
            <w:r w:rsidRPr="0009657E">
              <w:rPr>
                <w:color w:val="000000"/>
                <w:sz w:val="20"/>
              </w:rPr>
              <w:t>67</w:t>
            </w:r>
          </w:p>
        </w:tc>
        <w:tc>
          <w:tcPr>
            <w:tcW w:w="1179" w:type="dxa"/>
            <w:shd w:val="clear" w:color="auto" w:fill="auto"/>
            <w:noWrap/>
            <w:tcMar>
              <w:left w:w="0" w:type="dxa"/>
              <w:right w:w="173" w:type="dxa"/>
            </w:tcMar>
            <w:vAlign w:val="bottom"/>
            <w:hideMark/>
          </w:tcPr>
          <w:p w14:paraId="728D0D69" w14:textId="0BB8F28A" w:rsidR="0009657E" w:rsidRPr="0009657E" w:rsidRDefault="0009657E" w:rsidP="0009657E">
            <w:pPr>
              <w:widowControl w:val="0"/>
              <w:jc w:val="right"/>
              <w:rPr>
                <w:sz w:val="20"/>
                <w:szCs w:val="20"/>
                <w:lang w:val="en-CA" w:eastAsia="en-CA"/>
              </w:rPr>
            </w:pPr>
            <w:r w:rsidRPr="0009657E">
              <w:rPr>
                <w:color w:val="000000"/>
                <w:sz w:val="20"/>
              </w:rPr>
              <w:t>19</w:t>
            </w:r>
            <w:r w:rsidR="00273F5E">
              <w:rPr>
                <w:color w:val="000000"/>
                <w:sz w:val="20"/>
              </w:rPr>
              <w:t>,</w:t>
            </w:r>
            <w:r w:rsidRPr="0009657E">
              <w:rPr>
                <w:color w:val="000000"/>
                <w:sz w:val="20"/>
              </w:rPr>
              <w:t>67</w:t>
            </w:r>
          </w:p>
        </w:tc>
      </w:tr>
      <w:tr w:rsidR="0009657E" w:rsidRPr="005E0970" w14:paraId="23B90641" w14:textId="77777777" w:rsidTr="00AD05C2">
        <w:tc>
          <w:tcPr>
            <w:tcW w:w="1247" w:type="dxa"/>
            <w:shd w:val="clear" w:color="auto" w:fill="auto"/>
            <w:noWrap/>
            <w:vAlign w:val="center"/>
            <w:hideMark/>
          </w:tcPr>
          <w:p w14:paraId="7EBF2998" w14:textId="45DF93A1" w:rsidR="0009657E" w:rsidRPr="005C15FE" w:rsidRDefault="005C15FE" w:rsidP="00D82CA5">
            <w:pPr>
              <w:widowControl w:val="0"/>
              <w:jc w:val="left"/>
              <w:rPr>
                <w:sz w:val="20"/>
                <w:szCs w:val="20"/>
                <w:lang w:val="en-CA" w:eastAsia="en-CA"/>
              </w:rPr>
            </w:pPr>
            <w:r w:rsidRPr="005C15FE">
              <w:rPr>
                <w:sz w:val="20"/>
                <w:szCs w:val="20"/>
                <w:lang w:val="fr-FR" w:eastAsia="en-CA"/>
              </w:rPr>
              <w:t>ONUDI</w:t>
            </w:r>
          </w:p>
        </w:tc>
        <w:tc>
          <w:tcPr>
            <w:tcW w:w="1039" w:type="dxa"/>
            <w:shd w:val="clear" w:color="auto" w:fill="auto"/>
            <w:noWrap/>
            <w:vAlign w:val="center"/>
            <w:hideMark/>
          </w:tcPr>
          <w:p w14:paraId="06AB9D11" w14:textId="78AD7F86" w:rsidR="0009657E" w:rsidRPr="0009657E" w:rsidRDefault="0009657E" w:rsidP="0009657E">
            <w:pPr>
              <w:widowControl w:val="0"/>
              <w:jc w:val="center"/>
              <w:rPr>
                <w:sz w:val="20"/>
                <w:szCs w:val="20"/>
                <w:lang w:val="en-CA" w:eastAsia="en-CA"/>
              </w:rPr>
            </w:pPr>
            <w:r w:rsidRPr="0009657E">
              <w:rPr>
                <w:sz w:val="20"/>
                <w:szCs w:val="20"/>
                <w:lang w:val="en-CA" w:eastAsia="en-CA"/>
              </w:rPr>
              <w:t>1</w:t>
            </w:r>
          </w:p>
        </w:tc>
        <w:tc>
          <w:tcPr>
            <w:tcW w:w="1179" w:type="dxa"/>
            <w:shd w:val="clear" w:color="auto" w:fill="auto"/>
            <w:noWrap/>
            <w:tcMar>
              <w:left w:w="0" w:type="dxa"/>
              <w:right w:w="173" w:type="dxa"/>
            </w:tcMar>
            <w:vAlign w:val="bottom"/>
            <w:hideMark/>
          </w:tcPr>
          <w:p w14:paraId="00B53792" w14:textId="3560D102" w:rsidR="0009657E" w:rsidRPr="0009657E" w:rsidRDefault="0009657E" w:rsidP="0009657E">
            <w:pPr>
              <w:widowControl w:val="0"/>
              <w:jc w:val="right"/>
              <w:rPr>
                <w:sz w:val="20"/>
                <w:szCs w:val="20"/>
                <w:lang w:val="en-CA" w:eastAsia="en-CA"/>
              </w:rPr>
            </w:pPr>
            <w:r w:rsidRPr="0009657E">
              <w:rPr>
                <w:sz w:val="20"/>
                <w:szCs w:val="20"/>
                <w:lang w:val="en-CA" w:eastAsia="en-CA"/>
              </w:rPr>
              <w:t>5</w:t>
            </w:r>
            <w:r w:rsidR="00273F5E">
              <w:rPr>
                <w:sz w:val="20"/>
                <w:szCs w:val="20"/>
                <w:lang w:val="en-CA" w:eastAsia="en-CA"/>
              </w:rPr>
              <w:t> </w:t>
            </w:r>
            <w:r w:rsidRPr="0009657E">
              <w:rPr>
                <w:sz w:val="20"/>
                <w:szCs w:val="20"/>
                <w:lang w:val="en-CA" w:eastAsia="en-CA"/>
              </w:rPr>
              <w:t>899</w:t>
            </w:r>
            <w:r w:rsidR="00273F5E">
              <w:rPr>
                <w:sz w:val="20"/>
                <w:szCs w:val="20"/>
                <w:lang w:val="en-CA" w:eastAsia="en-CA"/>
              </w:rPr>
              <w:t> </w:t>
            </w:r>
            <w:r w:rsidRPr="0009657E">
              <w:rPr>
                <w:sz w:val="20"/>
                <w:szCs w:val="20"/>
                <w:lang w:val="en-CA" w:eastAsia="en-CA"/>
              </w:rPr>
              <w:t>000</w:t>
            </w:r>
          </w:p>
        </w:tc>
        <w:tc>
          <w:tcPr>
            <w:tcW w:w="1179" w:type="dxa"/>
            <w:shd w:val="clear" w:color="auto" w:fill="auto"/>
            <w:noWrap/>
            <w:tcMar>
              <w:left w:w="0" w:type="dxa"/>
              <w:right w:w="173" w:type="dxa"/>
            </w:tcMar>
            <w:vAlign w:val="bottom"/>
            <w:hideMark/>
          </w:tcPr>
          <w:p w14:paraId="43219DD4" w14:textId="0C14F812" w:rsidR="0009657E" w:rsidRPr="0009657E" w:rsidRDefault="0009657E" w:rsidP="0009657E">
            <w:pPr>
              <w:widowControl w:val="0"/>
              <w:jc w:val="right"/>
              <w:rPr>
                <w:sz w:val="20"/>
                <w:szCs w:val="20"/>
                <w:lang w:val="en-CA" w:eastAsia="en-CA"/>
              </w:rPr>
            </w:pPr>
            <w:r w:rsidRPr="0009657E">
              <w:rPr>
                <w:sz w:val="20"/>
                <w:szCs w:val="20"/>
                <w:lang w:val="en-CA" w:eastAsia="en-CA"/>
              </w:rPr>
              <w:t>5</w:t>
            </w:r>
            <w:r w:rsidR="00273F5E">
              <w:rPr>
                <w:sz w:val="20"/>
                <w:szCs w:val="20"/>
                <w:lang w:val="en-CA" w:eastAsia="en-CA"/>
              </w:rPr>
              <w:t> </w:t>
            </w:r>
            <w:r w:rsidRPr="0009657E">
              <w:rPr>
                <w:sz w:val="20"/>
                <w:szCs w:val="20"/>
                <w:lang w:val="en-CA" w:eastAsia="en-CA"/>
              </w:rPr>
              <w:t>890</w:t>
            </w:r>
            <w:r w:rsidR="00273F5E">
              <w:rPr>
                <w:sz w:val="20"/>
                <w:szCs w:val="20"/>
                <w:lang w:val="en-CA" w:eastAsia="en-CA"/>
              </w:rPr>
              <w:t> </w:t>
            </w:r>
            <w:r w:rsidRPr="0009657E">
              <w:rPr>
                <w:sz w:val="20"/>
                <w:szCs w:val="20"/>
                <w:lang w:val="en-CA" w:eastAsia="en-CA"/>
              </w:rPr>
              <w:t>676</w:t>
            </w:r>
          </w:p>
        </w:tc>
        <w:tc>
          <w:tcPr>
            <w:tcW w:w="1179" w:type="dxa"/>
            <w:shd w:val="clear" w:color="auto" w:fill="auto"/>
            <w:noWrap/>
            <w:tcMar>
              <w:left w:w="0" w:type="dxa"/>
              <w:right w:w="173" w:type="dxa"/>
            </w:tcMar>
            <w:vAlign w:val="bottom"/>
            <w:hideMark/>
          </w:tcPr>
          <w:p w14:paraId="7BB093EC" w14:textId="39CC375A" w:rsidR="0009657E" w:rsidRPr="0009657E" w:rsidRDefault="0009657E" w:rsidP="0009657E">
            <w:pPr>
              <w:widowControl w:val="0"/>
              <w:jc w:val="right"/>
              <w:rPr>
                <w:sz w:val="20"/>
                <w:szCs w:val="20"/>
                <w:lang w:val="en-CA" w:eastAsia="en-CA"/>
              </w:rPr>
            </w:pPr>
            <w:r w:rsidRPr="0009657E">
              <w:rPr>
                <w:sz w:val="20"/>
                <w:szCs w:val="20"/>
                <w:lang w:val="en-CA" w:eastAsia="en-CA"/>
              </w:rPr>
              <w:t>159</w:t>
            </w:r>
            <w:r w:rsidR="00273F5E">
              <w:rPr>
                <w:sz w:val="20"/>
                <w:szCs w:val="20"/>
                <w:lang w:val="en-CA" w:eastAsia="en-CA"/>
              </w:rPr>
              <w:t>,</w:t>
            </w:r>
            <w:r w:rsidRPr="0009657E">
              <w:rPr>
                <w:sz w:val="20"/>
                <w:szCs w:val="20"/>
                <w:lang w:val="en-CA" w:eastAsia="en-CA"/>
              </w:rPr>
              <w:t>5</w:t>
            </w:r>
          </w:p>
        </w:tc>
        <w:tc>
          <w:tcPr>
            <w:tcW w:w="1179" w:type="dxa"/>
            <w:shd w:val="clear" w:color="auto" w:fill="auto"/>
            <w:noWrap/>
            <w:tcMar>
              <w:left w:w="0" w:type="dxa"/>
              <w:right w:w="173" w:type="dxa"/>
            </w:tcMar>
            <w:vAlign w:val="bottom"/>
            <w:hideMark/>
          </w:tcPr>
          <w:p w14:paraId="4027BC18" w14:textId="07F08E68" w:rsidR="0009657E" w:rsidRPr="0009657E" w:rsidRDefault="0009657E" w:rsidP="0009657E">
            <w:pPr>
              <w:widowControl w:val="0"/>
              <w:jc w:val="right"/>
              <w:rPr>
                <w:sz w:val="20"/>
                <w:szCs w:val="20"/>
                <w:lang w:val="en-CA" w:eastAsia="en-CA"/>
              </w:rPr>
            </w:pPr>
            <w:r w:rsidRPr="0009657E">
              <w:rPr>
                <w:sz w:val="20"/>
                <w:szCs w:val="20"/>
                <w:lang w:val="en-CA" w:eastAsia="en-CA"/>
              </w:rPr>
              <w:t>159</w:t>
            </w:r>
            <w:r w:rsidR="00273F5E">
              <w:rPr>
                <w:sz w:val="20"/>
                <w:szCs w:val="20"/>
                <w:lang w:val="en-CA" w:eastAsia="en-CA"/>
              </w:rPr>
              <w:t>,</w:t>
            </w:r>
            <w:r w:rsidRPr="0009657E">
              <w:rPr>
                <w:sz w:val="20"/>
                <w:szCs w:val="20"/>
                <w:lang w:val="en-CA" w:eastAsia="en-CA"/>
              </w:rPr>
              <w:t>5</w:t>
            </w:r>
          </w:p>
        </w:tc>
        <w:tc>
          <w:tcPr>
            <w:tcW w:w="1179" w:type="dxa"/>
            <w:shd w:val="clear" w:color="auto" w:fill="auto"/>
            <w:noWrap/>
            <w:tcMar>
              <w:left w:w="0" w:type="dxa"/>
              <w:right w:w="173" w:type="dxa"/>
            </w:tcMar>
            <w:vAlign w:val="bottom"/>
            <w:hideMark/>
          </w:tcPr>
          <w:p w14:paraId="4F67CC32" w14:textId="17649FA2" w:rsidR="0009657E" w:rsidRPr="0009657E" w:rsidRDefault="0009657E" w:rsidP="0009657E">
            <w:pPr>
              <w:widowControl w:val="0"/>
              <w:jc w:val="right"/>
              <w:rPr>
                <w:sz w:val="20"/>
                <w:szCs w:val="20"/>
                <w:lang w:val="en-CA" w:eastAsia="en-CA"/>
              </w:rPr>
            </w:pPr>
            <w:r w:rsidRPr="0009657E">
              <w:rPr>
                <w:color w:val="000000"/>
                <w:sz w:val="20"/>
              </w:rPr>
              <w:t>167</w:t>
            </w:r>
          </w:p>
        </w:tc>
        <w:tc>
          <w:tcPr>
            <w:tcW w:w="1179" w:type="dxa"/>
            <w:shd w:val="clear" w:color="auto" w:fill="auto"/>
            <w:noWrap/>
            <w:tcMar>
              <w:left w:w="0" w:type="dxa"/>
              <w:right w:w="173" w:type="dxa"/>
            </w:tcMar>
            <w:vAlign w:val="bottom"/>
            <w:hideMark/>
          </w:tcPr>
          <w:p w14:paraId="5C116E15" w14:textId="40832919" w:rsidR="0009657E" w:rsidRPr="0009657E" w:rsidRDefault="0009657E" w:rsidP="0009657E">
            <w:pPr>
              <w:widowControl w:val="0"/>
              <w:jc w:val="right"/>
              <w:rPr>
                <w:sz w:val="20"/>
                <w:szCs w:val="20"/>
                <w:lang w:val="en-CA" w:eastAsia="en-CA"/>
              </w:rPr>
            </w:pPr>
            <w:r w:rsidRPr="0009657E">
              <w:rPr>
                <w:color w:val="000000"/>
                <w:sz w:val="20"/>
              </w:rPr>
              <w:t>132</w:t>
            </w:r>
          </w:p>
        </w:tc>
      </w:tr>
      <w:tr w:rsidR="0009657E" w:rsidRPr="005E0970" w14:paraId="1DEEC4A8" w14:textId="77777777" w:rsidTr="00AD05C2">
        <w:tc>
          <w:tcPr>
            <w:tcW w:w="1247" w:type="dxa"/>
            <w:shd w:val="clear" w:color="auto" w:fill="auto"/>
            <w:noWrap/>
            <w:vAlign w:val="center"/>
            <w:hideMark/>
          </w:tcPr>
          <w:p w14:paraId="0C31B14D" w14:textId="0FF48B53" w:rsidR="0009657E" w:rsidRPr="005C15FE" w:rsidRDefault="005C15FE" w:rsidP="00D82CA5">
            <w:pPr>
              <w:widowControl w:val="0"/>
              <w:jc w:val="left"/>
              <w:rPr>
                <w:b/>
                <w:bCs/>
                <w:sz w:val="20"/>
                <w:szCs w:val="20"/>
                <w:lang w:val="en-CA" w:eastAsia="en-CA"/>
              </w:rPr>
            </w:pPr>
            <w:r w:rsidRPr="005C15FE">
              <w:rPr>
                <w:b/>
                <w:bCs/>
                <w:sz w:val="20"/>
                <w:szCs w:val="20"/>
                <w:lang w:val="fr-FR" w:eastAsia="en-CA"/>
              </w:rPr>
              <w:t>Total</w:t>
            </w:r>
          </w:p>
        </w:tc>
        <w:tc>
          <w:tcPr>
            <w:tcW w:w="1039" w:type="dxa"/>
            <w:shd w:val="clear" w:color="auto" w:fill="auto"/>
            <w:noWrap/>
            <w:vAlign w:val="center"/>
            <w:hideMark/>
          </w:tcPr>
          <w:p w14:paraId="696B8799" w14:textId="4EE2B449" w:rsidR="0009657E" w:rsidRPr="0009657E" w:rsidRDefault="0009657E" w:rsidP="0009657E">
            <w:pPr>
              <w:widowControl w:val="0"/>
              <w:jc w:val="center"/>
              <w:rPr>
                <w:b/>
                <w:bCs/>
                <w:sz w:val="20"/>
                <w:szCs w:val="20"/>
              </w:rPr>
            </w:pPr>
            <w:r w:rsidRPr="0009657E">
              <w:rPr>
                <w:b/>
                <w:bCs/>
                <w:sz w:val="20"/>
                <w:szCs w:val="20"/>
                <w:lang w:val="en-CA" w:eastAsia="en-CA"/>
              </w:rPr>
              <w:t>10</w:t>
            </w:r>
          </w:p>
        </w:tc>
        <w:tc>
          <w:tcPr>
            <w:tcW w:w="1179" w:type="dxa"/>
            <w:shd w:val="clear" w:color="auto" w:fill="auto"/>
            <w:noWrap/>
            <w:tcMar>
              <w:left w:w="0" w:type="dxa"/>
              <w:right w:w="173" w:type="dxa"/>
            </w:tcMar>
            <w:vAlign w:val="bottom"/>
            <w:hideMark/>
          </w:tcPr>
          <w:p w14:paraId="5D3DF45D" w14:textId="60BE9F80" w:rsidR="0009657E" w:rsidRPr="0009657E" w:rsidRDefault="0009657E" w:rsidP="0009657E">
            <w:pPr>
              <w:widowControl w:val="0"/>
              <w:jc w:val="right"/>
              <w:rPr>
                <w:b/>
                <w:bCs/>
                <w:sz w:val="20"/>
                <w:szCs w:val="20"/>
                <w:highlight w:val="yellow"/>
              </w:rPr>
            </w:pPr>
            <w:r w:rsidRPr="0009657E">
              <w:rPr>
                <w:b/>
                <w:color w:val="000000"/>
                <w:sz w:val="20"/>
                <w:szCs w:val="20"/>
              </w:rPr>
              <w:t>15</w:t>
            </w:r>
            <w:r w:rsidR="00273F5E">
              <w:rPr>
                <w:b/>
                <w:color w:val="000000"/>
                <w:sz w:val="20"/>
                <w:szCs w:val="20"/>
              </w:rPr>
              <w:t> </w:t>
            </w:r>
            <w:r w:rsidRPr="0009657E">
              <w:rPr>
                <w:b/>
                <w:color w:val="000000"/>
                <w:sz w:val="20"/>
                <w:szCs w:val="20"/>
              </w:rPr>
              <w:t>640</w:t>
            </w:r>
            <w:r w:rsidR="00273F5E">
              <w:rPr>
                <w:b/>
                <w:color w:val="000000"/>
                <w:sz w:val="20"/>
                <w:szCs w:val="20"/>
              </w:rPr>
              <w:t> </w:t>
            </w:r>
            <w:r w:rsidRPr="0009657E">
              <w:rPr>
                <w:b/>
                <w:color w:val="000000"/>
                <w:sz w:val="20"/>
                <w:szCs w:val="20"/>
              </w:rPr>
              <w:t>208</w:t>
            </w:r>
          </w:p>
        </w:tc>
        <w:tc>
          <w:tcPr>
            <w:tcW w:w="1179" w:type="dxa"/>
            <w:shd w:val="clear" w:color="auto" w:fill="auto"/>
            <w:noWrap/>
            <w:tcMar>
              <w:left w:w="0" w:type="dxa"/>
              <w:right w:w="173" w:type="dxa"/>
            </w:tcMar>
            <w:vAlign w:val="bottom"/>
            <w:hideMark/>
          </w:tcPr>
          <w:p w14:paraId="2CD47053" w14:textId="3EF5685B" w:rsidR="0009657E" w:rsidRPr="0009657E" w:rsidRDefault="0009657E" w:rsidP="0009657E">
            <w:pPr>
              <w:widowControl w:val="0"/>
              <w:jc w:val="right"/>
              <w:rPr>
                <w:b/>
                <w:bCs/>
                <w:sz w:val="20"/>
                <w:szCs w:val="20"/>
                <w:highlight w:val="yellow"/>
              </w:rPr>
            </w:pPr>
            <w:r w:rsidRPr="0009657E">
              <w:rPr>
                <w:b/>
                <w:color w:val="000000"/>
                <w:sz w:val="20"/>
                <w:szCs w:val="20"/>
              </w:rPr>
              <w:t>15</w:t>
            </w:r>
            <w:r w:rsidR="00273F5E">
              <w:rPr>
                <w:b/>
                <w:color w:val="000000"/>
                <w:sz w:val="20"/>
                <w:szCs w:val="20"/>
              </w:rPr>
              <w:t> </w:t>
            </w:r>
            <w:r w:rsidRPr="0009657E">
              <w:rPr>
                <w:b/>
                <w:color w:val="000000"/>
                <w:sz w:val="20"/>
                <w:szCs w:val="20"/>
              </w:rPr>
              <w:t>528</w:t>
            </w:r>
            <w:r w:rsidR="00273F5E">
              <w:rPr>
                <w:b/>
                <w:color w:val="000000"/>
                <w:sz w:val="20"/>
                <w:szCs w:val="20"/>
              </w:rPr>
              <w:t> </w:t>
            </w:r>
            <w:r w:rsidRPr="0009657E">
              <w:rPr>
                <w:b/>
                <w:color w:val="000000"/>
                <w:sz w:val="20"/>
                <w:szCs w:val="20"/>
              </w:rPr>
              <w:t>339</w:t>
            </w:r>
          </w:p>
        </w:tc>
        <w:tc>
          <w:tcPr>
            <w:tcW w:w="1179" w:type="dxa"/>
            <w:shd w:val="clear" w:color="auto" w:fill="auto"/>
            <w:noWrap/>
            <w:tcMar>
              <w:left w:w="0" w:type="dxa"/>
              <w:right w:w="173" w:type="dxa"/>
            </w:tcMar>
            <w:vAlign w:val="bottom"/>
            <w:hideMark/>
          </w:tcPr>
          <w:p w14:paraId="6CE5E024" w14:textId="6EF40C9E" w:rsidR="0009657E" w:rsidRPr="0009657E" w:rsidRDefault="0009657E" w:rsidP="0009657E">
            <w:pPr>
              <w:widowControl w:val="0"/>
              <w:jc w:val="right"/>
              <w:rPr>
                <w:b/>
                <w:bCs/>
                <w:sz w:val="20"/>
                <w:szCs w:val="20"/>
                <w:highlight w:val="yellow"/>
              </w:rPr>
            </w:pPr>
            <w:r w:rsidRPr="0009657E">
              <w:rPr>
                <w:b/>
                <w:color w:val="000000"/>
                <w:sz w:val="20"/>
                <w:szCs w:val="20"/>
              </w:rPr>
              <w:t>887</w:t>
            </w:r>
            <w:r w:rsidR="00273F5E">
              <w:rPr>
                <w:b/>
                <w:color w:val="000000"/>
                <w:sz w:val="20"/>
                <w:szCs w:val="20"/>
              </w:rPr>
              <w:t>,</w:t>
            </w:r>
            <w:r w:rsidRPr="0009657E">
              <w:rPr>
                <w:b/>
                <w:color w:val="000000"/>
                <w:sz w:val="20"/>
                <w:szCs w:val="20"/>
              </w:rPr>
              <w:t>7</w:t>
            </w:r>
          </w:p>
        </w:tc>
        <w:tc>
          <w:tcPr>
            <w:tcW w:w="1179" w:type="dxa"/>
            <w:shd w:val="clear" w:color="auto" w:fill="auto"/>
            <w:noWrap/>
            <w:tcMar>
              <w:left w:w="0" w:type="dxa"/>
              <w:right w:w="173" w:type="dxa"/>
            </w:tcMar>
            <w:vAlign w:val="bottom"/>
            <w:hideMark/>
          </w:tcPr>
          <w:p w14:paraId="49D4A390" w14:textId="279B4AE6" w:rsidR="0009657E" w:rsidRPr="0009657E" w:rsidRDefault="0009657E" w:rsidP="0009657E">
            <w:pPr>
              <w:widowControl w:val="0"/>
              <w:jc w:val="right"/>
              <w:rPr>
                <w:b/>
                <w:bCs/>
                <w:sz w:val="20"/>
                <w:szCs w:val="20"/>
                <w:highlight w:val="yellow"/>
              </w:rPr>
            </w:pPr>
            <w:r w:rsidRPr="0009657E">
              <w:rPr>
                <w:b/>
                <w:color w:val="000000"/>
                <w:sz w:val="20"/>
                <w:szCs w:val="20"/>
              </w:rPr>
              <w:t>887</w:t>
            </w:r>
            <w:r w:rsidR="00273F5E">
              <w:rPr>
                <w:b/>
                <w:color w:val="000000"/>
                <w:sz w:val="20"/>
                <w:szCs w:val="20"/>
              </w:rPr>
              <w:t>,</w:t>
            </w:r>
            <w:r w:rsidRPr="0009657E">
              <w:rPr>
                <w:b/>
                <w:color w:val="000000"/>
                <w:sz w:val="20"/>
                <w:szCs w:val="20"/>
              </w:rPr>
              <w:t>7</w:t>
            </w:r>
          </w:p>
        </w:tc>
        <w:tc>
          <w:tcPr>
            <w:tcW w:w="1179" w:type="dxa"/>
            <w:shd w:val="clear" w:color="auto" w:fill="auto"/>
            <w:noWrap/>
            <w:tcMar>
              <w:left w:w="0" w:type="dxa"/>
              <w:right w:w="173" w:type="dxa"/>
            </w:tcMar>
            <w:vAlign w:val="bottom"/>
            <w:hideMark/>
          </w:tcPr>
          <w:p w14:paraId="7D93A719" w14:textId="72C53F2F" w:rsidR="0009657E" w:rsidRPr="0009657E" w:rsidRDefault="0009657E" w:rsidP="0009657E">
            <w:pPr>
              <w:widowControl w:val="0"/>
              <w:jc w:val="right"/>
              <w:rPr>
                <w:b/>
                <w:bCs/>
                <w:sz w:val="20"/>
                <w:szCs w:val="20"/>
                <w:highlight w:val="yellow"/>
              </w:rPr>
            </w:pPr>
            <w:r w:rsidRPr="0009657E">
              <w:rPr>
                <w:b/>
                <w:color w:val="000000"/>
                <w:sz w:val="20"/>
                <w:szCs w:val="20"/>
              </w:rPr>
              <w:t>69</w:t>
            </w:r>
            <w:r w:rsidR="00273F5E">
              <w:rPr>
                <w:b/>
                <w:color w:val="000000"/>
                <w:sz w:val="20"/>
                <w:szCs w:val="20"/>
              </w:rPr>
              <w:t>,</w:t>
            </w:r>
            <w:r w:rsidRPr="0009657E">
              <w:rPr>
                <w:b/>
                <w:color w:val="000000"/>
                <w:sz w:val="20"/>
                <w:szCs w:val="20"/>
              </w:rPr>
              <w:t>08</w:t>
            </w:r>
          </w:p>
        </w:tc>
        <w:tc>
          <w:tcPr>
            <w:tcW w:w="1179" w:type="dxa"/>
            <w:shd w:val="clear" w:color="auto" w:fill="auto"/>
            <w:noWrap/>
            <w:tcMar>
              <w:left w:w="0" w:type="dxa"/>
              <w:right w:w="173" w:type="dxa"/>
            </w:tcMar>
            <w:vAlign w:val="bottom"/>
            <w:hideMark/>
          </w:tcPr>
          <w:p w14:paraId="247E577B" w14:textId="26EA5C69" w:rsidR="0009657E" w:rsidRPr="0009657E" w:rsidRDefault="0009657E" w:rsidP="0009657E">
            <w:pPr>
              <w:widowControl w:val="0"/>
              <w:jc w:val="right"/>
              <w:rPr>
                <w:b/>
                <w:bCs/>
                <w:sz w:val="20"/>
                <w:szCs w:val="20"/>
                <w:highlight w:val="yellow"/>
                <w:lang w:val="fr-CA"/>
              </w:rPr>
            </w:pPr>
            <w:r w:rsidRPr="0009657E">
              <w:rPr>
                <w:b/>
                <w:color w:val="000000"/>
                <w:sz w:val="20"/>
                <w:szCs w:val="20"/>
              </w:rPr>
              <w:t>44</w:t>
            </w:r>
            <w:r w:rsidR="00273F5E">
              <w:rPr>
                <w:b/>
                <w:color w:val="000000"/>
                <w:sz w:val="20"/>
                <w:szCs w:val="20"/>
              </w:rPr>
              <w:t>,</w:t>
            </w:r>
            <w:r w:rsidRPr="0009657E">
              <w:rPr>
                <w:b/>
                <w:color w:val="000000"/>
                <w:sz w:val="20"/>
                <w:szCs w:val="20"/>
              </w:rPr>
              <w:t>67</w:t>
            </w:r>
          </w:p>
        </w:tc>
      </w:tr>
    </w:tbl>
    <w:p w14:paraId="22167904" w14:textId="77777777" w:rsidR="00E90CE9" w:rsidRDefault="00E90CE9" w:rsidP="005C15FE">
      <w:pPr>
        <w:keepNext/>
        <w:keepLines/>
        <w:widowControl w:val="0"/>
        <w:spacing w:before="240" w:after="240"/>
        <w:rPr>
          <w:b/>
          <w:lang w:val="fr-FR" w:eastAsia="ja-JP"/>
        </w:rPr>
      </w:pPr>
    </w:p>
    <w:p w14:paraId="0A6F5753" w14:textId="77777777" w:rsidR="00E90CE9" w:rsidRDefault="00E90CE9">
      <w:pPr>
        <w:jc w:val="left"/>
        <w:rPr>
          <w:b/>
          <w:lang w:val="fr-FR" w:eastAsia="ja-JP"/>
        </w:rPr>
      </w:pPr>
      <w:r>
        <w:rPr>
          <w:b/>
          <w:lang w:val="fr-FR" w:eastAsia="ja-JP"/>
        </w:rPr>
        <w:br w:type="page"/>
      </w:r>
    </w:p>
    <w:p w14:paraId="1A06B422" w14:textId="532D42FA" w:rsidR="00222C40" w:rsidRDefault="005C15FE" w:rsidP="005C15FE">
      <w:pPr>
        <w:keepNext/>
        <w:keepLines/>
        <w:widowControl w:val="0"/>
        <w:spacing w:before="240" w:after="240"/>
        <w:rPr>
          <w:b/>
          <w:lang w:val="en-CA" w:eastAsia="ja-JP"/>
        </w:rPr>
      </w:pPr>
      <w:r w:rsidRPr="005C15FE">
        <w:rPr>
          <w:b/>
          <w:lang w:val="fr-FR" w:eastAsia="ja-JP"/>
        </w:rPr>
        <w:lastRenderedPageBreak/>
        <w:t>Raisons des retards</w:t>
      </w:r>
      <w:r w:rsidR="00222C40" w:rsidRPr="005C15FE">
        <w:rPr>
          <w:b/>
          <w:lang w:val="en-CA" w:eastAsia="ja-JP"/>
        </w:rPr>
        <w:t xml:space="preserve"> </w:t>
      </w:r>
    </w:p>
    <w:p w14:paraId="694BD761" w14:textId="294C08A9" w:rsidR="005C15FE" w:rsidRPr="00714F80" w:rsidRDefault="005C15FE" w:rsidP="005C15FE">
      <w:pPr>
        <w:pStyle w:val="Heading1"/>
        <w:widowControl w:val="0"/>
        <w:numPr>
          <w:ilvl w:val="0"/>
          <w:numId w:val="21"/>
        </w:numPr>
        <w:spacing w:before="240"/>
        <w:rPr>
          <w:lang w:val="fr-CA"/>
        </w:rPr>
      </w:pPr>
      <w:r w:rsidRPr="005C15FE">
        <w:rPr>
          <w:lang w:val="fr-FR"/>
        </w:rPr>
        <w:t>De longs processus administratifs et des problèmes ont eu une incidence sur la mise en œuvre en temps voulu de projets individuels (par ex.</w:t>
      </w:r>
      <w:r w:rsidR="003A6564">
        <w:rPr>
          <w:lang w:val="fr-FR"/>
        </w:rPr>
        <w:t xml:space="preserve"> </w:t>
      </w:r>
      <w:r w:rsidRPr="005C15FE">
        <w:rPr>
          <w:lang w:val="fr-FR"/>
        </w:rPr>
        <w:t>signature d</w:t>
      </w:r>
      <w:r w:rsidR="00F5401A">
        <w:rPr>
          <w:lang w:val="fr-FR"/>
        </w:rPr>
        <w:t>’</w:t>
      </w:r>
      <w:r w:rsidRPr="005C15FE">
        <w:rPr>
          <w:lang w:val="fr-FR"/>
        </w:rPr>
        <w:t>un mémorandum, approbation d</w:t>
      </w:r>
      <w:r w:rsidR="00F5401A">
        <w:rPr>
          <w:lang w:val="fr-FR"/>
        </w:rPr>
        <w:t>’</w:t>
      </w:r>
      <w:r w:rsidRPr="005C15FE">
        <w:rPr>
          <w:lang w:val="fr-FR"/>
        </w:rPr>
        <w:t>un nouvel enregistrement et processus d</w:t>
      </w:r>
      <w:r w:rsidR="00F5401A">
        <w:rPr>
          <w:lang w:val="fr-FR"/>
        </w:rPr>
        <w:t>’</w:t>
      </w:r>
      <w:r w:rsidRPr="005C15FE">
        <w:rPr>
          <w:lang w:val="fr-FR"/>
        </w:rPr>
        <w:t>examen de la documentation).</w:t>
      </w:r>
      <w:r w:rsidRPr="00714F80">
        <w:rPr>
          <w:lang w:val="fr-CA"/>
        </w:rPr>
        <w:t xml:space="preserve"> </w:t>
      </w:r>
      <w:r w:rsidRPr="005C15FE">
        <w:rPr>
          <w:lang w:val="fr-FR"/>
        </w:rPr>
        <w:t>Ces problèmes ont été résolus grâce à une coordination et une communication améliorées entre l</w:t>
      </w:r>
      <w:r w:rsidR="00F5401A">
        <w:rPr>
          <w:lang w:val="fr-FR"/>
        </w:rPr>
        <w:t>’</w:t>
      </w:r>
      <w:r w:rsidRPr="005C15FE">
        <w:rPr>
          <w:lang w:val="fr-FR"/>
        </w:rPr>
        <w:t>UNO et l</w:t>
      </w:r>
      <w:r w:rsidR="00F5401A">
        <w:rPr>
          <w:lang w:val="fr-FR"/>
        </w:rPr>
        <w:t>’</w:t>
      </w:r>
      <w:r w:rsidRPr="005C15FE">
        <w:rPr>
          <w:lang w:val="fr-FR"/>
        </w:rPr>
        <w:t>agence d</w:t>
      </w:r>
      <w:r w:rsidR="00F5401A">
        <w:rPr>
          <w:lang w:val="fr-FR"/>
        </w:rPr>
        <w:t>’</w:t>
      </w:r>
      <w:r w:rsidRPr="005C15FE">
        <w:rPr>
          <w:lang w:val="fr-FR"/>
        </w:rPr>
        <w:t>exécution.</w:t>
      </w:r>
      <w:r w:rsidRPr="00714F80">
        <w:rPr>
          <w:lang w:val="fr-CA"/>
        </w:rPr>
        <w:t xml:space="preserve"> </w:t>
      </w:r>
      <w:r w:rsidRPr="005C15FE">
        <w:rPr>
          <w:lang w:val="fr-FR"/>
        </w:rPr>
        <w:t>Un pays a mentionné que l</w:t>
      </w:r>
      <w:r w:rsidR="00F5401A">
        <w:rPr>
          <w:lang w:val="fr-FR"/>
        </w:rPr>
        <w:t>’</w:t>
      </w:r>
      <w:r w:rsidRPr="005C15FE">
        <w:rPr>
          <w:lang w:val="fr-FR"/>
        </w:rPr>
        <w:t>impact de la rotation du personnel au sein du ministère avait également un impact sur la mise en œuvre en temps opportun.</w:t>
      </w:r>
    </w:p>
    <w:p w14:paraId="14B79DE9" w14:textId="2FA21B73" w:rsidR="00F5401A" w:rsidRPr="00F5401A" w:rsidRDefault="005C15FE" w:rsidP="005C15FE">
      <w:pPr>
        <w:pStyle w:val="Heading1"/>
        <w:widowControl w:val="0"/>
        <w:numPr>
          <w:ilvl w:val="0"/>
          <w:numId w:val="21"/>
        </w:numPr>
        <w:spacing w:before="240"/>
        <w:rPr>
          <w:lang w:val="fr-FR"/>
        </w:rPr>
      </w:pPr>
      <w:r w:rsidRPr="00F5401A">
        <w:rPr>
          <w:lang w:val="fr-FR"/>
        </w:rPr>
        <w:t>Des problèmes liés à l</w:t>
      </w:r>
      <w:r w:rsidR="00F5401A" w:rsidRPr="00F5401A">
        <w:rPr>
          <w:lang w:val="fr-FR"/>
        </w:rPr>
        <w:t>’</w:t>
      </w:r>
      <w:r w:rsidRPr="00F5401A">
        <w:rPr>
          <w:lang w:val="fr-FR"/>
        </w:rPr>
        <w:t>entreprise et aux équipements ont également été à l</w:t>
      </w:r>
      <w:r w:rsidR="00F5401A" w:rsidRPr="00F5401A">
        <w:rPr>
          <w:lang w:val="fr-FR"/>
        </w:rPr>
        <w:t>’</w:t>
      </w:r>
      <w:r w:rsidRPr="00F5401A">
        <w:rPr>
          <w:lang w:val="fr-FR"/>
        </w:rPr>
        <w:t>origine de retards.</w:t>
      </w:r>
      <w:r w:rsidRPr="00714F80">
        <w:rPr>
          <w:lang w:val="fr-CA"/>
        </w:rPr>
        <w:t xml:space="preserve"> </w:t>
      </w:r>
      <w:r w:rsidRPr="00F5401A">
        <w:rPr>
          <w:lang w:val="fr-FR"/>
        </w:rPr>
        <w:t xml:space="preserve">Dans un cas, </w:t>
      </w:r>
      <w:r w:rsidR="003A6564" w:rsidRPr="00F5401A">
        <w:rPr>
          <w:lang w:val="fr-FR"/>
        </w:rPr>
        <w:t>d</w:t>
      </w:r>
      <w:r w:rsidRPr="00F5401A">
        <w:rPr>
          <w:lang w:val="fr-FR"/>
        </w:rPr>
        <w:t>es entreprises fabriquant des inhalateurs à doseur (MDI) ont dû reporter leurs activités en raison de l</w:t>
      </w:r>
      <w:r w:rsidR="00F5401A" w:rsidRPr="00F5401A">
        <w:rPr>
          <w:lang w:val="fr-FR"/>
        </w:rPr>
        <w:t>’</w:t>
      </w:r>
      <w:r w:rsidRPr="00F5401A">
        <w:rPr>
          <w:lang w:val="fr-FR"/>
        </w:rPr>
        <w:t>enregistrement du nouveau produit, des longs travaux de construction des locaux et des tests de stabilité requis.</w:t>
      </w:r>
      <w:r w:rsidRPr="00714F80">
        <w:rPr>
          <w:lang w:val="fr-CA"/>
        </w:rPr>
        <w:t xml:space="preserve"> </w:t>
      </w:r>
      <w:r w:rsidRPr="00F5401A">
        <w:rPr>
          <w:lang w:val="fr-FR"/>
        </w:rPr>
        <w:t>De surcroît, les nouveaux équipements reçus ont nécessité une assistance technique ; cependant, l</w:t>
      </w:r>
      <w:r w:rsidR="00F5401A" w:rsidRPr="00F5401A">
        <w:rPr>
          <w:lang w:val="fr-FR"/>
        </w:rPr>
        <w:t>’</w:t>
      </w:r>
      <w:r w:rsidRPr="00F5401A">
        <w:rPr>
          <w:lang w:val="fr-FR"/>
        </w:rPr>
        <w:t>entrepreneur sélectionné s</w:t>
      </w:r>
      <w:r w:rsidR="00F5401A" w:rsidRPr="00F5401A">
        <w:rPr>
          <w:lang w:val="fr-FR"/>
        </w:rPr>
        <w:t>’</w:t>
      </w:r>
      <w:r w:rsidRPr="00F5401A">
        <w:rPr>
          <w:lang w:val="fr-FR"/>
        </w:rPr>
        <w:t>est retiré de l</w:t>
      </w:r>
      <w:r w:rsidR="00F5401A" w:rsidRPr="00F5401A">
        <w:rPr>
          <w:lang w:val="fr-FR"/>
        </w:rPr>
        <w:t>’</w:t>
      </w:r>
      <w:r w:rsidRPr="00F5401A">
        <w:rPr>
          <w:lang w:val="fr-FR"/>
        </w:rPr>
        <w:t>accord et un nouveau processus d</w:t>
      </w:r>
      <w:r w:rsidR="00F5401A" w:rsidRPr="00F5401A">
        <w:rPr>
          <w:lang w:val="fr-FR"/>
        </w:rPr>
        <w:t>’</w:t>
      </w:r>
      <w:r w:rsidRPr="00F5401A">
        <w:rPr>
          <w:lang w:val="fr-FR"/>
        </w:rPr>
        <w:t>appel d</w:t>
      </w:r>
      <w:r w:rsidR="00F5401A" w:rsidRPr="00F5401A">
        <w:rPr>
          <w:lang w:val="fr-FR"/>
        </w:rPr>
        <w:t>’</w:t>
      </w:r>
      <w:r w:rsidRPr="00F5401A">
        <w:rPr>
          <w:lang w:val="fr-FR"/>
        </w:rPr>
        <w:t>offres a dû être lancé.</w:t>
      </w:r>
      <w:r w:rsidRPr="00714F80">
        <w:rPr>
          <w:lang w:val="fr-CA"/>
        </w:rPr>
        <w:t xml:space="preserve"> </w:t>
      </w:r>
      <w:r w:rsidR="00F5401A" w:rsidRPr="00F5401A">
        <w:rPr>
          <w:lang w:val="fr-FR"/>
        </w:rPr>
        <w:t xml:space="preserve">Une étroite coordination avec l’agence d’exécution </w:t>
      </w:r>
      <w:r w:rsidR="009E3EA4">
        <w:rPr>
          <w:lang w:val="fr-FR"/>
        </w:rPr>
        <w:t xml:space="preserve">a </w:t>
      </w:r>
      <w:r w:rsidR="00F5401A" w:rsidRPr="00F5401A">
        <w:rPr>
          <w:lang w:val="fr-FR"/>
        </w:rPr>
        <w:t xml:space="preserve">conduit à une mise en </w:t>
      </w:r>
      <w:r w:rsidR="00F5401A">
        <w:rPr>
          <w:lang w:val="fr-FR"/>
        </w:rPr>
        <w:t xml:space="preserve">œuvre </w:t>
      </w:r>
      <w:r w:rsidR="00F5401A" w:rsidRPr="00F5401A">
        <w:rPr>
          <w:lang w:val="fr-FR"/>
        </w:rPr>
        <w:t xml:space="preserve"> réussie du projet.</w:t>
      </w:r>
    </w:p>
    <w:p w14:paraId="4B3AAFEE" w14:textId="605F3701" w:rsidR="005C15FE" w:rsidRPr="00714F80" w:rsidRDefault="005C15FE" w:rsidP="005C15FE">
      <w:pPr>
        <w:pStyle w:val="Heading1"/>
        <w:widowControl w:val="0"/>
        <w:numPr>
          <w:ilvl w:val="0"/>
          <w:numId w:val="21"/>
        </w:numPr>
        <w:spacing w:before="240"/>
        <w:rPr>
          <w:lang w:val="fr-CA"/>
        </w:rPr>
      </w:pPr>
      <w:r w:rsidRPr="00F5401A">
        <w:rPr>
          <w:lang w:val="fr-FR"/>
        </w:rPr>
        <w:t>La situation politique dans un pays</w:t>
      </w:r>
      <w:r w:rsidR="005A269B">
        <w:rPr>
          <w:lang w:val="fr-FR"/>
        </w:rPr>
        <w:t xml:space="preserve"> </w:t>
      </w:r>
      <w:r w:rsidRPr="00F5401A">
        <w:rPr>
          <w:lang w:val="fr-FR"/>
        </w:rPr>
        <w:t xml:space="preserve">et la pandémie de COVID-19 </w:t>
      </w:r>
      <w:r w:rsidR="005A269B">
        <w:rPr>
          <w:lang w:val="fr-FR"/>
        </w:rPr>
        <w:t>ayant entraîné</w:t>
      </w:r>
      <w:r w:rsidRPr="00F5401A">
        <w:rPr>
          <w:lang w:val="fr-FR"/>
        </w:rPr>
        <w:t xml:space="preserve"> la fermeture temporaire d</w:t>
      </w:r>
      <w:r w:rsidR="00F5401A" w:rsidRPr="00F5401A">
        <w:rPr>
          <w:lang w:val="fr-FR"/>
        </w:rPr>
        <w:t>’</w:t>
      </w:r>
      <w:r w:rsidRPr="00F5401A">
        <w:rPr>
          <w:lang w:val="fr-FR"/>
        </w:rPr>
        <w:t>entreprises dans un autre, ont également été des causes justifiant des retards.</w:t>
      </w:r>
      <w:r w:rsidRPr="00714F80">
        <w:rPr>
          <w:lang w:val="fr-CA"/>
        </w:rPr>
        <w:t xml:space="preserve"> </w:t>
      </w:r>
    </w:p>
    <w:p w14:paraId="7D837D3D" w14:textId="6E91F134" w:rsidR="005C15FE" w:rsidRPr="00714F80" w:rsidRDefault="005C15FE" w:rsidP="005C15FE">
      <w:pPr>
        <w:pStyle w:val="Heading1"/>
        <w:widowControl w:val="0"/>
        <w:numPr>
          <w:ilvl w:val="0"/>
          <w:numId w:val="21"/>
        </w:numPr>
        <w:spacing w:before="240"/>
        <w:rPr>
          <w:lang w:val="fr-CA"/>
        </w:rPr>
      </w:pPr>
      <w:r w:rsidRPr="005C15FE">
        <w:rPr>
          <w:lang w:val="fr-FR"/>
        </w:rPr>
        <w:t>Les rapports de vérification ont été retardés pour diverses raisons allant des problèmes de connexion Internet, qui ont entravé l</w:t>
      </w:r>
      <w:r w:rsidR="00F5401A">
        <w:rPr>
          <w:lang w:val="fr-FR"/>
        </w:rPr>
        <w:t>’</w:t>
      </w:r>
      <w:r w:rsidRPr="005C15FE">
        <w:rPr>
          <w:lang w:val="fr-FR"/>
        </w:rPr>
        <w:t>accès aux données ; la disponibilité du consultant ; des événements naturels (ouragan majeur)</w:t>
      </w:r>
      <w:r w:rsidR="003A6564">
        <w:rPr>
          <w:lang w:val="fr-FR"/>
        </w:rPr>
        <w:t> </w:t>
      </w:r>
      <w:r w:rsidRPr="005C15FE">
        <w:rPr>
          <w:lang w:val="fr-FR"/>
        </w:rPr>
        <w:t>; et la lenteur de la mise en œuvre d</w:t>
      </w:r>
      <w:r w:rsidR="00F5401A">
        <w:rPr>
          <w:lang w:val="fr-FR"/>
        </w:rPr>
        <w:t>’</w:t>
      </w:r>
      <w:r w:rsidRPr="005C15FE">
        <w:rPr>
          <w:lang w:val="fr-FR"/>
        </w:rPr>
        <w:t>une première tranche du PGEH qui a impacté le processus de vérification.</w:t>
      </w:r>
      <w:r w:rsidRPr="00714F80">
        <w:rPr>
          <w:lang w:val="fr-CA"/>
        </w:rPr>
        <w:t xml:space="preserve"> </w:t>
      </w:r>
      <w:r w:rsidRPr="005C15FE">
        <w:rPr>
          <w:lang w:val="fr-FR"/>
        </w:rPr>
        <w:t>Ces problèmes ont tous été résolus grâce à la coopération des consultants, aux agences d</w:t>
      </w:r>
      <w:r w:rsidR="00F5401A">
        <w:rPr>
          <w:lang w:val="fr-FR"/>
        </w:rPr>
        <w:t>’</w:t>
      </w:r>
      <w:r w:rsidRPr="005C15FE">
        <w:rPr>
          <w:lang w:val="fr-FR"/>
        </w:rPr>
        <w:t>exécution et à l</w:t>
      </w:r>
      <w:r w:rsidR="00F5401A">
        <w:rPr>
          <w:lang w:val="fr-FR"/>
        </w:rPr>
        <w:t>’</w:t>
      </w:r>
      <w:r w:rsidRPr="005C15FE">
        <w:rPr>
          <w:lang w:val="fr-FR"/>
        </w:rPr>
        <w:t>engagement des différentes parties prenantes au niveau des pays.</w:t>
      </w:r>
      <w:r w:rsidRPr="00714F80">
        <w:rPr>
          <w:lang w:val="fr-CA"/>
        </w:rPr>
        <w:t xml:space="preserve"> </w:t>
      </w:r>
    </w:p>
    <w:p w14:paraId="3750B2D3" w14:textId="6DC83A21" w:rsidR="000C50D2" w:rsidRPr="00714F80" w:rsidRDefault="005C15FE" w:rsidP="000C50D2">
      <w:pPr>
        <w:pStyle w:val="Heading1"/>
        <w:widowControl w:val="0"/>
        <w:numPr>
          <w:ilvl w:val="0"/>
          <w:numId w:val="21"/>
        </w:numPr>
        <w:spacing w:before="240"/>
        <w:rPr>
          <w:lang w:val="fr-CA"/>
        </w:rPr>
      </w:pPr>
      <w:r w:rsidRPr="005C15FE">
        <w:rPr>
          <w:lang w:val="fr-FR"/>
        </w:rPr>
        <w:t>Un rapport d</w:t>
      </w:r>
      <w:r w:rsidR="00F5401A">
        <w:rPr>
          <w:lang w:val="fr-FR"/>
        </w:rPr>
        <w:t>’</w:t>
      </w:r>
      <w:r w:rsidRPr="005C15FE">
        <w:rPr>
          <w:lang w:val="fr-FR"/>
        </w:rPr>
        <w:t>étude de faisabilité a indiqué que les retards étaient dus à la sélection du site sur la base de critères techniques et financiers qui n</w:t>
      </w:r>
      <w:r w:rsidR="00F5401A">
        <w:rPr>
          <w:lang w:val="fr-FR"/>
        </w:rPr>
        <w:t>’</w:t>
      </w:r>
      <w:r w:rsidRPr="005C15FE">
        <w:rPr>
          <w:lang w:val="fr-FR"/>
        </w:rPr>
        <w:t>ont pas donné de résultats tangibles.</w:t>
      </w:r>
      <w:r w:rsidRPr="00714F80">
        <w:rPr>
          <w:lang w:val="fr-CA"/>
        </w:rPr>
        <w:t xml:space="preserve"> </w:t>
      </w:r>
      <w:r w:rsidR="000C50D2" w:rsidRPr="000C50D2">
        <w:rPr>
          <w:lang w:val="fr-FR"/>
        </w:rPr>
        <w:t xml:space="preserve">Les sites sélectionnés </w:t>
      </w:r>
      <w:r w:rsidR="000C50D2" w:rsidRPr="00F5401A">
        <w:rPr>
          <w:lang w:val="fr-FR"/>
        </w:rPr>
        <w:t>n</w:t>
      </w:r>
      <w:r w:rsidR="00F5401A" w:rsidRPr="00F5401A">
        <w:rPr>
          <w:lang w:val="fr-FR"/>
        </w:rPr>
        <w:t>’</w:t>
      </w:r>
      <w:r w:rsidR="003A6564" w:rsidRPr="00F5401A">
        <w:rPr>
          <w:lang w:val="fr-FR"/>
        </w:rPr>
        <w:t>av</w:t>
      </w:r>
      <w:r w:rsidR="000C50D2" w:rsidRPr="00F5401A">
        <w:rPr>
          <w:lang w:val="fr-FR"/>
        </w:rPr>
        <w:t xml:space="preserve">aient pas </w:t>
      </w:r>
      <w:r w:rsidR="003A6564" w:rsidRPr="00F5401A">
        <w:rPr>
          <w:lang w:val="fr-FR"/>
        </w:rPr>
        <w:t>accès</w:t>
      </w:r>
      <w:r w:rsidR="000C50D2" w:rsidRPr="00F5401A">
        <w:rPr>
          <w:lang w:val="fr-FR"/>
        </w:rPr>
        <w:t xml:space="preserve"> à une source</w:t>
      </w:r>
      <w:r w:rsidR="003A6564" w:rsidRPr="00F5401A">
        <w:rPr>
          <w:lang w:val="fr-FR"/>
        </w:rPr>
        <w:t xml:space="preserve"> profonde</w:t>
      </w:r>
      <w:r w:rsidR="000C50D2" w:rsidRPr="00F5401A">
        <w:rPr>
          <w:lang w:val="fr-FR"/>
        </w:rPr>
        <w:t xml:space="preserve"> d</w:t>
      </w:r>
      <w:r w:rsidR="00F5401A" w:rsidRPr="00F5401A">
        <w:rPr>
          <w:lang w:val="fr-FR"/>
        </w:rPr>
        <w:t>’</w:t>
      </w:r>
      <w:r w:rsidR="000C50D2" w:rsidRPr="00F5401A">
        <w:rPr>
          <w:lang w:val="fr-FR"/>
        </w:rPr>
        <w:t>eau de mer, à des sources de chaleur rejetées ou à un réseau</w:t>
      </w:r>
      <w:r w:rsidR="000C50D2" w:rsidRPr="000C50D2">
        <w:rPr>
          <w:lang w:val="fr-FR"/>
        </w:rPr>
        <w:t xml:space="preserve"> de canalisations de gaz naturel en aval (pour le refroidissement à absorption assistée par l</w:t>
      </w:r>
      <w:r w:rsidR="00F5401A">
        <w:rPr>
          <w:lang w:val="fr-FR"/>
        </w:rPr>
        <w:t>’</w:t>
      </w:r>
      <w:r w:rsidR="000C50D2" w:rsidRPr="000C50D2">
        <w:rPr>
          <w:lang w:val="fr-FR"/>
        </w:rPr>
        <w:t>énergie solaire).</w:t>
      </w:r>
    </w:p>
    <w:p w14:paraId="6BB2D208" w14:textId="45C24816" w:rsidR="000C50D2" w:rsidRPr="00714F80" w:rsidRDefault="003A6564" w:rsidP="000C50D2">
      <w:pPr>
        <w:pStyle w:val="Heading1"/>
        <w:widowControl w:val="0"/>
        <w:numPr>
          <w:ilvl w:val="0"/>
          <w:numId w:val="21"/>
        </w:numPr>
        <w:spacing w:before="240"/>
        <w:rPr>
          <w:lang w:val="fr-CA"/>
        </w:rPr>
      </w:pPr>
      <w:r>
        <w:rPr>
          <w:lang w:val="fr-FR"/>
        </w:rPr>
        <w:t>D</w:t>
      </w:r>
      <w:r w:rsidR="000C50D2" w:rsidRPr="000C50D2">
        <w:rPr>
          <w:lang w:val="fr-FR"/>
        </w:rPr>
        <w:t>es projets de démonstration ont subi des retards en raison de la fourniture d</w:t>
      </w:r>
      <w:r w:rsidR="00F5401A">
        <w:rPr>
          <w:lang w:val="fr-FR"/>
        </w:rPr>
        <w:t>’</w:t>
      </w:r>
      <w:r w:rsidR="000C50D2" w:rsidRPr="000C50D2">
        <w:rPr>
          <w:lang w:val="fr-FR"/>
        </w:rPr>
        <w:t>équipements d</w:t>
      </w:r>
      <w:r w:rsidR="00F5401A">
        <w:rPr>
          <w:lang w:val="fr-FR"/>
        </w:rPr>
        <w:t>’</w:t>
      </w:r>
      <w:r w:rsidR="000C50D2" w:rsidRPr="000C50D2">
        <w:rPr>
          <w:lang w:val="fr-FR"/>
        </w:rPr>
        <w:t>essai ; l</w:t>
      </w:r>
      <w:r w:rsidR="00F5401A">
        <w:rPr>
          <w:lang w:val="fr-FR"/>
        </w:rPr>
        <w:t>’</w:t>
      </w:r>
      <w:r w:rsidR="000C50D2" w:rsidRPr="000C50D2">
        <w:rPr>
          <w:lang w:val="fr-FR"/>
        </w:rPr>
        <w:t>indisponibilité des produits chimiques (HFC-1233zd(E) et HFO-1336mzz(Z)) lors du démarrage du projet ; et la mise en place d</w:t>
      </w:r>
      <w:r w:rsidR="00F5401A">
        <w:rPr>
          <w:lang w:val="fr-FR"/>
        </w:rPr>
        <w:t>’</w:t>
      </w:r>
      <w:r w:rsidR="000C50D2" w:rsidRPr="000C50D2">
        <w:rPr>
          <w:lang w:val="fr-FR"/>
        </w:rPr>
        <w:t>un nouveau système d</w:t>
      </w:r>
      <w:r w:rsidR="00F5401A">
        <w:rPr>
          <w:lang w:val="fr-FR"/>
        </w:rPr>
        <w:t>’</w:t>
      </w:r>
      <w:r w:rsidR="000C50D2" w:rsidRPr="000C50D2">
        <w:rPr>
          <w:lang w:val="fr-FR"/>
        </w:rPr>
        <w:t>habilitation de sécurité qui a ralenti l</w:t>
      </w:r>
      <w:r w:rsidR="00F5401A">
        <w:rPr>
          <w:lang w:val="fr-FR"/>
        </w:rPr>
        <w:t>’</w:t>
      </w:r>
      <w:r w:rsidR="000C50D2" w:rsidRPr="000C50D2">
        <w:rPr>
          <w:lang w:val="fr-FR"/>
        </w:rPr>
        <w:t>approbation de l</w:t>
      </w:r>
      <w:r w:rsidR="00F5401A">
        <w:rPr>
          <w:lang w:val="fr-FR"/>
        </w:rPr>
        <w:t>’</w:t>
      </w:r>
      <w:r w:rsidR="000C50D2" w:rsidRPr="000C50D2">
        <w:rPr>
          <w:lang w:val="fr-FR"/>
        </w:rPr>
        <w:t>aide internationale.</w:t>
      </w:r>
    </w:p>
    <w:p w14:paraId="7B933D30" w14:textId="33812432" w:rsidR="00222C40" w:rsidRPr="006E19D9" w:rsidRDefault="006E19D9" w:rsidP="006E19D9">
      <w:pPr>
        <w:pStyle w:val="Heading1"/>
        <w:keepNext/>
        <w:keepLines/>
        <w:widowControl w:val="0"/>
        <w:numPr>
          <w:ilvl w:val="0"/>
          <w:numId w:val="0"/>
        </w:numPr>
        <w:tabs>
          <w:tab w:val="left" w:pos="720"/>
        </w:tabs>
        <w:rPr>
          <w:b/>
        </w:rPr>
      </w:pPr>
      <w:r w:rsidRPr="006E19D9">
        <w:rPr>
          <w:b/>
          <w:lang w:val="fr-FR"/>
        </w:rPr>
        <w:t>Enseignements tirés</w:t>
      </w:r>
      <w:r w:rsidRPr="006E19D9">
        <w:rPr>
          <w:vertAlign w:val="superscript"/>
          <w:lang w:val="fr-FR"/>
        </w:rPr>
        <w:footnoteReference w:id="5"/>
      </w:r>
    </w:p>
    <w:p w14:paraId="03B890EC" w14:textId="4476BC51" w:rsidR="006E19D9" w:rsidRPr="00714F80" w:rsidRDefault="006E19D9" w:rsidP="006E19D9">
      <w:pPr>
        <w:pStyle w:val="Heading1"/>
        <w:widowControl w:val="0"/>
        <w:tabs>
          <w:tab w:val="clear" w:pos="0"/>
          <w:tab w:val="num" w:pos="720"/>
        </w:tabs>
        <w:spacing w:before="240"/>
        <w:rPr>
          <w:lang w:val="fr-CA"/>
        </w:rPr>
      </w:pPr>
      <w:r w:rsidRPr="006E19D9">
        <w:rPr>
          <w:lang w:val="fr-FR"/>
        </w:rPr>
        <w:t xml:space="preserve">Les enseignements tirés des projets individuels couvrent une large gamme de problèmes qui sont classés </w:t>
      </w:r>
      <w:r w:rsidR="003A6564" w:rsidRPr="006E19D9">
        <w:rPr>
          <w:lang w:val="fr-FR"/>
        </w:rPr>
        <w:t>par catégorie</w:t>
      </w:r>
      <w:r w:rsidR="003A6564">
        <w:rPr>
          <w:lang w:val="fr-FR"/>
        </w:rPr>
        <w:t xml:space="preserve"> </w:t>
      </w:r>
      <w:r w:rsidRPr="006E19D9">
        <w:rPr>
          <w:lang w:val="fr-FR"/>
        </w:rPr>
        <w:t>dans les paragraphes ci-dessous.</w:t>
      </w:r>
      <w:r w:rsidRPr="00714F80">
        <w:rPr>
          <w:lang w:val="fr-CA"/>
        </w:rPr>
        <w:t xml:space="preserve"> </w:t>
      </w:r>
      <w:r w:rsidRPr="006E19D9">
        <w:rPr>
          <w:lang w:val="fr-FR"/>
        </w:rPr>
        <w:t>Les enseignements récurrents découlent, entre autres : de la communication entre les parties prenantes et de leur inclusion dans les rapports ; des exigences spécifiques pour les technologies de remplacement</w:t>
      </w:r>
      <w:r w:rsidR="003A6564">
        <w:rPr>
          <w:lang w:val="fr-FR"/>
        </w:rPr>
        <w:t> </w:t>
      </w:r>
      <w:r w:rsidRPr="006E19D9">
        <w:rPr>
          <w:lang w:val="fr-FR"/>
        </w:rPr>
        <w:t>; des problèmes liés aux coûts et au financement ; des normes de sécurité ; des exigences de formation ; et de l</w:t>
      </w:r>
      <w:r w:rsidR="00F5401A">
        <w:rPr>
          <w:lang w:val="fr-FR"/>
        </w:rPr>
        <w:t>’</w:t>
      </w:r>
      <w:r w:rsidRPr="006E19D9">
        <w:rPr>
          <w:lang w:val="fr-FR"/>
        </w:rPr>
        <w:t>efficacité énergétique.</w:t>
      </w:r>
      <w:r w:rsidRPr="00714F80">
        <w:rPr>
          <w:lang w:val="fr-CA"/>
        </w:rPr>
        <w:t xml:space="preserve"> </w:t>
      </w:r>
    </w:p>
    <w:p w14:paraId="2C9EEBC3" w14:textId="663CC55F" w:rsidR="00222C40" w:rsidRPr="006E19D9" w:rsidRDefault="006E19D9" w:rsidP="006E19D9">
      <w:pPr>
        <w:pStyle w:val="Heading1"/>
        <w:widowControl w:val="0"/>
        <w:numPr>
          <w:ilvl w:val="0"/>
          <w:numId w:val="0"/>
        </w:numPr>
        <w:spacing w:before="240"/>
        <w:rPr>
          <w:u w:val="single"/>
        </w:rPr>
      </w:pPr>
      <w:r w:rsidRPr="006E19D9">
        <w:rPr>
          <w:u w:val="single"/>
          <w:lang w:val="fr-FR"/>
        </w:rPr>
        <w:t>Inhalateurs à doseur sans CFC</w:t>
      </w:r>
    </w:p>
    <w:p w14:paraId="125227A0" w14:textId="46EE446D" w:rsidR="006E19D9" w:rsidRPr="00F5401A" w:rsidRDefault="006E19D9" w:rsidP="006E19D9">
      <w:pPr>
        <w:pStyle w:val="Heading1"/>
        <w:widowControl w:val="0"/>
        <w:tabs>
          <w:tab w:val="clear" w:pos="0"/>
          <w:tab w:val="num" w:pos="720"/>
        </w:tabs>
        <w:spacing w:before="120"/>
        <w:rPr>
          <w:lang w:val="fr-FR"/>
        </w:rPr>
      </w:pPr>
      <w:r w:rsidRPr="006E19D9">
        <w:rPr>
          <w:lang w:val="fr-FR"/>
        </w:rPr>
        <w:t>L</w:t>
      </w:r>
      <w:r w:rsidR="00F5401A">
        <w:rPr>
          <w:lang w:val="fr-FR"/>
        </w:rPr>
        <w:t>’</w:t>
      </w:r>
      <w:r w:rsidRPr="006E19D9">
        <w:rPr>
          <w:lang w:val="fr-FR"/>
        </w:rPr>
        <w:t>excellente coopération entre les autorités locales et internationales</w:t>
      </w:r>
      <w:r w:rsidR="003A6564">
        <w:rPr>
          <w:lang w:val="fr-FR"/>
        </w:rPr>
        <w:t>,</w:t>
      </w:r>
      <w:r w:rsidR="00F5401A">
        <w:rPr>
          <w:lang w:val="fr-FR"/>
        </w:rPr>
        <w:t> </w:t>
      </w:r>
      <w:r w:rsidRPr="006E19D9">
        <w:rPr>
          <w:lang w:val="fr-FR"/>
        </w:rPr>
        <w:t>et entre les fournisseurs d</w:t>
      </w:r>
      <w:r w:rsidR="00F5401A">
        <w:rPr>
          <w:lang w:val="fr-FR"/>
        </w:rPr>
        <w:t>’</w:t>
      </w:r>
      <w:r w:rsidRPr="006E19D9">
        <w:rPr>
          <w:lang w:val="fr-FR"/>
        </w:rPr>
        <w:t>équipements et de technologies a permis de mener à bien la reconversion d</w:t>
      </w:r>
      <w:r w:rsidR="00F5401A">
        <w:rPr>
          <w:lang w:val="fr-FR"/>
        </w:rPr>
        <w:t>’</w:t>
      </w:r>
      <w:r w:rsidRPr="006E19D9">
        <w:rPr>
          <w:lang w:val="fr-FR"/>
        </w:rPr>
        <w:t>une entreprise de fabrication d</w:t>
      </w:r>
      <w:r w:rsidR="00F5401A">
        <w:rPr>
          <w:lang w:val="fr-FR"/>
        </w:rPr>
        <w:t>’</w:t>
      </w:r>
      <w:r w:rsidRPr="006E19D9">
        <w:rPr>
          <w:lang w:val="fr-FR"/>
        </w:rPr>
        <w:t>inhalateurs à doseur et à l</w:t>
      </w:r>
      <w:r w:rsidR="00F5401A">
        <w:rPr>
          <w:lang w:val="fr-FR"/>
        </w:rPr>
        <w:t>’</w:t>
      </w:r>
      <w:r w:rsidRPr="006E19D9">
        <w:rPr>
          <w:lang w:val="fr-FR"/>
        </w:rPr>
        <w:t>élimination des CFC corres</w:t>
      </w:r>
      <w:r>
        <w:rPr>
          <w:lang w:val="fr-FR"/>
        </w:rPr>
        <w:t>p</w:t>
      </w:r>
      <w:r w:rsidRPr="006E19D9">
        <w:rPr>
          <w:lang w:val="fr-FR"/>
        </w:rPr>
        <w:t>ondants utilisés</w:t>
      </w:r>
      <w:r w:rsidRPr="00F5401A">
        <w:rPr>
          <w:lang w:val="fr-FR"/>
        </w:rPr>
        <w:t xml:space="preserve">. </w:t>
      </w:r>
      <w:r w:rsidR="00F5401A" w:rsidRPr="00F5401A">
        <w:rPr>
          <w:lang w:val="fr-FR"/>
        </w:rPr>
        <w:t>C</w:t>
      </w:r>
      <w:r w:rsidRPr="00F5401A">
        <w:rPr>
          <w:lang w:val="fr-FR"/>
        </w:rPr>
        <w:t>ette réussite sera reproduite par l</w:t>
      </w:r>
      <w:r w:rsidR="00F5401A" w:rsidRPr="00F5401A">
        <w:rPr>
          <w:lang w:val="fr-FR"/>
        </w:rPr>
        <w:t>’</w:t>
      </w:r>
      <w:r w:rsidRPr="00F5401A">
        <w:rPr>
          <w:lang w:val="fr-FR"/>
        </w:rPr>
        <w:t>agence d</w:t>
      </w:r>
      <w:r w:rsidR="00F5401A" w:rsidRPr="00F5401A">
        <w:rPr>
          <w:lang w:val="fr-FR"/>
        </w:rPr>
        <w:t>’</w:t>
      </w:r>
      <w:r w:rsidRPr="00F5401A">
        <w:rPr>
          <w:lang w:val="fr-FR"/>
        </w:rPr>
        <w:t>exécution dans toute la région.</w:t>
      </w:r>
    </w:p>
    <w:p w14:paraId="57F1BFFF" w14:textId="5C637132" w:rsidR="006E19D9" w:rsidRPr="00714F80" w:rsidRDefault="006E19D9" w:rsidP="006E19D9">
      <w:pPr>
        <w:pStyle w:val="Heading1"/>
        <w:widowControl w:val="0"/>
        <w:tabs>
          <w:tab w:val="clear" w:pos="0"/>
          <w:tab w:val="num" w:pos="720"/>
        </w:tabs>
        <w:spacing w:before="120"/>
        <w:rPr>
          <w:lang w:val="fr-CA"/>
        </w:rPr>
      </w:pPr>
      <w:r w:rsidRPr="006E19D9">
        <w:rPr>
          <w:lang w:val="fr-FR"/>
        </w:rPr>
        <w:lastRenderedPageBreak/>
        <w:t>En raison des exigences sanitaires strictes des produits médicaux et en vue d</w:t>
      </w:r>
      <w:r w:rsidR="00F5401A">
        <w:rPr>
          <w:lang w:val="fr-FR"/>
        </w:rPr>
        <w:t>’</w:t>
      </w:r>
      <w:r w:rsidRPr="006E19D9">
        <w:rPr>
          <w:lang w:val="fr-FR"/>
        </w:rPr>
        <w:t>assurer la compatibilité entre les propulseurs de remplacement et le médicament, trouver des solutions de remplacement aux produits pharmaceutiques était un défi majeur à l</w:t>
      </w:r>
      <w:r w:rsidR="00F5401A">
        <w:rPr>
          <w:lang w:val="fr-FR"/>
        </w:rPr>
        <w:t>’</w:t>
      </w:r>
      <w:r w:rsidRPr="006E19D9">
        <w:rPr>
          <w:lang w:val="fr-FR"/>
        </w:rPr>
        <w:t>échelle mondiale.</w:t>
      </w:r>
      <w:r w:rsidRPr="00714F80">
        <w:rPr>
          <w:lang w:val="fr-CA"/>
        </w:rPr>
        <w:t xml:space="preserve"> </w:t>
      </w:r>
      <w:r w:rsidRPr="006E19D9">
        <w:rPr>
          <w:lang w:val="fr-FR"/>
        </w:rPr>
        <w:t>De plus, en raison de problèmes de sécurité publique, les procédures d</w:t>
      </w:r>
      <w:r w:rsidR="00F5401A">
        <w:rPr>
          <w:lang w:val="fr-FR"/>
        </w:rPr>
        <w:t>’</w:t>
      </w:r>
      <w:r w:rsidRPr="006E19D9">
        <w:rPr>
          <w:lang w:val="fr-FR"/>
        </w:rPr>
        <w:t>approbation de nouveaux produits pharmaceutiques sans CFC étaient complexes et longues.</w:t>
      </w:r>
      <w:r w:rsidRPr="00714F80">
        <w:rPr>
          <w:lang w:val="fr-CA"/>
        </w:rPr>
        <w:t xml:space="preserve"> </w:t>
      </w:r>
      <w:r w:rsidRPr="006E19D9">
        <w:rPr>
          <w:lang w:val="fr-FR"/>
        </w:rPr>
        <w:t>Il est donc nécessaire qu</w:t>
      </w:r>
      <w:r w:rsidR="00F5401A">
        <w:rPr>
          <w:lang w:val="fr-FR"/>
        </w:rPr>
        <w:t>’</w:t>
      </w:r>
      <w:r w:rsidRPr="006E19D9">
        <w:rPr>
          <w:lang w:val="fr-FR"/>
        </w:rPr>
        <w:t>une capacité et un temps suffisants soient alloués aux procédures d</w:t>
      </w:r>
      <w:r w:rsidR="00F5401A">
        <w:rPr>
          <w:lang w:val="fr-FR"/>
        </w:rPr>
        <w:t>’</w:t>
      </w:r>
      <w:r w:rsidRPr="006E19D9">
        <w:rPr>
          <w:lang w:val="fr-FR"/>
        </w:rPr>
        <w:t>approbation et d</w:t>
      </w:r>
      <w:r w:rsidR="00F5401A">
        <w:rPr>
          <w:lang w:val="fr-FR"/>
        </w:rPr>
        <w:t>’</w:t>
      </w:r>
      <w:r w:rsidRPr="006E19D9">
        <w:rPr>
          <w:lang w:val="fr-FR"/>
        </w:rPr>
        <w:t>enregistrement de ces projets.</w:t>
      </w:r>
      <w:r w:rsidRPr="00714F80">
        <w:rPr>
          <w:lang w:val="fr-CA"/>
        </w:rPr>
        <w:t xml:space="preserve"> </w:t>
      </w:r>
      <w:r w:rsidRPr="006E19D9">
        <w:rPr>
          <w:lang w:val="fr-FR"/>
        </w:rPr>
        <w:t>Il est également recommandé que les instituts au sein de l</w:t>
      </w:r>
      <w:r w:rsidR="00F5401A">
        <w:rPr>
          <w:lang w:val="fr-FR"/>
        </w:rPr>
        <w:t>’</w:t>
      </w:r>
      <w:r w:rsidRPr="006E19D9">
        <w:rPr>
          <w:lang w:val="fr-FR"/>
        </w:rPr>
        <w:t>industrie apportent leur soutien.</w:t>
      </w:r>
    </w:p>
    <w:p w14:paraId="64730AA8" w14:textId="3832AAAB" w:rsidR="00222C40" w:rsidRPr="006E19D9" w:rsidRDefault="006E19D9" w:rsidP="006E19D9">
      <w:pPr>
        <w:pStyle w:val="Heading1"/>
        <w:widowControl w:val="0"/>
        <w:numPr>
          <w:ilvl w:val="0"/>
          <w:numId w:val="0"/>
        </w:numPr>
        <w:spacing w:before="120"/>
        <w:rPr>
          <w:u w:val="single"/>
        </w:rPr>
      </w:pPr>
      <w:r w:rsidRPr="006E19D9">
        <w:rPr>
          <w:u w:val="single"/>
          <w:lang w:val="fr-FR"/>
        </w:rPr>
        <w:t>Étude de faisabilité</w:t>
      </w:r>
    </w:p>
    <w:p w14:paraId="36AD85DF" w14:textId="278AE453" w:rsidR="006E19D9" w:rsidRPr="00714F80" w:rsidRDefault="006E19D9" w:rsidP="006E19D9">
      <w:pPr>
        <w:pStyle w:val="Heading1"/>
        <w:rPr>
          <w:lang w:val="fr-CA"/>
        </w:rPr>
      </w:pPr>
      <w:r w:rsidRPr="006E19D9">
        <w:rPr>
          <w:lang w:val="fr-FR"/>
        </w:rPr>
        <w:t>Les enseignements tirés de l</w:t>
      </w:r>
      <w:r w:rsidR="00F5401A">
        <w:rPr>
          <w:lang w:val="fr-FR"/>
        </w:rPr>
        <w:t>’</w:t>
      </w:r>
      <w:r w:rsidRPr="006E19D9">
        <w:rPr>
          <w:lang w:val="fr-FR"/>
        </w:rPr>
        <w:t>étude de faisabilité concernaient principalement les coûts et les économies réalisées dans le cadre de la technologie de nature différente et de sa consommation d</w:t>
      </w:r>
      <w:r w:rsidR="00F5401A">
        <w:rPr>
          <w:lang w:val="fr-FR"/>
        </w:rPr>
        <w:t>’</w:t>
      </w:r>
      <w:r w:rsidRPr="006E19D9">
        <w:rPr>
          <w:lang w:val="fr-FR"/>
        </w:rPr>
        <w:t>énergie.</w:t>
      </w:r>
      <w:r w:rsidRPr="00714F80">
        <w:rPr>
          <w:lang w:val="fr-CA"/>
        </w:rPr>
        <w:t xml:space="preserve"> </w:t>
      </w:r>
      <w:r w:rsidRPr="006E19D9">
        <w:rPr>
          <w:lang w:val="fr-FR"/>
        </w:rPr>
        <w:t>Les coûts d</w:t>
      </w:r>
      <w:r w:rsidR="00F5401A">
        <w:rPr>
          <w:lang w:val="fr-FR"/>
        </w:rPr>
        <w:t>’</w:t>
      </w:r>
      <w:r w:rsidRPr="006E19D9">
        <w:rPr>
          <w:lang w:val="fr-FR"/>
        </w:rPr>
        <w:t>investissement requis pour l</w:t>
      </w:r>
      <w:r w:rsidR="00F5401A">
        <w:rPr>
          <w:lang w:val="fr-FR"/>
        </w:rPr>
        <w:t>’</w:t>
      </w:r>
      <w:r w:rsidRPr="006E19D9">
        <w:rPr>
          <w:lang w:val="fr-FR"/>
        </w:rPr>
        <w:t>installation de la technologie de nature différente pour les deux sites étaient environ 50 pour cent</w:t>
      </w:r>
      <w:r w:rsidR="00F5401A">
        <w:rPr>
          <w:lang w:val="fr-FR"/>
        </w:rPr>
        <w:t> </w:t>
      </w:r>
      <w:r w:rsidRPr="006E19D9">
        <w:rPr>
          <w:lang w:val="fr-FR"/>
        </w:rPr>
        <w:t>plus élevés que ceux de la technologie actuellement utilisée (c</w:t>
      </w:r>
      <w:r w:rsidR="00F5401A">
        <w:rPr>
          <w:lang w:val="fr-FR"/>
        </w:rPr>
        <w:t>’</w:t>
      </w:r>
      <w:r w:rsidRPr="006E19D9">
        <w:rPr>
          <w:lang w:val="fr-FR"/>
        </w:rPr>
        <w:t>est-à-dire que le coût était de 1 600 $US/TR pour la technologie de nature différente par rapport à 750 $US/TR pour la technologie actuelle).</w:t>
      </w:r>
      <w:r w:rsidRPr="00714F80">
        <w:rPr>
          <w:lang w:val="fr-CA"/>
        </w:rPr>
        <w:t xml:space="preserve"> </w:t>
      </w:r>
      <w:r w:rsidRPr="006E19D9">
        <w:rPr>
          <w:lang w:val="fr-FR"/>
        </w:rPr>
        <w:t>Cependant, sur la base d</w:t>
      </w:r>
      <w:r w:rsidR="00F5401A">
        <w:rPr>
          <w:lang w:val="fr-FR"/>
        </w:rPr>
        <w:t>’</w:t>
      </w:r>
      <w:r w:rsidRPr="006E19D9">
        <w:rPr>
          <w:lang w:val="fr-FR"/>
        </w:rPr>
        <w:t>une analyse comparative des coûts d</w:t>
      </w:r>
      <w:r w:rsidR="00F5401A">
        <w:rPr>
          <w:lang w:val="fr-FR"/>
        </w:rPr>
        <w:t>’</w:t>
      </w:r>
      <w:r w:rsidRPr="006E19D9">
        <w:rPr>
          <w:lang w:val="fr-FR"/>
        </w:rPr>
        <w:t>investissement et d</w:t>
      </w:r>
      <w:r w:rsidR="00F5401A">
        <w:rPr>
          <w:lang w:val="fr-FR"/>
        </w:rPr>
        <w:t>’</w:t>
      </w:r>
      <w:r w:rsidRPr="006E19D9">
        <w:rPr>
          <w:lang w:val="fr-FR"/>
        </w:rPr>
        <w:t>exploitation pour les deux technologies, l</w:t>
      </w:r>
      <w:r w:rsidR="00F5401A">
        <w:rPr>
          <w:lang w:val="fr-FR"/>
        </w:rPr>
        <w:t>’</w:t>
      </w:r>
      <w:r w:rsidRPr="006E19D9">
        <w:rPr>
          <w:lang w:val="fr-FR"/>
        </w:rPr>
        <w:t xml:space="preserve">étude a </w:t>
      </w:r>
      <w:r w:rsidR="005A269B">
        <w:rPr>
          <w:lang w:val="fr-FR"/>
        </w:rPr>
        <w:t>révélé</w:t>
      </w:r>
      <w:r w:rsidRPr="006E19D9">
        <w:rPr>
          <w:lang w:val="fr-FR"/>
        </w:rPr>
        <w:t xml:space="preserve"> un taux de rendement interne de 31 pour cent avec une période de récupération de quatre ans pour récupérer les coûts d</w:t>
      </w:r>
      <w:r w:rsidR="00F5401A">
        <w:rPr>
          <w:lang w:val="fr-FR"/>
        </w:rPr>
        <w:t>’</w:t>
      </w:r>
      <w:r w:rsidRPr="006E19D9">
        <w:rPr>
          <w:lang w:val="fr-FR"/>
        </w:rPr>
        <w:t>investissement (soit 680 000 $US) pour l</w:t>
      </w:r>
      <w:r w:rsidR="00F5401A">
        <w:rPr>
          <w:lang w:val="fr-FR"/>
        </w:rPr>
        <w:t>’</w:t>
      </w:r>
      <w:r w:rsidRPr="006E19D9">
        <w:rPr>
          <w:lang w:val="fr-FR"/>
        </w:rPr>
        <w:t>installation du système de nature différente dans un établissement ; et un taux de rendement de 35 pour cent avec une période de récupération de deux ans pour récupérer les coûts d</w:t>
      </w:r>
      <w:r w:rsidR="00F5401A">
        <w:rPr>
          <w:lang w:val="fr-FR"/>
        </w:rPr>
        <w:t>’</w:t>
      </w:r>
      <w:r w:rsidRPr="006E19D9">
        <w:rPr>
          <w:lang w:val="fr-FR"/>
        </w:rPr>
        <w:t>investissement (68 850 $US) pour l</w:t>
      </w:r>
      <w:r w:rsidR="00F5401A">
        <w:rPr>
          <w:lang w:val="fr-FR"/>
        </w:rPr>
        <w:t>’</w:t>
      </w:r>
      <w:r w:rsidRPr="006E19D9">
        <w:rPr>
          <w:lang w:val="fr-FR"/>
        </w:rPr>
        <w:t>autre.</w:t>
      </w:r>
      <w:r w:rsidRPr="00714F80">
        <w:rPr>
          <w:lang w:val="fr-CA"/>
        </w:rPr>
        <w:t xml:space="preserve"> </w:t>
      </w:r>
      <w:r w:rsidRPr="006E19D9">
        <w:rPr>
          <w:lang w:val="fr-FR"/>
        </w:rPr>
        <w:t>De plus, l</w:t>
      </w:r>
      <w:r w:rsidR="00F5401A">
        <w:rPr>
          <w:lang w:val="fr-FR"/>
        </w:rPr>
        <w:t>’</w:t>
      </w:r>
      <w:r w:rsidRPr="006E19D9">
        <w:rPr>
          <w:lang w:val="fr-FR"/>
        </w:rPr>
        <w:t xml:space="preserve">utilisation des technologies de nature différente a </w:t>
      </w:r>
      <w:r w:rsidR="005A269B">
        <w:rPr>
          <w:lang w:val="fr-FR"/>
        </w:rPr>
        <w:t xml:space="preserve">mis en évidence </w:t>
      </w:r>
      <w:r w:rsidRPr="006E19D9">
        <w:rPr>
          <w:lang w:val="fr-FR"/>
        </w:rPr>
        <w:t>des économies d</w:t>
      </w:r>
      <w:r w:rsidR="00F5401A">
        <w:rPr>
          <w:lang w:val="fr-FR"/>
        </w:rPr>
        <w:t>’</w:t>
      </w:r>
      <w:r w:rsidRPr="006E19D9">
        <w:rPr>
          <w:lang w:val="fr-FR"/>
        </w:rPr>
        <w:t>énergie d</w:t>
      </w:r>
      <w:r w:rsidR="00F5401A">
        <w:rPr>
          <w:lang w:val="fr-FR"/>
        </w:rPr>
        <w:t>’</w:t>
      </w:r>
      <w:r w:rsidRPr="006E19D9">
        <w:rPr>
          <w:lang w:val="fr-FR"/>
        </w:rPr>
        <w:t>environ 46 pour cent pour les deux sites par rapport à la technologie actuell</w:t>
      </w:r>
      <w:r>
        <w:rPr>
          <w:lang w:val="fr-FR"/>
        </w:rPr>
        <w:t>e basé</w:t>
      </w:r>
      <w:r w:rsidR="00273F5E">
        <w:rPr>
          <w:lang w:val="fr-FR"/>
        </w:rPr>
        <w:t>e</w:t>
      </w:r>
      <w:r>
        <w:rPr>
          <w:lang w:val="fr-FR"/>
        </w:rPr>
        <w:t xml:space="preserve"> sur le système électrique traditionne</w:t>
      </w:r>
      <w:r w:rsidRPr="006E19D9">
        <w:rPr>
          <w:lang w:val="fr-FR"/>
        </w:rPr>
        <w:t>l.</w:t>
      </w:r>
      <w:r w:rsidRPr="00714F80">
        <w:rPr>
          <w:lang w:val="fr-CA"/>
        </w:rPr>
        <w:t xml:space="preserve"> </w:t>
      </w:r>
      <w:r w:rsidRPr="006E19D9">
        <w:rPr>
          <w:lang w:val="fr-FR"/>
        </w:rPr>
        <w:t>L</w:t>
      </w:r>
      <w:r w:rsidR="00F5401A">
        <w:rPr>
          <w:lang w:val="fr-FR"/>
        </w:rPr>
        <w:t>’</w:t>
      </w:r>
      <w:r w:rsidRPr="006E19D9">
        <w:rPr>
          <w:lang w:val="fr-FR"/>
        </w:rPr>
        <w:t xml:space="preserve">étude a conclu </w:t>
      </w:r>
      <w:r w:rsidR="00C74482">
        <w:rPr>
          <w:lang w:val="fr-FR"/>
        </w:rPr>
        <w:t>sur la réalisation d</w:t>
      </w:r>
      <w:r w:rsidR="00F5401A">
        <w:rPr>
          <w:lang w:val="fr-FR"/>
        </w:rPr>
        <w:t>’</w:t>
      </w:r>
      <w:r w:rsidRPr="006E19D9">
        <w:rPr>
          <w:lang w:val="fr-FR"/>
        </w:rPr>
        <w:t>économies globales d</w:t>
      </w:r>
      <w:r w:rsidR="00F5401A">
        <w:rPr>
          <w:lang w:val="fr-FR"/>
        </w:rPr>
        <w:t>’</w:t>
      </w:r>
      <w:r w:rsidRPr="006E19D9">
        <w:rPr>
          <w:lang w:val="fr-FR"/>
        </w:rPr>
        <w:t xml:space="preserve">environ 52 pour cent pour le système de nature différente assisté par </w:t>
      </w:r>
      <w:r w:rsidR="00C74482">
        <w:rPr>
          <w:lang w:val="fr-FR"/>
        </w:rPr>
        <w:t>un système in-kind</w:t>
      </w:r>
      <w:r w:rsidRPr="006E19D9">
        <w:rPr>
          <w:lang w:val="fr-FR"/>
        </w:rPr>
        <w:t xml:space="preserve"> par rapport au simple système électrique traditionnel, </w:t>
      </w:r>
      <w:r w:rsidR="005A269B">
        <w:rPr>
          <w:lang w:val="fr-FR"/>
        </w:rPr>
        <w:t>indiquant</w:t>
      </w:r>
      <w:r w:rsidRPr="006E19D9">
        <w:rPr>
          <w:lang w:val="fr-FR"/>
        </w:rPr>
        <w:t xml:space="preserve"> que cela pourrait éventuellement être adopté dans d</w:t>
      </w:r>
      <w:r w:rsidR="00F5401A">
        <w:rPr>
          <w:lang w:val="fr-FR"/>
        </w:rPr>
        <w:t>’</w:t>
      </w:r>
      <w:r w:rsidRPr="006E19D9">
        <w:rPr>
          <w:lang w:val="fr-FR"/>
        </w:rPr>
        <w:t>autres applications utilisant des systèmes centraux dans le pays.</w:t>
      </w:r>
    </w:p>
    <w:p w14:paraId="606EDAFC" w14:textId="48E6729F" w:rsidR="00222C40" w:rsidRPr="005C2706" w:rsidRDefault="005C2706" w:rsidP="005C2706">
      <w:pPr>
        <w:pStyle w:val="Heading1"/>
        <w:keepNext/>
        <w:keepLines/>
        <w:widowControl w:val="0"/>
        <w:numPr>
          <w:ilvl w:val="0"/>
          <w:numId w:val="0"/>
        </w:numPr>
        <w:spacing w:before="120"/>
        <w:rPr>
          <w:u w:val="single"/>
        </w:rPr>
      </w:pPr>
      <w:r w:rsidRPr="005C2706">
        <w:rPr>
          <w:u w:val="single"/>
          <w:lang w:val="fr-FR"/>
        </w:rPr>
        <w:t>Projets de démonstration</w:t>
      </w:r>
    </w:p>
    <w:p w14:paraId="1907475C" w14:textId="51F5BC1B" w:rsidR="005C2706" w:rsidRPr="00714F80" w:rsidRDefault="005C2706" w:rsidP="005C2706">
      <w:pPr>
        <w:pStyle w:val="Heading1"/>
        <w:widowControl w:val="0"/>
        <w:tabs>
          <w:tab w:val="clear" w:pos="0"/>
          <w:tab w:val="num" w:pos="720"/>
        </w:tabs>
        <w:spacing w:before="240"/>
        <w:rPr>
          <w:lang w:val="fr-CA"/>
        </w:rPr>
      </w:pPr>
      <w:r w:rsidRPr="005C2706">
        <w:rPr>
          <w:lang w:val="fr-FR"/>
        </w:rPr>
        <w:t>Dans un projet de démonstration, les résultats ont conclu qu</w:t>
      </w:r>
      <w:r w:rsidR="00F5401A">
        <w:rPr>
          <w:lang w:val="fr-FR"/>
        </w:rPr>
        <w:t>’</w:t>
      </w:r>
      <w:r w:rsidRPr="005C2706">
        <w:rPr>
          <w:lang w:val="fr-FR"/>
        </w:rPr>
        <w:t>avec des spécifications claires des composants minimaux des équipements permettant les opérations de gonflage des mousses, les distributeurs de mousse de base pourraient être disponibles à un coût inférieur à celui des distributeurs standard, réduisant potentiellement les coûts d</w:t>
      </w:r>
      <w:r w:rsidR="00F5401A">
        <w:rPr>
          <w:lang w:val="fr-FR"/>
        </w:rPr>
        <w:t>’</w:t>
      </w:r>
      <w:r w:rsidRPr="005C2706">
        <w:rPr>
          <w:lang w:val="fr-FR"/>
        </w:rPr>
        <w:t>équipement pour les très petits fabricants de mousse.</w:t>
      </w:r>
      <w:r w:rsidRPr="00714F80">
        <w:rPr>
          <w:lang w:val="fr-CA"/>
        </w:rPr>
        <w:t xml:space="preserve"> </w:t>
      </w:r>
      <w:r w:rsidRPr="005C2706">
        <w:rPr>
          <w:lang w:val="fr-FR"/>
        </w:rPr>
        <w:t>Dans certains cas, les spécifications des équipements doivent être ajustées pour permettre l</w:t>
      </w:r>
      <w:r w:rsidR="00F5401A">
        <w:rPr>
          <w:lang w:val="fr-FR"/>
        </w:rPr>
        <w:t>’</w:t>
      </w:r>
      <w:r w:rsidRPr="005C2706">
        <w:rPr>
          <w:lang w:val="fr-FR"/>
        </w:rPr>
        <w:t>utilisation de formules chimiques à rapport variable.</w:t>
      </w:r>
    </w:p>
    <w:p w14:paraId="7253EF0C" w14:textId="7B9EE380" w:rsidR="005C2706" w:rsidRPr="00714F80" w:rsidRDefault="005C2706" w:rsidP="005C2706">
      <w:pPr>
        <w:pStyle w:val="Heading1"/>
        <w:widowControl w:val="0"/>
        <w:tabs>
          <w:tab w:val="clear" w:pos="0"/>
          <w:tab w:val="num" w:pos="720"/>
        </w:tabs>
        <w:spacing w:before="240"/>
        <w:rPr>
          <w:lang w:val="fr-CA"/>
        </w:rPr>
      </w:pPr>
      <w:r w:rsidRPr="005C2706">
        <w:rPr>
          <w:lang w:val="fr-FR"/>
        </w:rPr>
        <w:t>Un enseignement supplémentaire découle de la nécessité de prévoir un délai de mise en œuvre suffisant pour des projets de démonstration complexes, en particulier lorsque le temps nécessaire à la production de machines prototypes et à leur mise au point contient un certain degré d</w:t>
      </w:r>
      <w:r w:rsidR="00F5401A">
        <w:rPr>
          <w:lang w:val="fr-FR"/>
        </w:rPr>
        <w:t>’</w:t>
      </w:r>
      <w:r w:rsidRPr="005C2706">
        <w:rPr>
          <w:lang w:val="fr-FR"/>
        </w:rPr>
        <w:t>incertitude.</w:t>
      </w:r>
    </w:p>
    <w:p w14:paraId="2D7546C1" w14:textId="0D0EE131" w:rsidR="005C2706" w:rsidRPr="00714F80" w:rsidRDefault="005C2706" w:rsidP="007B5EA5">
      <w:pPr>
        <w:pStyle w:val="Heading1"/>
        <w:widowControl w:val="0"/>
        <w:tabs>
          <w:tab w:val="clear" w:pos="0"/>
          <w:tab w:val="num" w:pos="720"/>
        </w:tabs>
        <w:spacing w:before="240"/>
        <w:rPr>
          <w:lang w:val="fr-CA"/>
        </w:rPr>
      </w:pPr>
      <w:r w:rsidRPr="005C2706">
        <w:rPr>
          <w:lang w:val="fr-FR"/>
        </w:rPr>
        <w:t>Un autre projet de démonstration a souligné l</w:t>
      </w:r>
      <w:r w:rsidR="00F5401A">
        <w:rPr>
          <w:lang w:val="fr-FR"/>
        </w:rPr>
        <w:t>’</w:t>
      </w:r>
      <w:r w:rsidRPr="005C2706">
        <w:rPr>
          <w:lang w:val="fr-FR"/>
        </w:rPr>
        <w:t>importance d</w:t>
      </w:r>
      <w:r w:rsidR="00F5401A">
        <w:rPr>
          <w:lang w:val="fr-FR"/>
        </w:rPr>
        <w:t>’</w:t>
      </w:r>
      <w:r w:rsidRPr="005C2706">
        <w:rPr>
          <w:lang w:val="fr-FR"/>
        </w:rPr>
        <w:t>une communication étroite avec les fournisseurs de substances chimiques, qui s</w:t>
      </w:r>
      <w:r w:rsidR="00F5401A">
        <w:rPr>
          <w:lang w:val="fr-FR"/>
        </w:rPr>
        <w:t>’</w:t>
      </w:r>
      <w:r w:rsidRPr="005C2706">
        <w:rPr>
          <w:lang w:val="fr-FR"/>
        </w:rPr>
        <w:t>est avérée essentielle pour résoudre un problème technique imprévu sur la durée de conservation de l</w:t>
      </w:r>
      <w:r w:rsidR="00F5401A">
        <w:rPr>
          <w:lang w:val="fr-FR"/>
        </w:rPr>
        <w:t>’</w:t>
      </w:r>
      <w:r w:rsidRPr="005C2706">
        <w:rPr>
          <w:lang w:val="fr-FR"/>
        </w:rPr>
        <w:t>un des produits chimiques considérés par le projet.</w:t>
      </w:r>
      <w:r w:rsidRPr="00714F80">
        <w:rPr>
          <w:lang w:val="fr-CA"/>
        </w:rPr>
        <w:t xml:space="preserve"> </w:t>
      </w:r>
      <w:r w:rsidR="007B5EA5" w:rsidRPr="007B5EA5">
        <w:rPr>
          <w:lang w:val="fr-FR"/>
        </w:rPr>
        <w:t>La conception du projet aurait dû tenir compte des difficultés d</w:t>
      </w:r>
      <w:r w:rsidR="00F5401A">
        <w:rPr>
          <w:lang w:val="fr-FR"/>
        </w:rPr>
        <w:t>’</w:t>
      </w:r>
      <w:r w:rsidR="007B5EA5" w:rsidRPr="007B5EA5">
        <w:rPr>
          <w:lang w:val="fr-FR"/>
        </w:rPr>
        <w:t>élaboration de spécifications d</w:t>
      </w:r>
      <w:r w:rsidR="00F5401A">
        <w:rPr>
          <w:lang w:val="fr-FR"/>
        </w:rPr>
        <w:t>’</w:t>
      </w:r>
      <w:r w:rsidR="007B5EA5" w:rsidRPr="007B5EA5">
        <w:rPr>
          <w:lang w:val="fr-FR"/>
        </w:rPr>
        <w:t>équipements d</w:t>
      </w:r>
      <w:r w:rsidR="00F5401A">
        <w:rPr>
          <w:lang w:val="fr-FR"/>
        </w:rPr>
        <w:t>’</w:t>
      </w:r>
      <w:r w:rsidR="007B5EA5" w:rsidRPr="007B5EA5">
        <w:rPr>
          <w:lang w:val="fr-FR"/>
        </w:rPr>
        <w:t>essai adaptés aux petites et moyennes entreprises de formulation ainsi que le temps nécessaire pour se familiariser avec les nouveaux équipements d</w:t>
      </w:r>
      <w:r w:rsidR="00F5401A">
        <w:rPr>
          <w:lang w:val="fr-FR"/>
        </w:rPr>
        <w:t>’</w:t>
      </w:r>
      <w:r w:rsidR="007B5EA5" w:rsidRPr="007B5EA5">
        <w:rPr>
          <w:lang w:val="fr-FR"/>
        </w:rPr>
        <w:t>essai (appareil de transmission de chaleur et vaporisateurs à mousse à rapport réglable).</w:t>
      </w:r>
    </w:p>
    <w:p w14:paraId="48FD2983" w14:textId="072A8944" w:rsidR="007B5EA5" w:rsidRPr="00714F80" w:rsidRDefault="007B5EA5" w:rsidP="007B5EA5">
      <w:pPr>
        <w:pStyle w:val="Heading1"/>
        <w:widowControl w:val="0"/>
        <w:tabs>
          <w:tab w:val="clear" w:pos="0"/>
          <w:tab w:val="num" w:pos="720"/>
        </w:tabs>
        <w:spacing w:before="240"/>
        <w:rPr>
          <w:lang w:val="fr-CA"/>
        </w:rPr>
      </w:pPr>
      <w:r w:rsidRPr="007B5EA5">
        <w:rPr>
          <w:lang w:val="fr-FR"/>
        </w:rPr>
        <w:t>Les coûts approuvés des testeurs de conductivité thermique ont été considérablement sous-estimés.</w:t>
      </w:r>
      <w:r w:rsidRPr="00714F80">
        <w:rPr>
          <w:lang w:val="fr-CA"/>
        </w:rPr>
        <w:t xml:space="preserve"> </w:t>
      </w:r>
      <w:r w:rsidRPr="007B5EA5">
        <w:rPr>
          <w:lang w:val="fr-FR"/>
        </w:rPr>
        <w:t>Le coût approuvé se basait sur des testeurs qui ne pouvaient pas fournir le niveau de précision requis par l</w:t>
      </w:r>
      <w:r w:rsidR="00F5401A">
        <w:rPr>
          <w:lang w:val="fr-FR"/>
        </w:rPr>
        <w:t>’</w:t>
      </w:r>
      <w:r w:rsidRPr="007B5EA5">
        <w:rPr>
          <w:lang w:val="fr-FR"/>
        </w:rPr>
        <w:t>industrie.</w:t>
      </w:r>
    </w:p>
    <w:p w14:paraId="2CDEB2B2" w14:textId="77777777" w:rsidR="00E90CE9" w:rsidRDefault="00E90CE9">
      <w:pPr>
        <w:jc w:val="left"/>
        <w:rPr>
          <w:u w:val="single"/>
          <w:lang w:val="fr-FR"/>
        </w:rPr>
      </w:pPr>
      <w:r>
        <w:rPr>
          <w:u w:val="single"/>
          <w:lang w:val="fr-FR"/>
        </w:rPr>
        <w:br w:type="page"/>
      </w:r>
    </w:p>
    <w:p w14:paraId="48D1504A" w14:textId="210DE389" w:rsidR="00222C40" w:rsidRPr="00AF2645" w:rsidRDefault="007B5EA5" w:rsidP="007B5EA5">
      <w:pPr>
        <w:pStyle w:val="Heading1"/>
        <w:widowControl w:val="0"/>
        <w:numPr>
          <w:ilvl w:val="0"/>
          <w:numId w:val="0"/>
        </w:numPr>
        <w:spacing w:before="240"/>
        <w:rPr>
          <w:u w:val="single"/>
        </w:rPr>
      </w:pPr>
      <w:r w:rsidRPr="007B5EA5">
        <w:rPr>
          <w:u w:val="single"/>
          <w:lang w:val="fr-FR"/>
        </w:rPr>
        <w:lastRenderedPageBreak/>
        <w:t>Réfrigération</w:t>
      </w:r>
      <w:r w:rsidR="00AF2645" w:rsidRPr="007B5EA5">
        <w:rPr>
          <w:u w:val="single"/>
        </w:rPr>
        <w:t xml:space="preserve"> </w:t>
      </w:r>
    </w:p>
    <w:p w14:paraId="5C066B46" w14:textId="0942682B" w:rsidR="007B5EA5" w:rsidRPr="00714F80" w:rsidRDefault="007B5EA5" w:rsidP="007B5EA5">
      <w:pPr>
        <w:pStyle w:val="Heading1"/>
        <w:widowControl w:val="0"/>
        <w:spacing w:before="240"/>
        <w:rPr>
          <w:lang w:val="fr-CA"/>
        </w:rPr>
      </w:pPr>
      <w:r w:rsidRPr="007B5EA5">
        <w:rPr>
          <w:lang w:val="fr-FR"/>
        </w:rPr>
        <w:t>Les projets de reconversion réussis nécessitent un mécanisme de coordination ouvert et fonctionnant en temps voulu entre les parties prenantes ; une conception détaillée du projet qui inclut les modifications du produit ; des allocations de ressources (notamment cofinancement et coordination interinstitutionnelle) ; la sélection d</w:t>
      </w:r>
      <w:r w:rsidR="00F5401A">
        <w:rPr>
          <w:lang w:val="fr-FR"/>
        </w:rPr>
        <w:t>’</w:t>
      </w:r>
      <w:r w:rsidRPr="007B5EA5">
        <w:rPr>
          <w:lang w:val="fr-FR"/>
        </w:rPr>
        <w:t>experts expérimentés pour soutenir la phase de conception, de tests et d</w:t>
      </w:r>
      <w:r w:rsidR="00F5401A">
        <w:rPr>
          <w:lang w:val="fr-FR"/>
        </w:rPr>
        <w:t>’</w:t>
      </w:r>
      <w:r w:rsidRPr="007B5EA5">
        <w:rPr>
          <w:lang w:val="fr-FR"/>
        </w:rPr>
        <w:t>essais ; et des fournisseurs expérimentés d</w:t>
      </w:r>
      <w:r w:rsidR="00F5401A">
        <w:rPr>
          <w:lang w:val="fr-FR"/>
        </w:rPr>
        <w:t>’</w:t>
      </w:r>
      <w:r w:rsidRPr="007B5EA5">
        <w:rPr>
          <w:lang w:val="fr-FR"/>
        </w:rPr>
        <w:t>équipements/technologies.</w:t>
      </w:r>
    </w:p>
    <w:p w14:paraId="2EED44B5" w14:textId="50355559" w:rsidR="007B5EA5" w:rsidRPr="00714F80" w:rsidRDefault="007B5EA5" w:rsidP="007B5EA5">
      <w:pPr>
        <w:pStyle w:val="Heading1"/>
        <w:widowControl w:val="0"/>
        <w:spacing w:before="240"/>
        <w:rPr>
          <w:lang w:val="fr-CA"/>
        </w:rPr>
      </w:pPr>
      <w:r w:rsidRPr="007B5EA5">
        <w:rPr>
          <w:lang w:val="fr-FR"/>
        </w:rPr>
        <w:t>Un pays a recommandé d</w:t>
      </w:r>
      <w:r w:rsidR="00F5401A">
        <w:rPr>
          <w:lang w:val="fr-FR"/>
        </w:rPr>
        <w:t>’</w:t>
      </w:r>
      <w:r w:rsidRPr="007B5EA5">
        <w:rPr>
          <w:lang w:val="fr-FR"/>
        </w:rPr>
        <w:t>envisager des investissements et des interventions parallèles dans le secteur de la fabrication et de l</w:t>
      </w:r>
      <w:r w:rsidR="00F5401A">
        <w:rPr>
          <w:lang w:val="fr-FR"/>
        </w:rPr>
        <w:t>’</w:t>
      </w:r>
      <w:r w:rsidRPr="007B5EA5">
        <w:rPr>
          <w:lang w:val="fr-FR"/>
        </w:rPr>
        <w:t>entretien pour permettre la mise en place d</w:t>
      </w:r>
      <w:r w:rsidR="00F5401A">
        <w:rPr>
          <w:lang w:val="fr-FR"/>
        </w:rPr>
        <w:t>’</w:t>
      </w:r>
      <w:r w:rsidRPr="007B5EA5">
        <w:rPr>
          <w:lang w:val="fr-FR"/>
        </w:rPr>
        <w:t>activités habilitantes pour assurer le soutien du déploiement et de l</w:t>
      </w:r>
      <w:r w:rsidR="00F5401A">
        <w:rPr>
          <w:lang w:val="fr-FR"/>
        </w:rPr>
        <w:t>’</w:t>
      </w:r>
      <w:r w:rsidRPr="007B5EA5">
        <w:rPr>
          <w:lang w:val="fr-FR"/>
        </w:rPr>
        <w:t>adoption des technologies.</w:t>
      </w:r>
      <w:r w:rsidRPr="00714F80">
        <w:rPr>
          <w:lang w:val="fr-CA"/>
        </w:rPr>
        <w:t xml:space="preserve"> </w:t>
      </w:r>
      <w:r w:rsidRPr="007B5EA5">
        <w:rPr>
          <w:lang w:val="fr-FR"/>
        </w:rPr>
        <w:t>Cela pourra</w:t>
      </w:r>
      <w:r w:rsidR="004A08F4">
        <w:rPr>
          <w:lang w:val="fr-FR"/>
        </w:rPr>
        <w:t>it</w:t>
      </w:r>
      <w:r w:rsidRPr="007B5EA5">
        <w:rPr>
          <w:lang w:val="fr-FR"/>
        </w:rPr>
        <w:t xml:space="preserve"> contribuer à </w:t>
      </w:r>
      <w:r w:rsidR="00C74482">
        <w:rPr>
          <w:lang w:val="fr-FR"/>
        </w:rPr>
        <w:t xml:space="preserve">modifier </w:t>
      </w:r>
      <w:r w:rsidRPr="007B5EA5">
        <w:rPr>
          <w:lang w:val="fr-FR"/>
        </w:rPr>
        <w:t>les opinions du public sur les risques d</w:t>
      </w:r>
      <w:r w:rsidR="00F5401A">
        <w:rPr>
          <w:lang w:val="fr-FR"/>
        </w:rPr>
        <w:t>’</w:t>
      </w:r>
      <w:r w:rsidRPr="007B5EA5">
        <w:rPr>
          <w:lang w:val="fr-FR"/>
        </w:rPr>
        <w:t xml:space="preserve">inflammabilité et de </w:t>
      </w:r>
      <w:r w:rsidRPr="00C74482">
        <w:rPr>
          <w:lang w:val="fr-FR"/>
        </w:rPr>
        <w:t>toxicité, la pression élevée et les coûts</w:t>
      </w:r>
      <w:r w:rsidR="00C74482" w:rsidRPr="00C74482">
        <w:rPr>
          <w:lang w:val="fr-FR"/>
        </w:rPr>
        <w:t xml:space="preserve"> </w:t>
      </w:r>
      <w:r w:rsidRPr="00C74482">
        <w:rPr>
          <w:lang w:val="fr-FR"/>
        </w:rPr>
        <w:t>des</w:t>
      </w:r>
      <w:r w:rsidRPr="007B5EA5">
        <w:rPr>
          <w:lang w:val="fr-FR"/>
        </w:rPr>
        <w:t xml:space="preserve"> solutions de remplacement, tout en garantissant la durabilité des résultats du projet.</w:t>
      </w:r>
    </w:p>
    <w:p w14:paraId="525173C7" w14:textId="5E440836" w:rsidR="007B5EA5" w:rsidRPr="00714F80" w:rsidRDefault="007B5EA5" w:rsidP="007B5EA5">
      <w:pPr>
        <w:pStyle w:val="Heading1"/>
        <w:widowControl w:val="0"/>
        <w:spacing w:before="240"/>
        <w:rPr>
          <w:lang w:val="fr-CA"/>
        </w:rPr>
      </w:pPr>
      <w:r w:rsidRPr="007B5EA5">
        <w:rPr>
          <w:lang w:val="fr-FR"/>
        </w:rPr>
        <w:t>Dans le cadre de l</w:t>
      </w:r>
      <w:r w:rsidR="00F5401A">
        <w:rPr>
          <w:lang w:val="fr-FR"/>
        </w:rPr>
        <w:t>’</w:t>
      </w:r>
      <w:r w:rsidRPr="007B5EA5">
        <w:rPr>
          <w:lang w:val="fr-FR"/>
        </w:rPr>
        <w:t>utilisation de produits de remplacement inflammables, un pays a recommandé de budgétiser un audit de sécurité pour vérifier l</w:t>
      </w:r>
      <w:r w:rsidR="00F5401A">
        <w:rPr>
          <w:lang w:val="fr-FR"/>
        </w:rPr>
        <w:t>’</w:t>
      </w:r>
      <w:r w:rsidRPr="007B5EA5">
        <w:rPr>
          <w:lang w:val="fr-FR"/>
        </w:rPr>
        <w:t>adoption sûre des frigorigènes.</w:t>
      </w:r>
      <w:r w:rsidRPr="00714F80">
        <w:rPr>
          <w:lang w:val="fr-CA"/>
        </w:rPr>
        <w:t xml:space="preserve"> </w:t>
      </w:r>
      <w:r w:rsidRPr="007B5EA5">
        <w:rPr>
          <w:lang w:val="fr-FR"/>
        </w:rPr>
        <w:t>Une autre clé de la durabilité du projet est de mettre en place un réseau de centres d</w:t>
      </w:r>
      <w:r w:rsidR="00F5401A">
        <w:rPr>
          <w:lang w:val="fr-FR"/>
        </w:rPr>
        <w:t>’</w:t>
      </w:r>
      <w:r w:rsidRPr="007B5EA5">
        <w:rPr>
          <w:lang w:val="fr-FR"/>
        </w:rPr>
        <w:t>entretien et de techniciens dotés d</w:t>
      </w:r>
      <w:r w:rsidR="00F5401A">
        <w:rPr>
          <w:lang w:val="fr-FR"/>
        </w:rPr>
        <w:t>’</w:t>
      </w:r>
      <w:r w:rsidRPr="007B5EA5">
        <w:rPr>
          <w:lang w:val="fr-FR"/>
        </w:rPr>
        <w:t>une formation et d</w:t>
      </w:r>
      <w:r w:rsidR="00F5401A">
        <w:rPr>
          <w:lang w:val="fr-FR"/>
        </w:rPr>
        <w:t>’</w:t>
      </w:r>
      <w:r w:rsidRPr="007B5EA5">
        <w:rPr>
          <w:lang w:val="fr-FR"/>
        </w:rPr>
        <w:t>équipements appropriés pour assurer une maintenance sûre et la qualité des produits à long terme.</w:t>
      </w:r>
    </w:p>
    <w:p w14:paraId="73C54D4E" w14:textId="6ABF70A2" w:rsidR="00871998" w:rsidRPr="00714F80" w:rsidRDefault="00871998" w:rsidP="00871998">
      <w:pPr>
        <w:pStyle w:val="Heading1"/>
        <w:widowControl w:val="0"/>
        <w:spacing w:before="240"/>
        <w:rPr>
          <w:lang w:val="fr-CA"/>
        </w:rPr>
      </w:pPr>
      <w:r w:rsidRPr="00871998">
        <w:rPr>
          <w:lang w:val="fr-FR"/>
        </w:rPr>
        <w:t>Il est important de considérer l</w:t>
      </w:r>
      <w:r w:rsidR="00F5401A">
        <w:rPr>
          <w:lang w:val="fr-FR"/>
        </w:rPr>
        <w:t>’</w:t>
      </w:r>
      <w:r w:rsidRPr="00871998">
        <w:rPr>
          <w:lang w:val="fr-FR"/>
        </w:rPr>
        <w:t xml:space="preserve">état des équipements de base et les besoins éventuels de mettre en </w:t>
      </w:r>
      <w:r w:rsidR="00C74482">
        <w:rPr>
          <w:lang w:val="fr-FR"/>
        </w:rPr>
        <w:t>concordance</w:t>
      </w:r>
      <w:r w:rsidRPr="00871998">
        <w:rPr>
          <w:lang w:val="fr-FR"/>
        </w:rPr>
        <w:t xml:space="preserve"> marques et types actuels (par ex. harmoniser le nouvel équipement avec les capacités installées actuellement afin d</w:t>
      </w:r>
      <w:r w:rsidR="00F5401A">
        <w:rPr>
          <w:lang w:val="fr-FR"/>
        </w:rPr>
        <w:t>’</w:t>
      </w:r>
      <w:r w:rsidRPr="00871998">
        <w:rPr>
          <w:lang w:val="fr-FR"/>
        </w:rPr>
        <w:t>assurer une compatibilité totale et l</w:t>
      </w:r>
      <w:r w:rsidR="00F5401A">
        <w:rPr>
          <w:lang w:val="fr-FR"/>
        </w:rPr>
        <w:t>’</w:t>
      </w:r>
      <w:r w:rsidRPr="00871998">
        <w:rPr>
          <w:lang w:val="fr-FR"/>
        </w:rPr>
        <w:t>intégration des systèmes de sécurité).</w:t>
      </w:r>
      <w:r w:rsidRPr="00714F80">
        <w:rPr>
          <w:lang w:val="fr-CA"/>
        </w:rPr>
        <w:t xml:space="preserve"> </w:t>
      </w:r>
      <w:r w:rsidRPr="00871998">
        <w:rPr>
          <w:lang w:val="fr-FR"/>
        </w:rPr>
        <w:t>À cet égard, un certain niveau de flexibilité quant à l</w:t>
      </w:r>
      <w:r w:rsidR="00F5401A">
        <w:rPr>
          <w:lang w:val="fr-FR"/>
        </w:rPr>
        <w:t>’</w:t>
      </w:r>
      <w:r w:rsidRPr="00871998">
        <w:rPr>
          <w:lang w:val="fr-FR"/>
        </w:rPr>
        <w:t>allocation des fonds peut garantir des économies d</w:t>
      </w:r>
      <w:r w:rsidR="00F5401A">
        <w:rPr>
          <w:lang w:val="fr-FR"/>
        </w:rPr>
        <w:t>’</w:t>
      </w:r>
      <w:r w:rsidRPr="00871998">
        <w:rPr>
          <w:lang w:val="fr-FR"/>
        </w:rPr>
        <w:t>ensemble dans le cadre du projet.</w:t>
      </w:r>
      <w:r w:rsidRPr="00714F80">
        <w:rPr>
          <w:lang w:val="fr-CA"/>
        </w:rPr>
        <w:t xml:space="preserve"> </w:t>
      </w:r>
      <w:r w:rsidRPr="00871998">
        <w:rPr>
          <w:lang w:val="fr-FR"/>
        </w:rPr>
        <w:t>Se dégager des rubriques ou des lignes budgétaires, par exemple, pourrait offrir ce genre de flexibilité.</w:t>
      </w:r>
      <w:r w:rsidRPr="00714F80">
        <w:rPr>
          <w:lang w:val="fr-CA"/>
        </w:rPr>
        <w:t xml:space="preserve"> </w:t>
      </w:r>
      <w:r w:rsidRPr="00871998">
        <w:rPr>
          <w:lang w:val="fr-FR"/>
        </w:rPr>
        <w:t>Avant tout, la certification et les normes d</w:t>
      </w:r>
      <w:r w:rsidR="00F5401A">
        <w:rPr>
          <w:lang w:val="fr-FR"/>
        </w:rPr>
        <w:t>’</w:t>
      </w:r>
      <w:r w:rsidRPr="00871998">
        <w:rPr>
          <w:lang w:val="fr-FR"/>
        </w:rPr>
        <w:t>équipement reconnues internationalement sont fondamentales pour assurer la sécurité.</w:t>
      </w:r>
    </w:p>
    <w:p w14:paraId="7DFA319A" w14:textId="12EABB98" w:rsidR="00871998" w:rsidRPr="00714F80" w:rsidRDefault="00871998" w:rsidP="00871998">
      <w:pPr>
        <w:pStyle w:val="Heading1"/>
        <w:widowControl w:val="0"/>
        <w:spacing w:before="240"/>
        <w:rPr>
          <w:rStyle w:val="tw4winMark"/>
          <w:rFonts w:ascii="Times New Roman" w:hAnsi="Times New Roman" w:cs="Times New Roman"/>
          <w:noProof w:val="0"/>
          <w:vanish w:val="0"/>
          <w:color w:val="auto"/>
          <w:kern w:val="0"/>
          <w:sz w:val="22"/>
          <w:vertAlign w:val="baseline"/>
          <w:lang w:val="fr-CA"/>
        </w:rPr>
      </w:pPr>
      <w:r w:rsidRPr="00871998">
        <w:rPr>
          <w:lang w:val="fr-FR"/>
        </w:rPr>
        <w:t xml:space="preserve">Bien que le </w:t>
      </w:r>
      <w:r w:rsidR="00C74482">
        <w:rPr>
          <w:lang w:val="fr-FR"/>
        </w:rPr>
        <w:t>Fonds multilatéral</w:t>
      </w:r>
      <w:r w:rsidRPr="00871998">
        <w:rPr>
          <w:lang w:val="fr-FR"/>
        </w:rPr>
        <w:t xml:space="preserve"> n</w:t>
      </w:r>
      <w:r w:rsidR="00F5401A">
        <w:rPr>
          <w:lang w:val="fr-FR"/>
        </w:rPr>
        <w:t>’</w:t>
      </w:r>
      <w:r w:rsidRPr="00871998">
        <w:rPr>
          <w:lang w:val="fr-FR"/>
        </w:rPr>
        <w:t>ait pas une politique d</w:t>
      </w:r>
      <w:r w:rsidR="00F5401A">
        <w:rPr>
          <w:lang w:val="fr-FR"/>
        </w:rPr>
        <w:t>’</w:t>
      </w:r>
      <w:r w:rsidRPr="00871998">
        <w:rPr>
          <w:lang w:val="fr-FR"/>
        </w:rPr>
        <w:t>efficacité énergétique, un projet a clairement démontré que certaines activités sont réalisables et fourniront effectivement des gains d</w:t>
      </w:r>
      <w:r w:rsidR="00F5401A">
        <w:rPr>
          <w:lang w:val="fr-FR"/>
        </w:rPr>
        <w:t>’</w:t>
      </w:r>
      <w:r w:rsidRPr="00871998">
        <w:rPr>
          <w:lang w:val="fr-FR"/>
        </w:rPr>
        <w:t>efficacité énergétique plus importants, directement convertis en réductions d</w:t>
      </w:r>
      <w:r w:rsidR="00F5401A">
        <w:rPr>
          <w:lang w:val="fr-FR"/>
        </w:rPr>
        <w:t>’</w:t>
      </w:r>
      <w:r w:rsidRPr="00871998">
        <w:rPr>
          <w:lang w:val="fr-FR"/>
        </w:rPr>
        <w:t>émissions, représentant de réelles opportunités d</w:t>
      </w:r>
      <w:r w:rsidR="00F5401A">
        <w:rPr>
          <w:lang w:val="fr-FR"/>
        </w:rPr>
        <w:t>’</w:t>
      </w:r>
      <w:r w:rsidRPr="00871998">
        <w:rPr>
          <w:lang w:val="fr-FR"/>
        </w:rPr>
        <w:t>atténuation du changement climatique.</w:t>
      </w:r>
      <w:r w:rsidRPr="00714F80">
        <w:rPr>
          <w:lang w:val="fr-CA"/>
        </w:rPr>
        <w:t xml:space="preserve"> </w:t>
      </w:r>
      <w:r w:rsidRPr="00871998">
        <w:rPr>
          <w:lang w:val="fr-FR"/>
        </w:rPr>
        <w:t>Par exemple, l</w:t>
      </w:r>
      <w:r w:rsidR="00F5401A">
        <w:rPr>
          <w:lang w:val="fr-FR"/>
        </w:rPr>
        <w:t>’</w:t>
      </w:r>
      <w:r w:rsidRPr="00871998">
        <w:rPr>
          <w:lang w:val="fr-FR"/>
        </w:rPr>
        <w:t>adoption du compresseur inverseur R-600a dans des modèles sélectionnés a fourni des gains d</w:t>
      </w:r>
      <w:r w:rsidR="00F5401A">
        <w:rPr>
          <w:lang w:val="fr-FR"/>
        </w:rPr>
        <w:t>’</w:t>
      </w:r>
      <w:r w:rsidRPr="00871998">
        <w:rPr>
          <w:lang w:val="fr-FR"/>
        </w:rPr>
        <w:t>efficacité énergétique multipliés par deux par rapport au compresseur à induction optimisé R-600a.</w:t>
      </w:r>
      <w:r w:rsidRPr="00714F80">
        <w:rPr>
          <w:lang w:val="fr-CA"/>
        </w:rPr>
        <w:t xml:space="preserve"> </w:t>
      </w:r>
      <w:r w:rsidRPr="00871998">
        <w:rPr>
          <w:lang w:val="fr-FR"/>
        </w:rPr>
        <w:t>Par conséquent, il est recommandé de poursuivre l</w:t>
      </w:r>
      <w:r w:rsidR="00F5401A">
        <w:rPr>
          <w:lang w:val="fr-FR"/>
        </w:rPr>
        <w:t>’</w:t>
      </w:r>
      <w:r w:rsidRPr="00871998">
        <w:rPr>
          <w:lang w:val="fr-FR"/>
        </w:rPr>
        <w:t>examen de politiques de financement destinées à encourager ces mises à niveau techniques en offrant des incitatifs, comme un soutien financier pour la révision de la conception du produit, la production et l</w:t>
      </w:r>
      <w:r w:rsidR="00F5401A">
        <w:rPr>
          <w:lang w:val="fr-FR"/>
        </w:rPr>
        <w:t>’</w:t>
      </w:r>
      <w:r w:rsidR="00183682">
        <w:rPr>
          <w:lang w:val="fr-FR"/>
        </w:rPr>
        <w:t>essai</w:t>
      </w:r>
      <w:r w:rsidRPr="00871998">
        <w:rPr>
          <w:lang w:val="fr-FR"/>
        </w:rPr>
        <w:t xml:space="preserve"> de prototypes dans le cadre des surcoûts supplémentaires.</w:t>
      </w:r>
      <w:r w:rsidRPr="00714F80">
        <w:rPr>
          <w:lang w:val="fr-CA"/>
        </w:rPr>
        <w:t xml:space="preserve"> </w:t>
      </w:r>
    </w:p>
    <w:p w14:paraId="09B6BF00" w14:textId="7A4EC6FC" w:rsidR="00871998" w:rsidRPr="00714F80" w:rsidRDefault="00871998" w:rsidP="00871998">
      <w:pPr>
        <w:pStyle w:val="Heading1"/>
        <w:widowControl w:val="0"/>
        <w:spacing w:before="240"/>
        <w:rPr>
          <w:lang w:val="fr-CA"/>
        </w:rPr>
      </w:pPr>
      <w:r w:rsidRPr="00871998">
        <w:rPr>
          <w:lang w:val="fr-FR"/>
        </w:rPr>
        <w:t>Certains projets autonomes ont accru la confiance des parties prenantes dans la mise en œuvre de l</w:t>
      </w:r>
      <w:r w:rsidR="00F5401A">
        <w:rPr>
          <w:lang w:val="fr-FR"/>
        </w:rPr>
        <w:t>’</w:t>
      </w:r>
      <w:r w:rsidRPr="00871998">
        <w:rPr>
          <w:lang w:val="fr-FR"/>
        </w:rPr>
        <w:t>Amendement de Kigali, car l</w:t>
      </w:r>
      <w:r w:rsidR="00F5401A">
        <w:rPr>
          <w:lang w:val="fr-FR"/>
        </w:rPr>
        <w:t>’</w:t>
      </w:r>
      <w:r w:rsidRPr="00871998">
        <w:rPr>
          <w:lang w:val="fr-FR"/>
        </w:rPr>
        <w:t>avancement des étapes de la ratification envoie des signaux clairs au marché sur la tendance future vers la réduction progressive des HFC.</w:t>
      </w:r>
    </w:p>
    <w:p w14:paraId="73F28B29" w14:textId="1A1595FA" w:rsidR="00624736" w:rsidRPr="00714F80" w:rsidRDefault="00624736" w:rsidP="00624736">
      <w:pPr>
        <w:pStyle w:val="Heading1"/>
        <w:widowControl w:val="0"/>
        <w:spacing w:before="240"/>
        <w:rPr>
          <w:lang w:val="fr-CA"/>
        </w:rPr>
      </w:pPr>
      <w:r w:rsidRPr="00624736">
        <w:rPr>
          <w:lang w:val="fr-FR"/>
        </w:rPr>
        <w:t>Un projet de démonstration a observé que la conception de congélateurs et d</w:t>
      </w:r>
      <w:r w:rsidR="00F5401A">
        <w:rPr>
          <w:lang w:val="fr-FR"/>
        </w:rPr>
        <w:t>’</w:t>
      </w:r>
      <w:r w:rsidRPr="00624736">
        <w:rPr>
          <w:lang w:val="fr-FR"/>
        </w:rPr>
        <w:t>équipements à basse température est plus difficile en raison des limites de la charge de gaz qui rend difficile l</w:t>
      </w:r>
      <w:r w:rsidR="00F5401A">
        <w:rPr>
          <w:lang w:val="fr-FR"/>
        </w:rPr>
        <w:t>’</w:t>
      </w:r>
      <w:r w:rsidRPr="00624736">
        <w:rPr>
          <w:lang w:val="fr-FR"/>
        </w:rPr>
        <w:t>obtention des températures et des performances attendues.</w:t>
      </w:r>
      <w:r w:rsidRPr="00714F80">
        <w:rPr>
          <w:lang w:val="fr-CA"/>
        </w:rPr>
        <w:t xml:space="preserve"> </w:t>
      </w:r>
      <w:r w:rsidRPr="00624736">
        <w:rPr>
          <w:lang w:val="fr-FR"/>
        </w:rPr>
        <w:t>Dans certains cas, il est nécessaire d</w:t>
      </w:r>
      <w:r w:rsidR="00F5401A">
        <w:rPr>
          <w:lang w:val="fr-FR"/>
        </w:rPr>
        <w:t>’</w:t>
      </w:r>
      <w:r w:rsidRPr="00624736">
        <w:rPr>
          <w:lang w:val="fr-FR"/>
        </w:rPr>
        <w:t>utiliser deux systèmes de réfrigération (par ex. compresseur, condenseur/évaporateur) alors qu</w:t>
      </w:r>
      <w:r w:rsidR="00F5401A">
        <w:rPr>
          <w:lang w:val="fr-FR"/>
        </w:rPr>
        <w:t>’</w:t>
      </w:r>
      <w:r w:rsidRPr="00624736">
        <w:rPr>
          <w:lang w:val="fr-FR"/>
        </w:rPr>
        <w:t>auparavant un seul pouvait être utilisé.</w:t>
      </w:r>
    </w:p>
    <w:p w14:paraId="64F3CA1A" w14:textId="14631AC8" w:rsidR="00222C40" w:rsidRPr="00624736" w:rsidRDefault="00624736" w:rsidP="00624736">
      <w:pPr>
        <w:pStyle w:val="Heading1"/>
        <w:widowControl w:val="0"/>
        <w:numPr>
          <w:ilvl w:val="0"/>
          <w:numId w:val="0"/>
        </w:numPr>
        <w:spacing w:before="240"/>
        <w:rPr>
          <w:u w:val="single"/>
        </w:rPr>
      </w:pPr>
      <w:r w:rsidRPr="00624736">
        <w:rPr>
          <w:u w:val="single"/>
          <w:lang w:val="fr-FR"/>
        </w:rPr>
        <w:t>Rapport de vérification</w:t>
      </w:r>
    </w:p>
    <w:p w14:paraId="6807ADE6" w14:textId="21F30505" w:rsidR="00624736" w:rsidRPr="00714F80" w:rsidRDefault="00262EE3" w:rsidP="00262EE3">
      <w:pPr>
        <w:pStyle w:val="Heading1"/>
        <w:widowControl w:val="0"/>
        <w:tabs>
          <w:tab w:val="clear" w:pos="0"/>
          <w:tab w:val="num" w:pos="720"/>
        </w:tabs>
        <w:spacing w:before="240"/>
        <w:rPr>
          <w:lang w:val="fr-CA"/>
        </w:rPr>
      </w:pPr>
      <w:r w:rsidRPr="00262EE3">
        <w:rPr>
          <w:lang w:val="fr-FR"/>
        </w:rPr>
        <w:t>Les rapports de vérification contenaient une série de recommandations pour les projets en cours et les projets futurs, concernant principalement la communication, la classification des données et la formation.</w:t>
      </w:r>
    </w:p>
    <w:p w14:paraId="353CA82B" w14:textId="7E68E5C2" w:rsidR="006E3325" w:rsidRPr="00714F80" w:rsidRDefault="006E3325" w:rsidP="006E3325">
      <w:pPr>
        <w:pStyle w:val="Heading1"/>
        <w:rPr>
          <w:rStyle w:val="tw4winMark"/>
          <w:rFonts w:ascii="Times New Roman" w:hAnsi="Times New Roman" w:cs="Times New Roman"/>
          <w:noProof w:val="0"/>
          <w:vanish w:val="0"/>
          <w:color w:val="auto"/>
          <w:kern w:val="0"/>
          <w:sz w:val="22"/>
          <w:vertAlign w:val="baseline"/>
          <w:lang w:val="fr-CA"/>
        </w:rPr>
      </w:pPr>
      <w:r w:rsidRPr="006E3325">
        <w:rPr>
          <w:lang w:val="fr-FR"/>
        </w:rPr>
        <w:lastRenderedPageBreak/>
        <w:t>Un rapport de vérification se préoccupait de l</w:t>
      </w:r>
      <w:r w:rsidR="00F5401A">
        <w:rPr>
          <w:lang w:val="fr-FR"/>
        </w:rPr>
        <w:t>’</w:t>
      </w:r>
      <w:r w:rsidRPr="006E3325">
        <w:rPr>
          <w:lang w:val="fr-FR"/>
        </w:rPr>
        <w:t>existence à grande échelle d</w:t>
      </w:r>
      <w:r w:rsidR="00F5401A">
        <w:rPr>
          <w:lang w:val="fr-FR"/>
        </w:rPr>
        <w:t>’</w:t>
      </w:r>
      <w:r w:rsidRPr="006E3325">
        <w:rPr>
          <w:lang w:val="fr-FR"/>
        </w:rPr>
        <w:t>une classification erronée des importations par le Département des douanes, qui peut être corrigée par une formation portant sur la classification et l</w:t>
      </w:r>
      <w:r w:rsidR="00F5401A">
        <w:rPr>
          <w:lang w:val="fr-FR"/>
        </w:rPr>
        <w:t>’</w:t>
      </w:r>
      <w:r w:rsidRPr="006E3325">
        <w:rPr>
          <w:lang w:val="fr-FR"/>
        </w:rPr>
        <w:t>utilisation de codes corrects du Système Harmonisé (SH).</w:t>
      </w:r>
      <w:r w:rsidRPr="00714F80">
        <w:rPr>
          <w:lang w:val="fr-CA"/>
        </w:rPr>
        <w:t xml:space="preserve"> </w:t>
      </w:r>
    </w:p>
    <w:p w14:paraId="443246AF" w14:textId="5BFB6D6D" w:rsidR="006E3325" w:rsidRPr="00714F80" w:rsidRDefault="00F5401A" w:rsidP="006E3325">
      <w:pPr>
        <w:pStyle w:val="Heading1"/>
        <w:rPr>
          <w:lang w:val="fr-CA"/>
        </w:rPr>
      </w:pPr>
      <w:r>
        <w:rPr>
          <w:lang w:val="fr-FR"/>
        </w:rPr>
        <w:t>Pour parvenir à ses fins</w:t>
      </w:r>
      <w:r w:rsidR="006E3325" w:rsidRPr="00C74482">
        <w:rPr>
          <w:lang w:val="fr-FR"/>
        </w:rPr>
        <w:t>,</w:t>
      </w:r>
      <w:r w:rsidR="006E3325" w:rsidRPr="006E3325">
        <w:rPr>
          <w:lang w:val="fr-FR"/>
        </w:rPr>
        <w:t xml:space="preserve"> l</w:t>
      </w:r>
      <w:r>
        <w:rPr>
          <w:lang w:val="fr-FR"/>
        </w:rPr>
        <w:t>’</w:t>
      </w:r>
      <w:r w:rsidR="006E3325" w:rsidRPr="006E3325">
        <w:rPr>
          <w:lang w:val="fr-FR"/>
        </w:rPr>
        <w:t xml:space="preserve">UNO devrait aider à sensibiliser, former et impliquer toutes les parties prenantes concernées par le commerce, les systèmes de permis et de quotas, </w:t>
      </w:r>
      <w:r w:rsidR="00C74482">
        <w:rPr>
          <w:lang w:val="fr-FR"/>
        </w:rPr>
        <w:t>en vue d</w:t>
      </w:r>
      <w:r>
        <w:rPr>
          <w:lang w:val="fr-FR"/>
        </w:rPr>
        <w:t>’</w:t>
      </w:r>
      <w:r w:rsidR="006E3325" w:rsidRPr="006E3325">
        <w:rPr>
          <w:lang w:val="fr-FR"/>
        </w:rPr>
        <w:t xml:space="preserve">adopter des mesures de réglementation et </w:t>
      </w:r>
      <w:r w:rsidR="00C74482">
        <w:rPr>
          <w:lang w:val="fr-FR"/>
        </w:rPr>
        <w:t>convenir de</w:t>
      </w:r>
      <w:r w:rsidR="006E3325" w:rsidRPr="006E3325">
        <w:rPr>
          <w:lang w:val="fr-FR"/>
        </w:rPr>
        <w:t xml:space="preserve"> stratégies et dispositions institutionnelles.</w:t>
      </w:r>
      <w:r w:rsidR="006E3325" w:rsidRPr="00714F80">
        <w:rPr>
          <w:lang w:val="fr-CA"/>
        </w:rPr>
        <w:t xml:space="preserve"> </w:t>
      </w:r>
      <w:r w:rsidR="006E3325" w:rsidRPr="006E3325">
        <w:rPr>
          <w:lang w:val="fr-FR"/>
        </w:rPr>
        <w:t>Celles-ci devraient inclure les procédures de dédouanement des importateurs et la vérification de l</w:t>
      </w:r>
      <w:r>
        <w:rPr>
          <w:lang w:val="fr-FR"/>
        </w:rPr>
        <w:t>’</w:t>
      </w:r>
      <w:r w:rsidR="006E3325" w:rsidRPr="006E3325">
        <w:rPr>
          <w:lang w:val="fr-FR"/>
        </w:rPr>
        <w:t>importation réelle ainsi que des inspections.</w:t>
      </w:r>
      <w:r w:rsidR="006E3325" w:rsidRPr="00714F80">
        <w:rPr>
          <w:lang w:val="fr-CA"/>
        </w:rPr>
        <w:t xml:space="preserve"> </w:t>
      </w:r>
    </w:p>
    <w:p w14:paraId="7912863D" w14:textId="7ED0820E" w:rsidR="004A5ACE" w:rsidRPr="00714F80" w:rsidRDefault="006E3325" w:rsidP="004A5ACE">
      <w:pPr>
        <w:pStyle w:val="Heading1"/>
        <w:rPr>
          <w:lang w:val="fr-CA"/>
        </w:rPr>
      </w:pPr>
      <w:r w:rsidRPr="006E3325">
        <w:rPr>
          <w:lang w:val="fr-FR"/>
        </w:rPr>
        <w:t>L</w:t>
      </w:r>
      <w:r w:rsidR="00F5401A">
        <w:rPr>
          <w:lang w:val="fr-FR"/>
        </w:rPr>
        <w:t>’</w:t>
      </w:r>
      <w:r w:rsidRPr="006E3325">
        <w:rPr>
          <w:lang w:val="fr-FR"/>
        </w:rPr>
        <w:t>UNO et le Département des douanes devraient convenir de protocoles pour améliorer la saisie précise des données, notamment la description de produit pour les substances réglementées.</w:t>
      </w:r>
      <w:r w:rsidRPr="00714F80">
        <w:rPr>
          <w:lang w:val="fr-CA"/>
        </w:rPr>
        <w:t xml:space="preserve"> </w:t>
      </w:r>
      <w:r w:rsidRPr="006E3325">
        <w:rPr>
          <w:lang w:val="fr-FR"/>
        </w:rPr>
        <w:t>L</w:t>
      </w:r>
      <w:r w:rsidR="00F5401A">
        <w:rPr>
          <w:lang w:val="fr-FR"/>
        </w:rPr>
        <w:t>’</w:t>
      </w:r>
      <w:r w:rsidRPr="006E3325">
        <w:rPr>
          <w:lang w:val="fr-FR"/>
        </w:rPr>
        <w:t>UNO devrait être activement impliquée dans le dédouanement des marchandises qui sont ou sont supposées être des substances réglementées et leur</w:t>
      </w:r>
      <w:r w:rsidR="00F5401A">
        <w:rPr>
          <w:lang w:val="fr-FR"/>
        </w:rPr>
        <w:t> </w:t>
      </w:r>
      <w:r w:rsidRPr="006E3325">
        <w:rPr>
          <w:lang w:val="fr-FR"/>
        </w:rPr>
        <w:t>technologie.</w:t>
      </w:r>
      <w:r w:rsidRPr="00714F80">
        <w:rPr>
          <w:lang w:val="fr-CA"/>
        </w:rPr>
        <w:t xml:space="preserve"> </w:t>
      </w:r>
      <w:r w:rsidR="004A5ACE" w:rsidRPr="004A5ACE">
        <w:rPr>
          <w:lang w:val="fr-FR"/>
        </w:rPr>
        <w:t>L</w:t>
      </w:r>
      <w:r w:rsidR="00F5401A">
        <w:rPr>
          <w:lang w:val="fr-FR"/>
        </w:rPr>
        <w:t>’</w:t>
      </w:r>
      <w:r w:rsidR="004A5ACE" w:rsidRPr="004A5ACE">
        <w:rPr>
          <w:lang w:val="fr-FR"/>
        </w:rPr>
        <w:t>UNO devrait également entreprendre des audits trimestriels de la base de données de SYDONIA</w:t>
      </w:r>
      <w:r w:rsidR="004A5ACE" w:rsidRPr="004A5ACE">
        <w:rPr>
          <w:rStyle w:val="FootnoteReference"/>
          <w:lang w:val="fr-FR"/>
        </w:rPr>
        <w:footnoteReference w:id="6"/>
      </w:r>
      <w:r w:rsidR="004A5ACE" w:rsidRPr="004A5ACE">
        <w:rPr>
          <w:lang w:val="fr-FR"/>
        </w:rPr>
        <w:t xml:space="preserve"> afin de permettre une vérification rapide des importations de frigorigènes signalées, d</w:t>
      </w:r>
      <w:r w:rsidR="00F5401A">
        <w:rPr>
          <w:lang w:val="fr-FR"/>
        </w:rPr>
        <w:t>’</w:t>
      </w:r>
      <w:r w:rsidR="004A5ACE" w:rsidRPr="004A5ACE">
        <w:rPr>
          <w:lang w:val="fr-FR"/>
        </w:rPr>
        <w:t>identifier toute</w:t>
      </w:r>
      <w:r w:rsidR="00183682">
        <w:rPr>
          <w:lang w:val="fr-FR"/>
        </w:rPr>
        <w:t>s les</w:t>
      </w:r>
      <w:r w:rsidR="004A5ACE" w:rsidRPr="004A5ACE">
        <w:rPr>
          <w:lang w:val="fr-FR"/>
        </w:rPr>
        <w:t xml:space="preserve"> inexactitude</w:t>
      </w:r>
      <w:r w:rsidR="00183682">
        <w:rPr>
          <w:lang w:val="fr-FR"/>
        </w:rPr>
        <w:t>s</w:t>
      </w:r>
      <w:r w:rsidR="004A5ACE" w:rsidRPr="004A5ACE">
        <w:rPr>
          <w:lang w:val="fr-FR"/>
        </w:rPr>
        <w:t xml:space="preserve"> persistante</w:t>
      </w:r>
      <w:r w:rsidR="00183682">
        <w:rPr>
          <w:lang w:val="fr-FR"/>
        </w:rPr>
        <w:t>s</w:t>
      </w:r>
      <w:r w:rsidR="004A5ACE" w:rsidRPr="004A5ACE">
        <w:rPr>
          <w:lang w:val="fr-FR"/>
        </w:rPr>
        <w:t xml:space="preserve"> et </w:t>
      </w:r>
      <w:r w:rsidR="00183682">
        <w:rPr>
          <w:lang w:val="fr-FR"/>
        </w:rPr>
        <w:t>les</w:t>
      </w:r>
      <w:r w:rsidR="004A5ACE" w:rsidRPr="004A5ACE">
        <w:rPr>
          <w:lang w:val="fr-FR"/>
        </w:rPr>
        <w:t xml:space="preserve"> résoudre.</w:t>
      </w:r>
      <w:r w:rsidR="004A5ACE" w:rsidRPr="00714F80" w:rsidDel="00996C4C">
        <w:rPr>
          <w:lang w:val="fr-CA"/>
        </w:rPr>
        <w:t xml:space="preserve"> </w:t>
      </w:r>
      <w:r w:rsidR="004A5ACE" w:rsidRPr="004A5ACE">
        <w:rPr>
          <w:lang w:val="fr-FR"/>
        </w:rPr>
        <w:t>L</w:t>
      </w:r>
      <w:r w:rsidR="00F5401A">
        <w:rPr>
          <w:lang w:val="fr-FR"/>
        </w:rPr>
        <w:t>’</w:t>
      </w:r>
      <w:r w:rsidR="004A5ACE" w:rsidRPr="004A5ACE">
        <w:rPr>
          <w:lang w:val="fr-FR"/>
        </w:rPr>
        <w:t>UNO devrait intensifier son programme d</w:t>
      </w:r>
      <w:r w:rsidR="00F5401A">
        <w:rPr>
          <w:lang w:val="fr-FR"/>
        </w:rPr>
        <w:t>’</w:t>
      </w:r>
      <w:r w:rsidR="004A5ACE" w:rsidRPr="004A5ACE">
        <w:rPr>
          <w:lang w:val="fr-FR"/>
        </w:rPr>
        <w:t>éducation et de sensibilisation ciblant toutes les parties prenantes, y compris le grand public, sur les obligations du pays en vertu du Protocole de Montréal, en mettant particulièrement l</w:t>
      </w:r>
      <w:r w:rsidR="00F5401A">
        <w:rPr>
          <w:lang w:val="fr-FR"/>
        </w:rPr>
        <w:t>’</w:t>
      </w:r>
      <w:r w:rsidR="004A5ACE" w:rsidRPr="004A5ACE">
        <w:rPr>
          <w:lang w:val="fr-FR"/>
        </w:rPr>
        <w:t>accent sur les réglementations récemment adoptées.</w:t>
      </w:r>
    </w:p>
    <w:p w14:paraId="2DD2F288" w14:textId="78D32F84" w:rsidR="008F4C07" w:rsidRPr="00714F80" w:rsidRDefault="004A5ACE" w:rsidP="00515FA5">
      <w:pPr>
        <w:pStyle w:val="Heading1"/>
        <w:rPr>
          <w:lang w:val="fr-CA"/>
        </w:rPr>
      </w:pPr>
      <w:r w:rsidRPr="004A5ACE">
        <w:rPr>
          <w:lang w:val="fr-FR"/>
        </w:rPr>
        <w:t xml:space="preserve">Un rapport mentionnait que les données du Département des douanes suggéraient que les importations ne sont pas correctement codées ou </w:t>
      </w:r>
      <w:r>
        <w:rPr>
          <w:lang w:val="fr-FR"/>
        </w:rPr>
        <w:t>ventilées</w:t>
      </w:r>
      <w:r w:rsidRPr="004A5ACE">
        <w:rPr>
          <w:lang w:val="fr-FR"/>
        </w:rPr>
        <w:t xml:space="preserve"> lors du dédouanement et de l</w:t>
      </w:r>
      <w:r w:rsidR="00F5401A">
        <w:rPr>
          <w:lang w:val="fr-FR"/>
        </w:rPr>
        <w:t>’</w:t>
      </w:r>
      <w:r w:rsidRPr="004A5ACE">
        <w:rPr>
          <w:lang w:val="fr-FR"/>
        </w:rPr>
        <w:t>enregistrement.</w:t>
      </w:r>
      <w:r w:rsidRPr="00714F80">
        <w:rPr>
          <w:lang w:val="fr-CA"/>
        </w:rPr>
        <w:t xml:space="preserve"> </w:t>
      </w:r>
      <w:r w:rsidRPr="004A5ACE">
        <w:rPr>
          <w:lang w:val="fr-FR"/>
        </w:rPr>
        <w:t>De cette façon, les données douanières n</w:t>
      </w:r>
      <w:r w:rsidR="00F5401A">
        <w:rPr>
          <w:lang w:val="fr-FR"/>
        </w:rPr>
        <w:t>’</w:t>
      </w:r>
      <w:r w:rsidRPr="004A5ACE">
        <w:rPr>
          <w:lang w:val="fr-FR"/>
        </w:rPr>
        <w:t>ont pas pu fournir un moyen adéquat de vérification des importations nationales de SAO.</w:t>
      </w:r>
      <w:r w:rsidRPr="00714F80">
        <w:rPr>
          <w:lang w:val="fr-CA"/>
        </w:rPr>
        <w:t xml:space="preserve"> </w:t>
      </w:r>
      <w:r w:rsidRPr="004A5ACE">
        <w:rPr>
          <w:lang w:val="fr-FR"/>
        </w:rPr>
        <w:t>En l</w:t>
      </w:r>
      <w:r w:rsidR="00F5401A">
        <w:rPr>
          <w:lang w:val="fr-FR"/>
        </w:rPr>
        <w:t>’</w:t>
      </w:r>
      <w:r w:rsidRPr="004A5ACE">
        <w:rPr>
          <w:lang w:val="fr-FR"/>
        </w:rPr>
        <w:t>absence d</w:t>
      </w:r>
      <w:r w:rsidR="00F5401A">
        <w:rPr>
          <w:lang w:val="fr-FR"/>
        </w:rPr>
        <w:t>’</w:t>
      </w:r>
      <w:r w:rsidRPr="004A5ACE">
        <w:rPr>
          <w:lang w:val="fr-FR"/>
        </w:rPr>
        <w:t>informations fiables du Département des douanes, la vérification des importations de SAO a été effectuée à l</w:t>
      </w:r>
      <w:r w:rsidR="00F5401A">
        <w:rPr>
          <w:lang w:val="fr-FR"/>
        </w:rPr>
        <w:t>’</w:t>
      </w:r>
      <w:r w:rsidRPr="004A5ACE">
        <w:rPr>
          <w:lang w:val="fr-FR"/>
        </w:rPr>
        <w:t>aide de documents d</w:t>
      </w:r>
      <w:r w:rsidR="00F5401A">
        <w:rPr>
          <w:lang w:val="fr-FR"/>
        </w:rPr>
        <w:t>’</w:t>
      </w:r>
      <w:r w:rsidRPr="004A5ACE">
        <w:rPr>
          <w:lang w:val="fr-FR"/>
        </w:rPr>
        <w:t>enregistrement des importations que l</w:t>
      </w:r>
      <w:r w:rsidR="00F5401A">
        <w:rPr>
          <w:lang w:val="fr-FR"/>
        </w:rPr>
        <w:t>’</w:t>
      </w:r>
      <w:r w:rsidRPr="004A5ACE">
        <w:rPr>
          <w:lang w:val="fr-FR"/>
        </w:rPr>
        <w:t xml:space="preserve">UNO exige des importateurs </w:t>
      </w:r>
      <w:r w:rsidR="00C617CE">
        <w:rPr>
          <w:lang w:val="fr-FR"/>
        </w:rPr>
        <w:t>faisant</w:t>
      </w:r>
      <w:r w:rsidRPr="004A5ACE">
        <w:rPr>
          <w:lang w:val="fr-FR"/>
        </w:rPr>
        <w:t xml:space="preserve"> une demande d</w:t>
      </w:r>
      <w:r w:rsidR="00F5401A">
        <w:rPr>
          <w:lang w:val="fr-FR"/>
        </w:rPr>
        <w:t>’</w:t>
      </w:r>
      <w:r w:rsidRPr="004A5ACE">
        <w:rPr>
          <w:lang w:val="fr-FR"/>
        </w:rPr>
        <w:t>octroi de quotas ou de permis d</w:t>
      </w:r>
      <w:r w:rsidR="00F5401A">
        <w:rPr>
          <w:lang w:val="fr-FR"/>
        </w:rPr>
        <w:t>’</w:t>
      </w:r>
      <w:r w:rsidRPr="004A5ACE">
        <w:rPr>
          <w:lang w:val="fr-FR"/>
        </w:rPr>
        <w:t>importation (</w:t>
      </w:r>
      <w:r w:rsidR="00104947" w:rsidRPr="004A5ACE">
        <w:rPr>
          <w:lang w:val="fr-FR"/>
        </w:rPr>
        <w:t>c.-à-d.</w:t>
      </w:r>
      <w:r w:rsidRPr="004A5ACE">
        <w:rPr>
          <w:lang w:val="fr-FR"/>
        </w:rPr>
        <w:t xml:space="preserve"> formulaires d</w:t>
      </w:r>
      <w:r w:rsidR="00F5401A">
        <w:rPr>
          <w:lang w:val="fr-FR"/>
        </w:rPr>
        <w:t>’</w:t>
      </w:r>
      <w:r w:rsidRPr="004A5ACE">
        <w:rPr>
          <w:lang w:val="fr-FR"/>
        </w:rPr>
        <w:t>enregistrement des importateurs, factures et formulaires de déclaration en douane).</w:t>
      </w:r>
      <w:r w:rsidRPr="00714F80">
        <w:rPr>
          <w:lang w:val="fr-CA"/>
        </w:rPr>
        <w:t xml:space="preserve"> </w:t>
      </w:r>
      <w:r w:rsidR="008F4C07" w:rsidRPr="008F4C07">
        <w:rPr>
          <w:lang w:val="fr-FR"/>
        </w:rPr>
        <w:t>Il est essentiel que l</w:t>
      </w:r>
      <w:r w:rsidR="00F5401A">
        <w:rPr>
          <w:lang w:val="fr-FR"/>
        </w:rPr>
        <w:t>’</w:t>
      </w:r>
      <w:r w:rsidR="008F4C07" w:rsidRPr="008F4C07">
        <w:rPr>
          <w:lang w:val="fr-FR"/>
        </w:rPr>
        <w:t>UNO soutienne les douanes dans leur transition du Système intégré de traitement du total des recettes fiscales (TRIPS</w:t>
      </w:r>
      <w:r w:rsidR="00104947">
        <w:rPr>
          <w:lang w:val="fr-FR"/>
        </w:rPr>
        <w:t xml:space="preserve"> en anglais</w:t>
      </w:r>
      <w:r w:rsidR="008F4C07" w:rsidRPr="008F4C07">
        <w:rPr>
          <w:lang w:val="fr-FR"/>
        </w:rPr>
        <w:t>)</w:t>
      </w:r>
      <w:r w:rsidR="008F4C07" w:rsidRPr="008F4C07">
        <w:rPr>
          <w:rStyle w:val="FootnoteReference"/>
          <w:lang w:val="fr-FR"/>
        </w:rPr>
        <w:footnoteReference w:id="7"/>
      </w:r>
      <w:r w:rsidR="00C617CE">
        <w:rPr>
          <w:lang w:val="fr-FR"/>
        </w:rPr>
        <w:t xml:space="preserve"> </w:t>
      </w:r>
      <w:r w:rsidR="00C617CE" w:rsidRPr="008F4C07">
        <w:rPr>
          <w:lang w:val="fr-FR"/>
        </w:rPr>
        <w:t>vers SYDONIA Monde</w:t>
      </w:r>
      <w:r w:rsidR="008F4C07" w:rsidRPr="008F4C07">
        <w:rPr>
          <w:lang w:val="fr-FR"/>
        </w:rPr>
        <w:t>.</w:t>
      </w:r>
      <w:r w:rsidR="008F4C07" w:rsidRPr="00714F80">
        <w:rPr>
          <w:lang w:val="fr-CA"/>
        </w:rPr>
        <w:t xml:space="preserve"> </w:t>
      </w:r>
      <w:r w:rsidR="00515FA5" w:rsidRPr="00515FA5">
        <w:rPr>
          <w:lang w:val="fr-FR"/>
        </w:rPr>
        <w:t>De même, la mise à jour des codes du Système harmonisé (HS) et du logiciel de saisie des données améliorera l</w:t>
      </w:r>
      <w:r w:rsidR="00F5401A">
        <w:rPr>
          <w:lang w:val="fr-FR"/>
        </w:rPr>
        <w:t>’</w:t>
      </w:r>
      <w:r w:rsidR="00515FA5" w:rsidRPr="00515FA5">
        <w:rPr>
          <w:lang w:val="fr-FR"/>
        </w:rPr>
        <w:t>établissement de rapports, ce qui devraient s</w:t>
      </w:r>
      <w:r w:rsidR="00F5401A">
        <w:rPr>
          <w:lang w:val="fr-FR"/>
        </w:rPr>
        <w:t>’</w:t>
      </w:r>
      <w:r w:rsidR="00515FA5" w:rsidRPr="00515FA5">
        <w:rPr>
          <w:lang w:val="fr-FR"/>
        </w:rPr>
        <w:t>accompagner de privilèges d</w:t>
      </w:r>
      <w:r w:rsidR="00F5401A">
        <w:rPr>
          <w:lang w:val="fr-FR"/>
        </w:rPr>
        <w:t>’</w:t>
      </w:r>
      <w:r w:rsidR="00515FA5" w:rsidRPr="00515FA5">
        <w:rPr>
          <w:lang w:val="fr-FR"/>
        </w:rPr>
        <w:t>accès des utilisateurs par l</w:t>
      </w:r>
      <w:r w:rsidR="00F5401A">
        <w:rPr>
          <w:lang w:val="fr-FR"/>
        </w:rPr>
        <w:t>’</w:t>
      </w:r>
      <w:r w:rsidR="00515FA5" w:rsidRPr="00515FA5">
        <w:rPr>
          <w:lang w:val="fr-FR"/>
        </w:rPr>
        <w:t>UNO pour assurer un suivi en ligne des importations de SAO, ce qui permettrait de recouper les informations avec les données fournies par les importateurs.</w:t>
      </w:r>
    </w:p>
    <w:p w14:paraId="10C1BF06" w14:textId="59B4D375" w:rsidR="00222C40" w:rsidRPr="00714F80" w:rsidRDefault="00515FA5" w:rsidP="00515FA5">
      <w:pPr>
        <w:pStyle w:val="Heading1"/>
        <w:keepNext/>
        <w:keepLines/>
        <w:widowControl w:val="0"/>
        <w:numPr>
          <w:ilvl w:val="0"/>
          <w:numId w:val="0"/>
        </w:numPr>
        <w:spacing w:before="240"/>
        <w:rPr>
          <w:b/>
          <w:lang w:val="fr-CA" w:eastAsia="ja-JP"/>
        </w:rPr>
      </w:pPr>
      <w:r w:rsidRPr="00515FA5">
        <w:rPr>
          <w:b/>
          <w:lang w:val="fr-FR" w:eastAsia="ja-JP"/>
        </w:rPr>
        <w:t>RAP pour des accords pluriannuels et autres RAP en suspens</w:t>
      </w:r>
    </w:p>
    <w:p w14:paraId="5EC7813D" w14:textId="2ACFAF0F" w:rsidR="00515FA5" w:rsidRPr="00714F80" w:rsidRDefault="00515FA5" w:rsidP="00515FA5">
      <w:pPr>
        <w:pStyle w:val="Heading1"/>
        <w:widowControl w:val="0"/>
        <w:numPr>
          <w:ilvl w:val="0"/>
          <w:numId w:val="21"/>
        </w:numPr>
        <w:tabs>
          <w:tab w:val="clear" w:pos="0"/>
          <w:tab w:val="num" w:pos="720"/>
        </w:tabs>
        <w:rPr>
          <w:lang w:val="fr-CA"/>
        </w:rPr>
      </w:pPr>
      <w:r w:rsidRPr="00515FA5">
        <w:rPr>
          <w:lang w:val="fr-FR"/>
        </w:rPr>
        <w:t>Le Secrétariat prend note avec satisfaction des efforts déployés par certaines agences bilatérales et d</w:t>
      </w:r>
      <w:r w:rsidR="00F5401A">
        <w:rPr>
          <w:lang w:val="fr-FR"/>
        </w:rPr>
        <w:t>’</w:t>
      </w:r>
      <w:r w:rsidRPr="00515FA5">
        <w:rPr>
          <w:lang w:val="fr-FR"/>
        </w:rPr>
        <w:t>exécution pour résorber le retard pris</w:t>
      </w:r>
      <w:r w:rsidR="00F5401A">
        <w:rPr>
          <w:lang w:val="fr-FR"/>
        </w:rPr>
        <w:t> </w:t>
      </w:r>
      <w:r w:rsidRPr="00515FA5">
        <w:rPr>
          <w:lang w:val="fr-FR"/>
        </w:rPr>
        <w:t>par les RAP en souffrance.</w:t>
      </w:r>
      <w:r w:rsidRPr="00714F80">
        <w:rPr>
          <w:lang w:val="fr-CA"/>
        </w:rPr>
        <w:t xml:space="preserve"> </w:t>
      </w:r>
      <w:r w:rsidRPr="00515FA5">
        <w:rPr>
          <w:lang w:val="fr-FR"/>
        </w:rPr>
        <w:t>Le Secrétariat souligne à nouveau l</w:t>
      </w:r>
      <w:r w:rsidR="00F5401A">
        <w:rPr>
          <w:lang w:val="fr-FR"/>
        </w:rPr>
        <w:t>’</w:t>
      </w:r>
      <w:r w:rsidRPr="00515FA5">
        <w:rPr>
          <w:lang w:val="fr-FR"/>
        </w:rPr>
        <w:t>importance de remettre les RAP pour la phase I du PGEH,</w:t>
      </w:r>
      <w:r w:rsidR="00F5401A">
        <w:rPr>
          <w:lang w:val="fr-FR"/>
        </w:rPr>
        <w:t> </w:t>
      </w:r>
      <w:r w:rsidRPr="00515FA5">
        <w:rPr>
          <w:lang w:val="fr-FR"/>
        </w:rPr>
        <w:t>ces rapports étant obligatoires pour l</w:t>
      </w:r>
      <w:r w:rsidR="00F5401A">
        <w:rPr>
          <w:lang w:val="fr-FR"/>
        </w:rPr>
        <w:t>’</w:t>
      </w:r>
      <w:r w:rsidRPr="00515FA5">
        <w:rPr>
          <w:lang w:val="fr-FR"/>
        </w:rPr>
        <w:t>approbation de la phase II</w:t>
      </w:r>
      <w:r w:rsidRPr="00515FA5">
        <w:rPr>
          <w:rStyle w:val="FootnoteReference"/>
        </w:rPr>
        <w:footnoteReference w:id="8"/>
      </w:r>
      <w:r w:rsidR="004A08F4">
        <w:rPr>
          <w:lang w:val="fr-FR"/>
        </w:rPr>
        <w:t>.</w:t>
      </w:r>
    </w:p>
    <w:p w14:paraId="27A9624C" w14:textId="2FA269E5" w:rsidR="00222C40" w:rsidRPr="00515FA5" w:rsidRDefault="00515FA5" w:rsidP="00515FA5">
      <w:pPr>
        <w:pStyle w:val="Heading1"/>
        <w:keepNext/>
        <w:keepLines/>
        <w:numPr>
          <w:ilvl w:val="0"/>
          <w:numId w:val="0"/>
        </w:numPr>
        <w:tabs>
          <w:tab w:val="num" w:pos="720"/>
        </w:tabs>
        <w:rPr>
          <w:b/>
          <w:lang w:val="en-US"/>
        </w:rPr>
      </w:pPr>
      <w:r w:rsidRPr="00515FA5">
        <w:rPr>
          <w:b/>
          <w:lang w:val="fr-FR"/>
        </w:rPr>
        <w:t>RECOMMANDATION</w:t>
      </w:r>
    </w:p>
    <w:p w14:paraId="5EA9E300" w14:textId="18FA81DC" w:rsidR="00515FA5" w:rsidRPr="00714F80" w:rsidRDefault="00515FA5" w:rsidP="00515FA5">
      <w:pPr>
        <w:pStyle w:val="Heading1"/>
        <w:widowControl w:val="0"/>
        <w:numPr>
          <w:ilvl w:val="0"/>
          <w:numId w:val="21"/>
        </w:numPr>
        <w:tabs>
          <w:tab w:val="clear" w:pos="0"/>
          <w:tab w:val="num" w:pos="720"/>
        </w:tabs>
        <w:rPr>
          <w:lang w:val="fr-CA"/>
        </w:rPr>
      </w:pPr>
      <w:r w:rsidRPr="00515FA5">
        <w:rPr>
          <w:lang w:val="fr-FR"/>
        </w:rPr>
        <w:t>Le Comité exécutif pourrait envisager :</w:t>
      </w:r>
      <w:r w:rsidRPr="00714F80">
        <w:rPr>
          <w:lang w:val="fr-CA"/>
        </w:rPr>
        <w:t xml:space="preserve"> </w:t>
      </w:r>
    </w:p>
    <w:p w14:paraId="0AB3DFB2" w14:textId="6289E3D7" w:rsidR="00515FA5" w:rsidRPr="00714F80" w:rsidRDefault="00515FA5" w:rsidP="00515FA5">
      <w:pPr>
        <w:pStyle w:val="Heading2"/>
        <w:numPr>
          <w:ilvl w:val="1"/>
          <w:numId w:val="21"/>
        </w:numPr>
        <w:tabs>
          <w:tab w:val="clear" w:pos="0"/>
          <w:tab w:val="num" w:pos="-540"/>
        </w:tabs>
        <w:rPr>
          <w:lang w:val="fr-CA"/>
        </w:rPr>
      </w:pPr>
      <w:r>
        <w:rPr>
          <w:lang w:val="fr-FR"/>
        </w:rPr>
        <w:t>De p</w:t>
      </w:r>
      <w:r w:rsidRPr="00515FA5">
        <w:rPr>
          <w:lang w:val="fr-FR"/>
        </w:rPr>
        <w:t>rendre note du rapport global d</w:t>
      </w:r>
      <w:r w:rsidR="00F5401A">
        <w:rPr>
          <w:lang w:val="fr-FR"/>
        </w:rPr>
        <w:t>’</w:t>
      </w:r>
      <w:r w:rsidRPr="00515FA5">
        <w:rPr>
          <w:lang w:val="fr-FR"/>
        </w:rPr>
        <w:t>achèvement de projet (RAP) de 2021, figurant dans le document UNEP/OzL.Pro/ExCom/87/10 ;</w:t>
      </w:r>
      <w:r w:rsidRPr="00714F80">
        <w:rPr>
          <w:lang w:val="fr-CA"/>
        </w:rPr>
        <w:t xml:space="preserve"> </w:t>
      </w:r>
    </w:p>
    <w:p w14:paraId="3C9C86EA" w14:textId="48BC024F" w:rsidR="00515FA5" w:rsidRPr="00714F80" w:rsidRDefault="00515FA5" w:rsidP="00E90CE9">
      <w:pPr>
        <w:pStyle w:val="Heading2"/>
        <w:keepNext/>
        <w:keepLines/>
        <w:numPr>
          <w:ilvl w:val="1"/>
          <w:numId w:val="21"/>
        </w:numPr>
        <w:tabs>
          <w:tab w:val="clear" w:pos="0"/>
          <w:tab w:val="num" w:pos="-540"/>
        </w:tabs>
        <w:rPr>
          <w:lang w:val="fr-CA"/>
        </w:rPr>
      </w:pPr>
      <w:r>
        <w:rPr>
          <w:lang w:val="fr-FR"/>
        </w:rPr>
        <w:lastRenderedPageBreak/>
        <w:t>D</w:t>
      </w:r>
      <w:r w:rsidR="00F5401A">
        <w:rPr>
          <w:lang w:val="fr-FR"/>
        </w:rPr>
        <w:t>’</w:t>
      </w:r>
      <w:r>
        <w:rPr>
          <w:lang w:val="fr-FR"/>
        </w:rPr>
        <w:t>e</w:t>
      </w:r>
      <w:r w:rsidRPr="00515FA5">
        <w:rPr>
          <w:lang w:val="fr-FR"/>
        </w:rPr>
        <w:t>xhorter les agences bilatérales et d</w:t>
      </w:r>
      <w:r w:rsidR="00F5401A">
        <w:rPr>
          <w:lang w:val="fr-FR"/>
        </w:rPr>
        <w:t>’</w:t>
      </w:r>
      <w:r w:rsidRPr="00515FA5">
        <w:rPr>
          <w:lang w:val="fr-FR"/>
        </w:rPr>
        <w:t>exécution à soumettre à la 88</w:t>
      </w:r>
      <w:r w:rsidRPr="00515FA5">
        <w:rPr>
          <w:vertAlign w:val="superscript"/>
          <w:lang w:val="fr-FR"/>
        </w:rPr>
        <w:t>e</w:t>
      </w:r>
      <w:r w:rsidRPr="00515FA5">
        <w:rPr>
          <w:lang w:val="fr-FR"/>
        </w:rPr>
        <w:t xml:space="preserve"> réunion les rapports d</w:t>
      </w:r>
      <w:r w:rsidR="00F5401A">
        <w:rPr>
          <w:lang w:val="fr-FR"/>
        </w:rPr>
        <w:t>’</w:t>
      </w:r>
      <w:r w:rsidRPr="00515FA5">
        <w:rPr>
          <w:lang w:val="fr-FR"/>
        </w:rPr>
        <w:t>achèvement de projet en souffrance concernant des accords pluriannuels et des projets individuels, ou bien d</w:t>
      </w:r>
      <w:r w:rsidR="00F5401A">
        <w:rPr>
          <w:lang w:val="fr-FR"/>
        </w:rPr>
        <w:t>’</w:t>
      </w:r>
      <w:r w:rsidRPr="00515FA5">
        <w:rPr>
          <w:lang w:val="fr-FR"/>
        </w:rPr>
        <w:t>exposer les raisons pour lesquelles ces rapports n</w:t>
      </w:r>
      <w:r w:rsidR="00F5401A">
        <w:rPr>
          <w:lang w:val="fr-FR"/>
        </w:rPr>
        <w:t>’</w:t>
      </w:r>
      <w:r w:rsidRPr="00515FA5">
        <w:rPr>
          <w:lang w:val="fr-FR"/>
        </w:rPr>
        <w:t>ont pas pu être soumis ;</w:t>
      </w:r>
      <w:r w:rsidRPr="00714F80">
        <w:rPr>
          <w:lang w:val="fr-CA"/>
        </w:rPr>
        <w:t xml:space="preserve"> </w:t>
      </w:r>
    </w:p>
    <w:p w14:paraId="4098B024" w14:textId="22561EF0" w:rsidR="00515FA5" w:rsidRPr="00714F80" w:rsidRDefault="00515FA5" w:rsidP="00E90CE9">
      <w:pPr>
        <w:pStyle w:val="Heading2"/>
        <w:keepNext/>
        <w:keepLines/>
        <w:numPr>
          <w:ilvl w:val="1"/>
          <w:numId w:val="21"/>
        </w:numPr>
        <w:tabs>
          <w:tab w:val="clear" w:pos="0"/>
          <w:tab w:val="num" w:pos="-540"/>
        </w:tabs>
        <w:rPr>
          <w:lang w:val="fr-CA"/>
        </w:rPr>
      </w:pPr>
      <w:r w:rsidRPr="00515FA5">
        <w:rPr>
          <w:lang w:val="fr-FR"/>
        </w:rPr>
        <w:t>D</w:t>
      </w:r>
      <w:r w:rsidR="00F5401A">
        <w:rPr>
          <w:lang w:val="fr-FR"/>
        </w:rPr>
        <w:t>’</w:t>
      </w:r>
      <w:r w:rsidRPr="00515FA5">
        <w:rPr>
          <w:lang w:val="fr-FR"/>
        </w:rPr>
        <w:t>exhorter les agences principales et de coopération à coordonner étroitement leurs travaux en vue de finaliser leurs sections des RAP, afin de permettre à l</w:t>
      </w:r>
      <w:r w:rsidR="00F5401A">
        <w:rPr>
          <w:lang w:val="fr-FR"/>
        </w:rPr>
        <w:t>’</w:t>
      </w:r>
      <w:r w:rsidRPr="00515FA5">
        <w:rPr>
          <w:lang w:val="fr-FR"/>
        </w:rPr>
        <w:t>agence d</w:t>
      </w:r>
      <w:r w:rsidR="00F5401A">
        <w:rPr>
          <w:lang w:val="fr-FR"/>
        </w:rPr>
        <w:t>’</w:t>
      </w:r>
      <w:r w:rsidRPr="00515FA5">
        <w:rPr>
          <w:lang w:val="fr-FR"/>
        </w:rPr>
        <w:t>exécution principale de les remettre aux dates prévues ;</w:t>
      </w:r>
    </w:p>
    <w:p w14:paraId="477AA9EF" w14:textId="3F794B3A" w:rsidR="00515FA5" w:rsidRPr="00714F80" w:rsidRDefault="00515FA5" w:rsidP="00E90CE9">
      <w:pPr>
        <w:pStyle w:val="Heading2"/>
        <w:keepNext/>
        <w:keepLines/>
        <w:numPr>
          <w:ilvl w:val="1"/>
          <w:numId w:val="21"/>
        </w:numPr>
        <w:tabs>
          <w:tab w:val="clear" w:pos="0"/>
          <w:tab w:val="num" w:pos="-540"/>
        </w:tabs>
        <w:rPr>
          <w:lang w:val="fr-CA"/>
        </w:rPr>
      </w:pPr>
      <w:r w:rsidRPr="00515FA5">
        <w:rPr>
          <w:lang w:val="fr-FR"/>
        </w:rPr>
        <w:t>D</w:t>
      </w:r>
      <w:r w:rsidR="00F5401A">
        <w:rPr>
          <w:lang w:val="fr-FR"/>
        </w:rPr>
        <w:t>’</w:t>
      </w:r>
      <w:r w:rsidRPr="00515FA5">
        <w:rPr>
          <w:lang w:val="fr-FR"/>
        </w:rPr>
        <w:t>exhorter les agences bilatérales et d</w:t>
      </w:r>
      <w:r w:rsidR="00F5401A">
        <w:rPr>
          <w:lang w:val="fr-FR"/>
        </w:rPr>
        <w:t>’</w:t>
      </w:r>
      <w:r w:rsidRPr="00515FA5">
        <w:rPr>
          <w:lang w:val="fr-FR"/>
        </w:rPr>
        <w:t xml:space="preserve">exécution à consigner de manière claire, bien rédigée et détaillée, </w:t>
      </w:r>
      <w:r w:rsidR="00714F80" w:rsidRPr="00515FA5">
        <w:rPr>
          <w:lang w:val="fr-FR"/>
        </w:rPr>
        <w:t>les enseignements tirés</w:t>
      </w:r>
      <w:r w:rsidRPr="00515FA5">
        <w:rPr>
          <w:lang w:val="fr-FR"/>
        </w:rPr>
        <w:t xml:space="preserve"> lorsqu</w:t>
      </w:r>
      <w:r w:rsidR="00F5401A">
        <w:rPr>
          <w:lang w:val="fr-FR"/>
        </w:rPr>
        <w:t>’</w:t>
      </w:r>
      <w:r w:rsidRPr="00515FA5">
        <w:rPr>
          <w:lang w:val="fr-FR"/>
        </w:rPr>
        <w:t>elles soumettent leurs RAP ; et</w:t>
      </w:r>
    </w:p>
    <w:p w14:paraId="0261C269" w14:textId="165958E0" w:rsidR="00515FA5" w:rsidRPr="00714F80" w:rsidRDefault="00515FA5" w:rsidP="00E90CE9">
      <w:pPr>
        <w:pStyle w:val="Heading2"/>
        <w:keepNext/>
        <w:keepLines/>
        <w:numPr>
          <w:ilvl w:val="1"/>
          <w:numId w:val="21"/>
        </w:numPr>
        <w:tabs>
          <w:tab w:val="clear" w:pos="0"/>
          <w:tab w:val="num" w:pos="-540"/>
        </w:tabs>
        <w:rPr>
          <w:lang w:val="fr-CA"/>
        </w:rPr>
      </w:pPr>
      <w:r w:rsidRPr="00515FA5">
        <w:rPr>
          <w:lang w:val="fr-FR"/>
        </w:rPr>
        <w:t>D</w:t>
      </w:r>
      <w:r w:rsidR="00F5401A">
        <w:rPr>
          <w:lang w:val="fr-FR"/>
        </w:rPr>
        <w:t>’</w:t>
      </w:r>
      <w:r w:rsidRPr="00515FA5">
        <w:rPr>
          <w:lang w:val="fr-FR"/>
        </w:rPr>
        <w:t>inviter toutes les personnes impliquées dans la préparation et la mise en œuvre des accords pluriannuels et des projets individuels, à tenir compte le cas échéant des enseignements tirés des RAP lors de la préparation et de la mise en œuvre de futurs projets.</w:t>
      </w:r>
    </w:p>
    <w:p w14:paraId="0653831A" w14:textId="77777777" w:rsidR="00222C40" w:rsidRPr="00714F80" w:rsidRDefault="00222C40" w:rsidP="00605D6D">
      <w:pPr>
        <w:pStyle w:val="Heading2"/>
        <w:numPr>
          <w:ilvl w:val="1"/>
          <w:numId w:val="1"/>
        </w:numPr>
        <w:spacing w:before="120"/>
        <w:rPr>
          <w:lang w:val="fr-CA"/>
        </w:rPr>
        <w:sectPr w:rsidR="00222C40" w:rsidRPr="00714F80" w:rsidSect="002F2E98">
          <w:headerReference w:type="even" r:id="rId13"/>
          <w:headerReference w:type="default" r:id="rId14"/>
          <w:footerReference w:type="even" r:id="rId15"/>
          <w:footerReference w:type="default" r:id="rId16"/>
          <w:footerReference w:type="first" r:id="rId17"/>
          <w:pgSz w:w="12240" w:h="15840" w:code="1"/>
          <w:pgMar w:top="720" w:right="1440" w:bottom="851" w:left="1440" w:header="720" w:footer="475" w:gutter="0"/>
          <w:cols w:space="720"/>
          <w:titlePg/>
        </w:sectPr>
      </w:pPr>
    </w:p>
    <w:p w14:paraId="14237A38" w14:textId="77777777" w:rsidR="00E90CE9" w:rsidRPr="00331D9A" w:rsidRDefault="00E90CE9" w:rsidP="004A08F4">
      <w:pPr>
        <w:pStyle w:val="Heading2"/>
        <w:keepNext/>
        <w:keepLines/>
        <w:numPr>
          <w:ilvl w:val="0"/>
          <w:numId w:val="0"/>
        </w:numPr>
        <w:tabs>
          <w:tab w:val="left" w:pos="720"/>
        </w:tabs>
        <w:jc w:val="center"/>
        <w:rPr>
          <w:b/>
          <w:lang w:val="fr-CA"/>
        </w:rPr>
      </w:pPr>
    </w:p>
    <w:p w14:paraId="1B34C861" w14:textId="5C21B4D7" w:rsidR="004A08F4" w:rsidRDefault="004A08F4" w:rsidP="004A08F4">
      <w:pPr>
        <w:pStyle w:val="Heading2"/>
        <w:keepNext/>
        <w:keepLines/>
        <w:numPr>
          <w:ilvl w:val="0"/>
          <w:numId w:val="0"/>
        </w:numPr>
        <w:tabs>
          <w:tab w:val="left" w:pos="720"/>
        </w:tabs>
        <w:jc w:val="center"/>
        <w:rPr>
          <w:b/>
        </w:rPr>
      </w:pPr>
      <w:r>
        <w:rPr>
          <w:b/>
        </w:rPr>
        <w:t>Annex I</w:t>
      </w:r>
    </w:p>
    <w:p w14:paraId="52F7E311" w14:textId="77777777" w:rsidR="004A08F4" w:rsidRDefault="004A08F4" w:rsidP="004A08F4">
      <w:pPr>
        <w:widowControl w:val="0"/>
        <w:spacing w:after="240"/>
        <w:jc w:val="center"/>
        <w:rPr>
          <w:b/>
        </w:rPr>
      </w:pPr>
      <w:r>
        <w:rPr>
          <w:b/>
        </w:rPr>
        <w:t>MYA PCRs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517"/>
        <w:gridCol w:w="1463"/>
        <w:gridCol w:w="1389"/>
      </w:tblGrid>
      <w:tr w:rsidR="004A08F4" w:rsidRPr="0097510B" w14:paraId="6B69568E" w14:textId="77777777" w:rsidTr="0082204C">
        <w:tc>
          <w:tcPr>
            <w:tcW w:w="1152" w:type="pct"/>
            <w:tcBorders>
              <w:top w:val="single" w:sz="4" w:space="0" w:color="auto"/>
              <w:left w:val="single" w:sz="4" w:space="0" w:color="auto"/>
              <w:bottom w:val="single" w:sz="4" w:space="0" w:color="auto"/>
              <w:right w:val="single" w:sz="4" w:space="0" w:color="auto"/>
            </w:tcBorders>
            <w:vAlign w:val="center"/>
            <w:hideMark/>
          </w:tcPr>
          <w:p w14:paraId="0ACED500" w14:textId="77777777" w:rsidR="004A08F4" w:rsidRPr="0097510B" w:rsidRDefault="004A08F4" w:rsidP="0082204C">
            <w:pPr>
              <w:widowControl w:val="0"/>
              <w:jc w:val="center"/>
              <w:rPr>
                <w:b/>
                <w:bCs/>
                <w:sz w:val="20"/>
                <w:szCs w:val="20"/>
                <w:lang w:val="en-CA" w:eastAsia="en-CA"/>
              </w:rPr>
            </w:pPr>
            <w:r w:rsidRPr="0097510B">
              <w:rPr>
                <w:b/>
                <w:bCs/>
                <w:sz w:val="20"/>
                <w:szCs w:val="20"/>
                <w:lang w:val="en-CA" w:eastAsia="en-CA"/>
              </w:rPr>
              <w:t>Country</w:t>
            </w:r>
          </w:p>
        </w:tc>
        <w:tc>
          <w:tcPr>
            <w:tcW w:w="2358" w:type="pct"/>
            <w:tcBorders>
              <w:top w:val="single" w:sz="4" w:space="0" w:color="auto"/>
              <w:left w:val="single" w:sz="4" w:space="0" w:color="auto"/>
              <w:bottom w:val="single" w:sz="4" w:space="0" w:color="auto"/>
              <w:right w:val="single" w:sz="4" w:space="0" w:color="auto"/>
            </w:tcBorders>
            <w:vAlign w:val="center"/>
            <w:hideMark/>
          </w:tcPr>
          <w:p w14:paraId="3BCE21F7" w14:textId="77777777" w:rsidR="004A08F4" w:rsidRPr="0097510B" w:rsidRDefault="004A08F4" w:rsidP="0082204C">
            <w:pPr>
              <w:widowControl w:val="0"/>
              <w:jc w:val="center"/>
              <w:rPr>
                <w:b/>
                <w:bCs/>
                <w:sz w:val="20"/>
                <w:szCs w:val="20"/>
                <w:lang w:val="en-CA" w:eastAsia="en-CA"/>
              </w:rPr>
            </w:pPr>
            <w:r w:rsidRPr="0097510B">
              <w:rPr>
                <w:b/>
                <w:bCs/>
                <w:sz w:val="20"/>
                <w:szCs w:val="20"/>
                <w:lang w:val="en-CA" w:eastAsia="en-CA"/>
              </w:rPr>
              <w:t>MYA sector</w:t>
            </w:r>
          </w:p>
        </w:tc>
        <w:tc>
          <w:tcPr>
            <w:tcW w:w="764" w:type="pct"/>
            <w:tcBorders>
              <w:top w:val="single" w:sz="4" w:space="0" w:color="auto"/>
              <w:left w:val="single" w:sz="4" w:space="0" w:color="auto"/>
              <w:bottom w:val="single" w:sz="4" w:space="0" w:color="auto"/>
              <w:right w:val="single" w:sz="4" w:space="0" w:color="auto"/>
            </w:tcBorders>
            <w:vAlign w:val="center"/>
            <w:hideMark/>
          </w:tcPr>
          <w:p w14:paraId="6DF9C6B6" w14:textId="77777777" w:rsidR="004A08F4" w:rsidRPr="0097510B" w:rsidRDefault="004A08F4" w:rsidP="0082204C">
            <w:pPr>
              <w:widowControl w:val="0"/>
              <w:jc w:val="center"/>
              <w:rPr>
                <w:b/>
                <w:bCs/>
                <w:sz w:val="20"/>
                <w:szCs w:val="20"/>
                <w:lang w:val="en-CA" w:eastAsia="en-CA"/>
              </w:rPr>
            </w:pPr>
            <w:r w:rsidRPr="0097510B">
              <w:rPr>
                <w:b/>
                <w:bCs/>
                <w:sz w:val="20"/>
                <w:szCs w:val="20"/>
                <w:lang w:val="en-CA" w:eastAsia="en-CA"/>
              </w:rPr>
              <w:t>Lead agency</w:t>
            </w:r>
          </w:p>
        </w:tc>
        <w:tc>
          <w:tcPr>
            <w:tcW w:w="725" w:type="pct"/>
            <w:tcBorders>
              <w:top w:val="single" w:sz="4" w:space="0" w:color="auto"/>
              <w:left w:val="single" w:sz="4" w:space="0" w:color="auto"/>
              <w:bottom w:val="single" w:sz="4" w:space="0" w:color="auto"/>
              <w:right w:val="single" w:sz="4" w:space="0" w:color="auto"/>
            </w:tcBorders>
            <w:vAlign w:val="center"/>
            <w:hideMark/>
          </w:tcPr>
          <w:p w14:paraId="224926FC" w14:textId="77777777" w:rsidR="004A08F4" w:rsidRPr="0097510B" w:rsidRDefault="004A08F4" w:rsidP="0082204C">
            <w:pPr>
              <w:widowControl w:val="0"/>
              <w:jc w:val="center"/>
              <w:rPr>
                <w:b/>
                <w:bCs/>
                <w:sz w:val="20"/>
                <w:szCs w:val="20"/>
                <w:lang w:val="en-CA" w:eastAsia="en-CA"/>
              </w:rPr>
            </w:pPr>
            <w:r w:rsidRPr="0097510B">
              <w:rPr>
                <w:b/>
                <w:bCs/>
                <w:sz w:val="20"/>
                <w:szCs w:val="20"/>
                <w:lang w:val="en-CA" w:eastAsia="en-CA"/>
              </w:rPr>
              <w:t>Cooperating agencies</w:t>
            </w:r>
          </w:p>
        </w:tc>
      </w:tr>
      <w:tr w:rsidR="004A08F4" w:rsidRPr="0097510B" w14:paraId="3A0E6BAB" w14:textId="77777777" w:rsidTr="0082204C">
        <w:tc>
          <w:tcPr>
            <w:tcW w:w="1152" w:type="pct"/>
            <w:tcBorders>
              <w:top w:val="single" w:sz="4" w:space="0" w:color="auto"/>
              <w:left w:val="single" w:sz="4" w:space="0" w:color="auto"/>
              <w:bottom w:val="single" w:sz="4" w:space="0" w:color="auto"/>
              <w:right w:val="single" w:sz="4" w:space="0" w:color="auto"/>
            </w:tcBorders>
            <w:vAlign w:val="center"/>
          </w:tcPr>
          <w:p w14:paraId="432A6A97" w14:textId="77777777" w:rsidR="004A08F4" w:rsidRPr="0097510B" w:rsidRDefault="004A08F4" w:rsidP="0082204C">
            <w:pPr>
              <w:widowControl w:val="0"/>
              <w:jc w:val="left"/>
              <w:rPr>
                <w:b/>
                <w:bCs/>
                <w:sz w:val="20"/>
                <w:szCs w:val="20"/>
                <w:lang w:val="en-CA" w:eastAsia="en-CA"/>
              </w:rPr>
            </w:pPr>
            <w:r w:rsidRPr="0097510B">
              <w:rPr>
                <w:sz w:val="20"/>
                <w:szCs w:val="20"/>
                <w:lang w:val="en-US"/>
              </w:rPr>
              <w:t>Bahrain</w:t>
            </w:r>
          </w:p>
        </w:tc>
        <w:tc>
          <w:tcPr>
            <w:tcW w:w="2358" w:type="pct"/>
            <w:tcBorders>
              <w:top w:val="single" w:sz="4" w:space="0" w:color="auto"/>
              <w:left w:val="single" w:sz="4" w:space="0" w:color="auto"/>
              <w:bottom w:val="single" w:sz="4" w:space="0" w:color="auto"/>
              <w:right w:val="single" w:sz="4" w:space="0" w:color="auto"/>
            </w:tcBorders>
            <w:vAlign w:val="center"/>
          </w:tcPr>
          <w:p w14:paraId="4D47F700" w14:textId="77777777" w:rsidR="004A08F4" w:rsidRPr="0097510B" w:rsidRDefault="004A08F4" w:rsidP="0082204C">
            <w:pPr>
              <w:widowControl w:val="0"/>
              <w:jc w:val="left"/>
              <w:rPr>
                <w:sz w:val="20"/>
                <w:szCs w:val="20"/>
                <w:lang w:val="en-US"/>
              </w:rPr>
            </w:pPr>
            <w:r w:rsidRPr="0097510B">
              <w:rPr>
                <w:sz w:val="20"/>
                <w:szCs w:val="20"/>
                <w:lang w:val="en-US"/>
              </w:rPr>
              <w:t>CFC Phase Out Plan</w:t>
            </w:r>
          </w:p>
        </w:tc>
        <w:tc>
          <w:tcPr>
            <w:tcW w:w="764" w:type="pct"/>
            <w:tcBorders>
              <w:top w:val="single" w:sz="4" w:space="0" w:color="auto"/>
              <w:left w:val="single" w:sz="4" w:space="0" w:color="auto"/>
              <w:bottom w:val="single" w:sz="4" w:space="0" w:color="auto"/>
              <w:right w:val="single" w:sz="4" w:space="0" w:color="auto"/>
            </w:tcBorders>
            <w:vAlign w:val="center"/>
          </w:tcPr>
          <w:p w14:paraId="5CDB942A" w14:textId="77777777" w:rsidR="004A08F4" w:rsidRPr="0097510B" w:rsidRDefault="004A08F4" w:rsidP="0082204C">
            <w:pPr>
              <w:widowControl w:val="0"/>
              <w:jc w:val="left"/>
              <w:rPr>
                <w:bCs/>
                <w:sz w:val="20"/>
                <w:szCs w:val="20"/>
                <w:lang w:val="en-CA" w:eastAsia="en-CA"/>
              </w:rPr>
            </w:pPr>
            <w:r w:rsidRPr="0097510B">
              <w:rPr>
                <w:bCs/>
                <w:sz w:val="20"/>
                <w:szCs w:val="20"/>
                <w:lang w:val="en-CA" w:eastAsia="en-CA"/>
              </w:rPr>
              <w:t>UNEP</w:t>
            </w:r>
          </w:p>
        </w:tc>
        <w:tc>
          <w:tcPr>
            <w:tcW w:w="725" w:type="pct"/>
            <w:tcBorders>
              <w:top w:val="single" w:sz="4" w:space="0" w:color="auto"/>
              <w:left w:val="single" w:sz="4" w:space="0" w:color="auto"/>
              <w:bottom w:val="single" w:sz="4" w:space="0" w:color="auto"/>
              <w:right w:val="single" w:sz="4" w:space="0" w:color="auto"/>
            </w:tcBorders>
            <w:vAlign w:val="center"/>
          </w:tcPr>
          <w:p w14:paraId="6ECFEEF0" w14:textId="77777777" w:rsidR="004A08F4" w:rsidRPr="0097510B" w:rsidRDefault="004A08F4" w:rsidP="0082204C">
            <w:pPr>
              <w:widowControl w:val="0"/>
              <w:jc w:val="left"/>
              <w:rPr>
                <w:bCs/>
                <w:sz w:val="20"/>
                <w:szCs w:val="20"/>
                <w:lang w:val="en-CA" w:eastAsia="en-CA"/>
              </w:rPr>
            </w:pPr>
            <w:r w:rsidRPr="0097510B">
              <w:rPr>
                <w:bCs/>
                <w:sz w:val="20"/>
                <w:szCs w:val="20"/>
                <w:lang w:val="en-CA" w:eastAsia="en-CA"/>
              </w:rPr>
              <w:t>UNDP</w:t>
            </w:r>
          </w:p>
        </w:tc>
      </w:tr>
      <w:tr w:rsidR="004A08F4" w:rsidRPr="0097510B" w14:paraId="71D4A7BB" w14:textId="77777777" w:rsidTr="0082204C">
        <w:tc>
          <w:tcPr>
            <w:tcW w:w="1152" w:type="pct"/>
            <w:tcBorders>
              <w:top w:val="single" w:sz="4" w:space="0" w:color="auto"/>
              <w:left w:val="single" w:sz="4" w:space="0" w:color="auto"/>
              <w:bottom w:val="single" w:sz="4" w:space="0" w:color="auto"/>
              <w:right w:val="single" w:sz="4" w:space="0" w:color="auto"/>
            </w:tcBorders>
            <w:vAlign w:val="center"/>
          </w:tcPr>
          <w:p w14:paraId="564549F9" w14:textId="77777777" w:rsidR="004A08F4" w:rsidRPr="0097510B" w:rsidRDefault="004A08F4" w:rsidP="0082204C">
            <w:pPr>
              <w:widowControl w:val="0"/>
              <w:jc w:val="left"/>
              <w:rPr>
                <w:sz w:val="20"/>
                <w:szCs w:val="20"/>
                <w:lang w:val="en-US"/>
              </w:rPr>
            </w:pPr>
            <w:r>
              <w:rPr>
                <w:sz w:val="20"/>
                <w:szCs w:val="20"/>
                <w:lang w:val="en-US"/>
              </w:rPr>
              <w:t>Cameroon</w:t>
            </w:r>
          </w:p>
        </w:tc>
        <w:tc>
          <w:tcPr>
            <w:tcW w:w="2358" w:type="pct"/>
            <w:tcBorders>
              <w:top w:val="single" w:sz="4" w:space="0" w:color="auto"/>
              <w:left w:val="single" w:sz="4" w:space="0" w:color="auto"/>
              <w:bottom w:val="single" w:sz="4" w:space="0" w:color="auto"/>
              <w:right w:val="single" w:sz="4" w:space="0" w:color="auto"/>
            </w:tcBorders>
            <w:vAlign w:val="center"/>
          </w:tcPr>
          <w:p w14:paraId="3B33C0E8" w14:textId="77777777" w:rsidR="004A08F4" w:rsidRPr="0097510B" w:rsidRDefault="004A08F4" w:rsidP="0082204C">
            <w:pPr>
              <w:widowControl w:val="0"/>
              <w:jc w:val="left"/>
              <w:rPr>
                <w:sz w:val="20"/>
                <w:szCs w:val="20"/>
                <w:lang w:val="en-US"/>
              </w:rPr>
            </w:pPr>
            <w:r w:rsidRPr="0097510B">
              <w:rPr>
                <w:sz w:val="20"/>
                <w:szCs w:val="20"/>
                <w:lang w:val="en-US"/>
              </w:rPr>
              <w:t>HCFC Phase Out Plan (Stage I)</w:t>
            </w:r>
          </w:p>
        </w:tc>
        <w:tc>
          <w:tcPr>
            <w:tcW w:w="764" w:type="pct"/>
            <w:tcBorders>
              <w:top w:val="single" w:sz="4" w:space="0" w:color="auto"/>
              <w:left w:val="single" w:sz="4" w:space="0" w:color="auto"/>
              <w:bottom w:val="single" w:sz="4" w:space="0" w:color="auto"/>
              <w:right w:val="single" w:sz="4" w:space="0" w:color="auto"/>
            </w:tcBorders>
            <w:vAlign w:val="center"/>
          </w:tcPr>
          <w:p w14:paraId="4B7C49E4" w14:textId="77777777" w:rsidR="004A08F4" w:rsidRPr="0097510B" w:rsidRDefault="004A08F4" w:rsidP="0082204C">
            <w:pPr>
              <w:widowControl w:val="0"/>
              <w:jc w:val="left"/>
              <w:rPr>
                <w:bCs/>
                <w:sz w:val="20"/>
                <w:szCs w:val="20"/>
                <w:lang w:val="en-CA" w:eastAsia="en-CA"/>
              </w:rPr>
            </w:pPr>
            <w:r>
              <w:rPr>
                <w:bCs/>
                <w:sz w:val="20"/>
                <w:szCs w:val="20"/>
                <w:lang w:val="en-CA" w:eastAsia="en-CA"/>
              </w:rPr>
              <w:t>UNIDO</w:t>
            </w:r>
          </w:p>
        </w:tc>
        <w:tc>
          <w:tcPr>
            <w:tcW w:w="725" w:type="pct"/>
            <w:tcBorders>
              <w:top w:val="single" w:sz="4" w:space="0" w:color="auto"/>
              <w:left w:val="single" w:sz="4" w:space="0" w:color="auto"/>
              <w:bottom w:val="single" w:sz="4" w:space="0" w:color="auto"/>
              <w:right w:val="single" w:sz="4" w:space="0" w:color="auto"/>
            </w:tcBorders>
            <w:vAlign w:val="center"/>
          </w:tcPr>
          <w:p w14:paraId="7A2B7FD9" w14:textId="77777777" w:rsidR="004A08F4" w:rsidRPr="0097510B" w:rsidRDefault="004A08F4" w:rsidP="0082204C">
            <w:pPr>
              <w:widowControl w:val="0"/>
              <w:jc w:val="left"/>
              <w:rPr>
                <w:bCs/>
                <w:sz w:val="20"/>
                <w:szCs w:val="20"/>
                <w:lang w:val="en-CA" w:eastAsia="en-CA"/>
              </w:rPr>
            </w:pPr>
          </w:p>
        </w:tc>
      </w:tr>
      <w:tr w:rsidR="004A08F4" w:rsidRPr="0097510B" w14:paraId="52143D5B" w14:textId="77777777" w:rsidTr="0082204C">
        <w:tc>
          <w:tcPr>
            <w:tcW w:w="1152" w:type="pct"/>
            <w:tcBorders>
              <w:top w:val="single" w:sz="4" w:space="0" w:color="auto"/>
              <w:left w:val="single" w:sz="4" w:space="0" w:color="auto"/>
              <w:bottom w:val="single" w:sz="4" w:space="0" w:color="auto"/>
              <w:right w:val="single" w:sz="4" w:space="0" w:color="auto"/>
            </w:tcBorders>
            <w:vAlign w:val="center"/>
          </w:tcPr>
          <w:p w14:paraId="0633B38A" w14:textId="77777777" w:rsidR="004A08F4" w:rsidRPr="0097510B" w:rsidRDefault="004A08F4" w:rsidP="0082204C">
            <w:pPr>
              <w:widowControl w:val="0"/>
              <w:jc w:val="left"/>
              <w:rPr>
                <w:sz w:val="20"/>
                <w:szCs w:val="20"/>
                <w:lang w:val="en-US"/>
              </w:rPr>
            </w:pPr>
            <w:r>
              <w:rPr>
                <w:sz w:val="20"/>
                <w:szCs w:val="20"/>
                <w:lang w:val="en-US"/>
              </w:rPr>
              <w:t>Ghana</w:t>
            </w:r>
          </w:p>
        </w:tc>
        <w:tc>
          <w:tcPr>
            <w:tcW w:w="2358" w:type="pct"/>
            <w:tcBorders>
              <w:top w:val="single" w:sz="4" w:space="0" w:color="auto"/>
              <w:left w:val="single" w:sz="4" w:space="0" w:color="auto"/>
              <w:bottom w:val="single" w:sz="4" w:space="0" w:color="auto"/>
              <w:right w:val="single" w:sz="4" w:space="0" w:color="auto"/>
            </w:tcBorders>
            <w:vAlign w:val="center"/>
          </w:tcPr>
          <w:p w14:paraId="087B5954" w14:textId="77777777" w:rsidR="004A08F4" w:rsidRPr="0097510B" w:rsidRDefault="004A08F4" w:rsidP="0082204C">
            <w:pPr>
              <w:widowControl w:val="0"/>
              <w:jc w:val="left"/>
              <w:rPr>
                <w:sz w:val="20"/>
                <w:szCs w:val="20"/>
                <w:lang w:val="en-US"/>
              </w:rPr>
            </w:pPr>
            <w:r w:rsidRPr="0097510B">
              <w:rPr>
                <w:sz w:val="20"/>
                <w:szCs w:val="20"/>
                <w:lang w:val="en-US"/>
              </w:rPr>
              <w:t>HCFC Phase Out Plan (Stage I)</w:t>
            </w:r>
          </w:p>
        </w:tc>
        <w:tc>
          <w:tcPr>
            <w:tcW w:w="764" w:type="pct"/>
            <w:tcBorders>
              <w:top w:val="single" w:sz="4" w:space="0" w:color="auto"/>
              <w:left w:val="single" w:sz="4" w:space="0" w:color="auto"/>
              <w:bottom w:val="single" w:sz="4" w:space="0" w:color="auto"/>
              <w:right w:val="single" w:sz="4" w:space="0" w:color="auto"/>
            </w:tcBorders>
            <w:vAlign w:val="center"/>
          </w:tcPr>
          <w:p w14:paraId="7F1E94B9" w14:textId="77777777" w:rsidR="004A08F4" w:rsidRPr="0097510B" w:rsidRDefault="004A08F4" w:rsidP="0082204C">
            <w:pPr>
              <w:widowControl w:val="0"/>
              <w:jc w:val="left"/>
              <w:rPr>
                <w:bCs/>
                <w:sz w:val="20"/>
                <w:szCs w:val="20"/>
                <w:lang w:val="en-CA" w:eastAsia="en-CA"/>
              </w:rPr>
            </w:pPr>
            <w:r>
              <w:rPr>
                <w:bCs/>
                <w:sz w:val="20"/>
                <w:szCs w:val="20"/>
                <w:lang w:val="en-CA" w:eastAsia="en-CA"/>
              </w:rPr>
              <w:t>UNDP</w:t>
            </w:r>
          </w:p>
        </w:tc>
        <w:tc>
          <w:tcPr>
            <w:tcW w:w="725" w:type="pct"/>
            <w:tcBorders>
              <w:top w:val="single" w:sz="4" w:space="0" w:color="auto"/>
              <w:left w:val="single" w:sz="4" w:space="0" w:color="auto"/>
              <w:bottom w:val="single" w:sz="4" w:space="0" w:color="auto"/>
              <w:right w:val="single" w:sz="4" w:space="0" w:color="auto"/>
            </w:tcBorders>
            <w:vAlign w:val="center"/>
          </w:tcPr>
          <w:p w14:paraId="533C79A9" w14:textId="77777777" w:rsidR="004A08F4" w:rsidRPr="0097510B" w:rsidRDefault="004A08F4" w:rsidP="0082204C">
            <w:pPr>
              <w:widowControl w:val="0"/>
              <w:jc w:val="left"/>
              <w:rPr>
                <w:bCs/>
                <w:sz w:val="20"/>
                <w:szCs w:val="20"/>
                <w:lang w:val="en-CA" w:eastAsia="en-CA"/>
              </w:rPr>
            </w:pPr>
            <w:r>
              <w:rPr>
                <w:bCs/>
                <w:sz w:val="20"/>
                <w:szCs w:val="20"/>
                <w:lang w:val="en-CA" w:eastAsia="en-CA"/>
              </w:rPr>
              <w:t>Italy</w:t>
            </w:r>
          </w:p>
        </w:tc>
      </w:tr>
      <w:tr w:rsidR="004A08F4" w:rsidRPr="0097510B" w14:paraId="72CCBC92" w14:textId="77777777" w:rsidTr="0082204C">
        <w:tc>
          <w:tcPr>
            <w:tcW w:w="1152" w:type="pct"/>
            <w:tcBorders>
              <w:top w:val="single" w:sz="4" w:space="0" w:color="auto"/>
              <w:left w:val="single" w:sz="4" w:space="0" w:color="auto"/>
              <w:bottom w:val="single" w:sz="4" w:space="0" w:color="auto"/>
              <w:right w:val="single" w:sz="4" w:space="0" w:color="auto"/>
            </w:tcBorders>
            <w:vAlign w:val="center"/>
          </w:tcPr>
          <w:p w14:paraId="6D82BAA6" w14:textId="77777777" w:rsidR="004A08F4" w:rsidRPr="0097510B" w:rsidRDefault="004A08F4" w:rsidP="0082204C">
            <w:pPr>
              <w:widowControl w:val="0"/>
              <w:jc w:val="left"/>
              <w:rPr>
                <w:b/>
                <w:bCs/>
                <w:sz w:val="20"/>
                <w:szCs w:val="20"/>
                <w:lang w:val="en-CA" w:eastAsia="en-CA"/>
              </w:rPr>
            </w:pPr>
            <w:r w:rsidRPr="0097510B">
              <w:rPr>
                <w:sz w:val="20"/>
                <w:szCs w:val="20"/>
                <w:lang w:val="en-US"/>
              </w:rPr>
              <w:t>Guyana</w:t>
            </w:r>
          </w:p>
        </w:tc>
        <w:tc>
          <w:tcPr>
            <w:tcW w:w="2358" w:type="pct"/>
            <w:tcBorders>
              <w:top w:val="single" w:sz="4" w:space="0" w:color="auto"/>
              <w:left w:val="single" w:sz="4" w:space="0" w:color="auto"/>
              <w:bottom w:val="single" w:sz="4" w:space="0" w:color="auto"/>
              <w:right w:val="single" w:sz="4" w:space="0" w:color="auto"/>
            </w:tcBorders>
            <w:vAlign w:val="center"/>
          </w:tcPr>
          <w:p w14:paraId="4B3F7667" w14:textId="77777777" w:rsidR="004A08F4" w:rsidRPr="0097510B" w:rsidRDefault="004A08F4" w:rsidP="0082204C">
            <w:pPr>
              <w:widowControl w:val="0"/>
              <w:jc w:val="left"/>
              <w:rPr>
                <w:sz w:val="20"/>
                <w:szCs w:val="20"/>
                <w:lang w:val="en-US"/>
              </w:rPr>
            </w:pPr>
            <w:r w:rsidRPr="0097510B">
              <w:rPr>
                <w:sz w:val="20"/>
                <w:szCs w:val="20"/>
                <w:lang w:val="en-US"/>
              </w:rPr>
              <w:t>HCFC Phase Out Plan (Stage I)</w:t>
            </w:r>
          </w:p>
        </w:tc>
        <w:tc>
          <w:tcPr>
            <w:tcW w:w="764" w:type="pct"/>
            <w:tcBorders>
              <w:top w:val="single" w:sz="4" w:space="0" w:color="auto"/>
              <w:left w:val="single" w:sz="4" w:space="0" w:color="auto"/>
              <w:bottom w:val="single" w:sz="4" w:space="0" w:color="auto"/>
              <w:right w:val="single" w:sz="4" w:space="0" w:color="auto"/>
            </w:tcBorders>
            <w:vAlign w:val="center"/>
          </w:tcPr>
          <w:p w14:paraId="5CAE303F" w14:textId="77777777" w:rsidR="004A08F4" w:rsidRPr="0097510B" w:rsidRDefault="004A08F4" w:rsidP="0082204C">
            <w:pPr>
              <w:widowControl w:val="0"/>
              <w:jc w:val="left"/>
              <w:rPr>
                <w:b/>
                <w:bCs/>
                <w:sz w:val="20"/>
                <w:szCs w:val="20"/>
                <w:lang w:val="en-CA" w:eastAsia="en-CA"/>
              </w:rPr>
            </w:pPr>
            <w:r w:rsidRPr="0097510B">
              <w:rPr>
                <w:bCs/>
                <w:sz w:val="20"/>
                <w:szCs w:val="20"/>
                <w:lang w:val="en-CA" w:eastAsia="en-CA"/>
              </w:rPr>
              <w:t>UNEP</w:t>
            </w:r>
          </w:p>
        </w:tc>
        <w:tc>
          <w:tcPr>
            <w:tcW w:w="725" w:type="pct"/>
            <w:tcBorders>
              <w:top w:val="single" w:sz="4" w:space="0" w:color="auto"/>
              <w:left w:val="single" w:sz="4" w:space="0" w:color="auto"/>
              <w:bottom w:val="single" w:sz="4" w:space="0" w:color="auto"/>
              <w:right w:val="single" w:sz="4" w:space="0" w:color="auto"/>
            </w:tcBorders>
            <w:vAlign w:val="center"/>
          </w:tcPr>
          <w:p w14:paraId="217DD122" w14:textId="77777777" w:rsidR="004A08F4" w:rsidRPr="0097510B" w:rsidRDefault="004A08F4" w:rsidP="0082204C">
            <w:pPr>
              <w:widowControl w:val="0"/>
              <w:jc w:val="left"/>
              <w:rPr>
                <w:b/>
                <w:bCs/>
                <w:sz w:val="20"/>
                <w:szCs w:val="20"/>
                <w:lang w:val="en-CA" w:eastAsia="en-CA"/>
              </w:rPr>
            </w:pPr>
            <w:r w:rsidRPr="0097510B">
              <w:rPr>
                <w:bCs/>
                <w:sz w:val="20"/>
                <w:szCs w:val="20"/>
                <w:lang w:val="en-CA" w:eastAsia="en-CA"/>
              </w:rPr>
              <w:t>UNDP</w:t>
            </w:r>
          </w:p>
        </w:tc>
      </w:tr>
      <w:tr w:rsidR="004A08F4" w:rsidRPr="0097510B" w14:paraId="14AFD2AC" w14:textId="77777777" w:rsidTr="0082204C">
        <w:tc>
          <w:tcPr>
            <w:tcW w:w="1152" w:type="pct"/>
            <w:tcBorders>
              <w:top w:val="single" w:sz="4" w:space="0" w:color="auto"/>
              <w:left w:val="single" w:sz="4" w:space="0" w:color="auto"/>
              <w:bottom w:val="single" w:sz="4" w:space="0" w:color="auto"/>
              <w:right w:val="single" w:sz="4" w:space="0" w:color="auto"/>
            </w:tcBorders>
            <w:vAlign w:val="center"/>
          </w:tcPr>
          <w:p w14:paraId="336B2839" w14:textId="77777777" w:rsidR="004A08F4" w:rsidRPr="0097510B" w:rsidRDefault="004A08F4" w:rsidP="0082204C">
            <w:pPr>
              <w:widowControl w:val="0"/>
              <w:jc w:val="left"/>
              <w:rPr>
                <w:b/>
                <w:bCs/>
                <w:sz w:val="20"/>
                <w:szCs w:val="20"/>
                <w:lang w:val="en-CA" w:eastAsia="en-CA"/>
              </w:rPr>
            </w:pPr>
            <w:r w:rsidRPr="0097510B">
              <w:rPr>
                <w:sz w:val="20"/>
                <w:szCs w:val="20"/>
                <w:lang w:val="en-US"/>
              </w:rPr>
              <w:t>Iraq</w:t>
            </w:r>
          </w:p>
        </w:tc>
        <w:tc>
          <w:tcPr>
            <w:tcW w:w="2358" w:type="pct"/>
            <w:tcBorders>
              <w:top w:val="single" w:sz="4" w:space="0" w:color="auto"/>
              <w:left w:val="single" w:sz="4" w:space="0" w:color="auto"/>
              <w:bottom w:val="single" w:sz="4" w:space="0" w:color="auto"/>
              <w:right w:val="single" w:sz="4" w:space="0" w:color="auto"/>
            </w:tcBorders>
            <w:vAlign w:val="center"/>
          </w:tcPr>
          <w:p w14:paraId="30F2DDDD" w14:textId="77777777" w:rsidR="004A08F4" w:rsidRPr="0097510B" w:rsidRDefault="004A08F4" w:rsidP="0082204C">
            <w:pPr>
              <w:widowControl w:val="0"/>
              <w:jc w:val="left"/>
              <w:rPr>
                <w:sz w:val="20"/>
                <w:szCs w:val="20"/>
                <w:lang w:val="en-US"/>
              </w:rPr>
            </w:pPr>
            <w:r w:rsidRPr="0097510B">
              <w:rPr>
                <w:sz w:val="20"/>
                <w:szCs w:val="20"/>
                <w:lang w:val="en-US"/>
              </w:rPr>
              <w:t>ODS Phase Out Plan</w:t>
            </w:r>
          </w:p>
        </w:tc>
        <w:tc>
          <w:tcPr>
            <w:tcW w:w="764" w:type="pct"/>
            <w:tcBorders>
              <w:top w:val="single" w:sz="4" w:space="0" w:color="auto"/>
              <w:left w:val="single" w:sz="4" w:space="0" w:color="auto"/>
              <w:bottom w:val="single" w:sz="4" w:space="0" w:color="auto"/>
              <w:right w:val="single" w:sz="4" w:space="0" w:color="auto"/>
            </w:tcBorders>
            <w:vAlign w:val="center"/>
          </w:tcPr>
          <w:p w14:paraId="703621E0" w14:textId="77777777" w:rsidR="004A08F4" w:rsidRPr="0097510B" w:rsidRDefault="004A08F4" w:rsidP="0082204C">
            <w:pPr>
              <w:widowControl w:val="0"/>
              <w:jc w:val="left"/>
              <w:rPr>
                <w:b/>
                <w:bCs/>
                <w:sz w:val="20"/>
                <w:szCs w:val="20"/>
                <w:lang w:val="en-CA" w:eastAsia="en-CA"/>
              </w:rPr>
            </w:pPr>
            <w:r w:rsidRPr="0097510B">
              <w:rPr>
                <w:bCs/>
                <w:sz w:val="20"/>
                <w:szCs w:val="20"/>
                <w:lang w:val="en-CA" w:eastAsia="en-CA"/>
              </w:rPr>
              <w:t>UNEP</w:t>
            </w:r>
          </w:p>
        </w:tc>
        <w:tc>
          <w:tcPr>
            <w:tcW w:w="725" w:type="pct"/>
            <w:tcBorders>
              <w:top w:val="single" w:sz="4" w:space="0" w:color="auto"/>
              <w:left w:val="single" w:sz="4" w:space="0" w:color="auto"/>
              <w:bottom w:val="single" w:sz="4" w:space="0" w:color="auto"/>
              <w:right w:val="single" w:sz="4" w:space="0" w:color="auto"/>
            </w:tcBorders>
            <w:vAlign w:val="center"/>
          </w:tcPr>
          <w:p w14:paraId="67BE9039" w14:textId="77777777" w:rsidR="004A08F4" w:rsidRPr="0097510B" w:rsidRDefault="004A08F4" w:rsidP="0082204C">
            <w:pPr>
              <w:widowControl w:val="0"/>
              <w:jc w:val="left"/>
              <w:rPr>
                <w:b/>
                <w:bCs/>
                <w:sz w:val="20"/>
                <w:szCs w:val="20"/>
                <w:lang w:val="en-CA" w:eastAsia="en-CA"/>
              </w:rPr>
            </w:pPr>
            <w:r w:rsidRPr="0097510B">
              <w:rPr>
                <w:bCs/>
                <w:sz w:val="20"/>
                <w:szCs w:val="20"/>
                <w:lang w:val="en-CA" w:eastAsia="en-CA"/>
              </w:rPr>
              <w:t>UNIDO</w:t>
            </w:r>
          </w:p>
        </w:tc>
      </w:tr>
      <w:tr w:rsidR="004A08F4" w:rsidRPr="0097510B" w14:paraId="0059FB02" w14:textId="77777777" w:rsidTr="0082204C">
        <w:tc>
          <w:tcPr>
            <w:tcW w:w="1152" w:type="pct"/>
            <w:tcBorders>
              <w:top w:val="single" w:sz="4" w:space="0" w:color="auto"/>
              <w:left w:val="single" w:sz="4" w:space="0" w:color="auto"/>
              <w:bottom w:val="single" w:sz="4" w:space="0" w:color="auto"/>
              <w:right w:val="single" w:sz="4" w:space="0" w:color="auto"/>
            </w:tcBorders>
            <w:vAlign w:val="center"/>
          </w:tcPr>
          <w:p w14:paraId="3831BC8B" w14:textId="77777777" w:rsidR="004A08F4" w:rsidRPr="0097510B" w:rsidRDefault="004A08F4" w:rsidP="0082204C">
            <w:pPr>
              <w:widowControl w:val="0"/>
              <w:jc w:val="left"/>
              <w:rPr>
                <w:sz w:val="20"/>
                <w:szCs w:val="20"/>
                <w:lang w:val="en-US"/>
              </w:rPr>
            </w:pPr>
            <w:r>
              <w:rPr>
                <w:sz w:val="20"/>
                <w:szCs w:val="20"/>
                <w:lang w:val="en-US"/>
              </w:rPr>
              <w:t>Qatar</w:t>
            </w:r>
          </w:p>
        </w:tc>
        <w:tc>
          <w:tcPr>
            <w:tcW w:w="2358" w:type="pct"/>
            <w:tcBorders>
              <w:top w:val="single" w:sz="4" w:space="0" w:color="auto"/>
              <w:left w:val="single" w:sz="4" w:space="0" w:color="auto"/>
              <w:bottom w:val="single" w:sz="4" w:space="0" w:color="auto"/>
              <w:right w:val="single" w:sz="4" w:space="0" w:color="auto"/>
            </w:tcBorders>
            <w:vAlign w:val="center"/>
          </w:tcPr>
          <w:p w14:paraId="671AF2D7" w14:textId="77777777" w:rsidR="004A08F4" w:rsidRPr="0097510B" w:rsidRDefault="004A08F4" w:rsidP="0082204C">
            <w:pPr>
              <w:widowControl w:val="0"/>
              <w:jc w:val="left"/>
              <w:rPr>
                <w:sz w:val="20"/>
                <w:szCs w:val="20"/>
                <w:lang w:val="en-US"/>
              </w:rPr>
            </w:pPr>
            <w:r w:rsidRPr="0097510B">
              <w:rPr>
                <w:sz w:val="20"/>
                <w:szCs w:val="20"/>
                <w:lang w:val="en-US"/>
              </w:rPr>
              <w:t>HCFC Phase Out Plan (Stage I)</w:t>
            </w:r>
          </w:p>
        </w:tc>
        <w:tc>
          <w:tcPr>
            <w:tcW w:w="764" w:type="pct"/>
            <w:tcBorders>
              <w:top w:val="single" w:sz="4" w:space="0" w:color="auto"/>
              <w:left w:val="single" w:sz="4" w:space="0" w:color="auto"/>
              <w:bottom w:val="single" w:sz="4" w:space="0" w:color="auto"/>
              <w:right w:val="single" w:sz="4" w:space="0" w:color="auto"/>
            </w:tcBorders>
            <w:vAlign w:val="center"/>
          </w:tcPr>
          <w:p w14:paraId="0FE313DA" w14:textId="77777777" w:rsidR="004A08F4" w:rsidRPr="0097510B" w:rsidRDefault="004A08F4" w:rsidP="0082204C">
            <w:pPr>
              <w:widowControl w:val="0"/>
              <w:jc w:val="left"/>
              <w:rPr>
                <w:bCs/>
                <w:sz w:val="20"/>
                <w:szCs w:val="20"/>
                <w:lang w:val="en-CA" w:eastAsia="en-CA"/>
              </w:rPr>
            </w:pPr>
            <w:r>
              <w:rPr>
                <w:bCs/>
                <w:sz w:val="20"/>
                <w:szCs w:val="20"/>
                <w:lang w:val="en-CA" w:eastAsia="en-CA"/>
              </w:rPr>
              <w:t>UNIDO</w:t>
            </w:r>
          </w:p>
        </w:tc>
        <w:tc>
          <w:tcPr>
            <w:tcW w:w="725" w:type="pct"/>
            <w:tcBorders>
              <w:top w:val="single" w:sz="4" w:space="0" w:color="auto"/>
              <w:left w:val="single" w:sz="4" w:space="0" w:color="auto"/>
              <w:bottom w:val="single" w:sz="4" w:space="0" w:color="auto"/>
              <w:right w:val="single" w:sz="4" w:space="0" w:color="auto"/>
            </w:tcBorders>
            <w:vAlign w:val="center"/>
          </w:tcPr>
          <w:p w14:paraId="157D3B55" w14:textId="77777777" w:rsidR="004A08F4" w:rsidRPr="0097510B" w:rsidRDefault="004A08F4" w:rsidP="0082204C">
            <w:pPr>
              <w:widowControl w:val="0"/>
              <w:jc w:val="left"/>
              <w:rPr>
                <w:bCs/>
                <w:sz w:val="20"/>
                <w:szCs w:val="20"/>
                <w:lang w:val="en-CA" w:eastAsia="en-CA"/>
              </w:rPr>
            </w:pPr>
            <w:r>
              <w:rPr>
                <w:bCs/>
                <w:sz w:val="20"/>
                <w:szCs w:val="20"/>
                <w:lang w:val="en-CA" w:eastAsia="en-CA"/>
              </w:rPr>
              <w:t>UNEP</w:t>
            </w:r>
          </w:p>
        </w:tc>
      </w:tr>
      <w:tr w:rsidR="004A08F4" w:rsidRPr="0097510B" w14:paraId="1015893C" w14:textId="77777777" w:rsidTr="0082204C">
        <w:tc>
          <w:tcPr>
            <w:tcW w:w="1152" w:type="pct"/>
            <w:tcBorders>
              <w:top w:val="single" w:sz="4" w:space="0" w:color="auto"/>
              <w:left w:val="single" w:sz="4" w:space="0" w:color="auto"/>
              <w:bottom w:val="single" w:sz="4" w:space="0" w:color="auto"/>
              <w:right w:val="single" w:sz="4" w:space="0" w:color="auto"/>
            </w:tcBorders>
            <w:vAlign w:val="center"/>
          </w:tcPr>
          <w:p w14:paraId="16FF2803" w14:textId="77777777" w:rsidR="004A08F4" w:rsidRPr="0097510B" w:rsidRDefault="004A08F4" w:rsidP="0082204C">
            <w:pPr>
              <w:widowControl w:val="0"/>
              <w:jc w:val="left"/>
              <w:rPr>
                <w:b/>
                <w:bCs/>
                <w:sz w:val="20"/>
                <w:szCs w:val="20"/>
                <w:lang w:val="en-CA" w:eastAsia="en-CA"/>
              </w:rPr>
            </w:pPr>
            <w:r w:rsidRPr="0097510B">
              <w:rPr>
                <w:sz w:val="20"/>
                <w:szCs w:val="20"/>
                <w:lang w:val="en-US"/>
              </w:rPr>
              <w:t>Sudan</w:t>
            </w:r>
          </w:p>
        </w:tc>
        <w:tc>
          <w:tcPr>
            <w:tcW w:w="2358" w:type="pct"/>
            <w:tcBorders>
              <w:top w:val="single" w:sz="4" w:space="0" w:color="auto"/>
              <w:left w:val="single" w:sz="4" w:space="0" w:color="auto"/>
              <w:bottom w:val="single" w:sz="4" w:space="0" w:color="auto"/>
              <w:right w:val="single" w:sz="4" w:space="0" w:color="auto"/>
            </w:tcBorders>
            <w:vAlign w:val="center"/>
          </w:tcPr>
          <w:p w14:paraId="55AEBBFA" w14:textId="77777777" w:rsidR="004A08F4" w:rsidRPr="0097510B" w:rsidRDefault="004A08F4" w:rsidP="0082204C">
            <w:pPr>
              <w:widowControl w:val="0"/>
              <w:jc w:val="left"/>
              <w:rPr>
                <w:sz w:val="20"/>
                <w:szCs w:val="20"/>
                <w:lang w:val="en-US"/>
              </w:rPr>
            </w:pPr>
            <w:r w:rsidRPr="0097510B">
              <w:rPr>
                <w:sz w:val="20"/>
                <w:szCs w:val="20"/>
                <w:lang w:val="en-US"/>
              </w:rPr>
              <w:t>HCFC Phase Out Plan (Stage I)</w:t>
            </w:r>
          </w:p>
        </w:tc>
        <w:tc>
          <w:tcPr>
            <w:tcW w:w="764" w:type="pct"/>
            <w:tcBorders>
              <w:top w:val="single" w:sz="4" w:space="0" w:color="auto"/>
              <w:left w:val="single" w:sz="4" w:space="0" w:color="auto"/>
              <w:bottom w:val="single" w:sz="4" w:space="0" w:color="auto"/>
              <w:right w:val="single" w:sz="4" w:space="0" w:color="auto"/>
            </w:tcBorders>
            <w:vAlign w:val="center"/>
          </w:tcPr>
          <w:p w14:paraId="2B6E5991" w14:textId="77777777" w:rsidR="004A08F4" w:rsidRPr="0097510B" w:rsidRDefault="004A08F4" w:rsidP="0082204C">
            <w:pPr>
              <w:widowControl w:val="0"/>
              <w:jc w:val="left"/>
              <w:rPr>
                <w:b/>
                <w:bCs/>
                <w:sz w:val="20"/>
                <w:szCs w:val="20"/>
                <w:lang w:val="en-CA" w:eastAsia="en-CA"/>
              </w:rPr>
            </w:pPr>
            <w:r w:rsidRPr="0097510B">
              <w:rPr>
                <w:bCs/>
                <w:sz w:val="20"/>
                <w:szCs w:val="20"/>
                <w:lang w:val="en-CA" w:eastAsia="en-CA"/>
              </w:rPr>
              <w:t>UNIDO</w:t>
            </w:r>
          </w:p>
        </w:tc>
        <w:tc>
          <w:tcPr>
            <w:tcW w:w="725" w:type="pct"/>
            <w:tcBorders>
              <w:top w:val="single" w:sz="4" w:space="0" w:color="auto"/>
              <w:left w:val="single" w:sz="4" w:space="0" w:color="auto"/>
              <w:bottom w:val="single" w:sz="4" w:space="0" w:color="auto"/>
              <w:right w:val="single" w:sz="4" w:space="0" w:color="auto"/>
            </w:tcBorders>
            <w:vAlign w:val="center"/>
          </w:tcPr>
          <w:p w14:paraId="436EE35F" w14:textId="77777777" w:rsidR="004A08F4" w:rsidRPr="0097510B" w:rsidRDefault="004A08F4" w:rsidP="0082204C">
            <w:pPr>
              <w:widowControl w:val="0"/>
              <w:jc w:val="left"/>
              <w:rPr>
                <w:b/>
                <w:bCs/>
                <w:sz w:val="20"/>
                <w:szCs w:val="20"/>
                <w:lang w:val="en-CA" w:eastAsia="en-CA"/>
              </w:rPr>
            </w:pPr>
          </w:p>
        </w:tc>
      </w:tr>
    </w:tbl>
    <w:p w14:paraId="253E6E7B" w14:textId="77777777" w:rsidR="004A08F4" w:rsidRDefault="004A08F4" w:rsidP="004A08F4">
      <w:pPr>
        <w:widowControl w:val="0"/>
        <w:spacing w:after="240"/>
        <w:jc w:val="center"/>
        <w:rPr>
          <w:b/>
        </w:rPr>
      </w:pPr>
    </w:p>
    <w:p w14:paraId="67213A8D" w14:textId="77777777" w:rsidR="004A08F4" w:rsidRDefault="004A08F4" w:rsidP="004A08F4">
      <w:pPr>
        <w:widowControl w:val="0"/>
        <w:spacing w:after="240"/>
        <w:jc w:val="center"/>
        <w:rPr>
          <w:b/>
        </w:rPr>
        <w:sectPr w:rsidR="004A08F4" w:rsidSect="002F2E98">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475" w:gutter="0"/>
          <w:pgNumType w:start="1"/>
          <w:cols w:space="720"/>
          <w:titlePg/>
        </w:sectPr>
      </w:pPr>
    </w:p>
    <w:p w14:paraId="6E1C4CFC" w14:textId="77777777" w:rsidR="00E90CE9" w:rsidRDefault="00E90CE9" w:rsidP="004A08F4">
      <w:pPr>
        <w:widowControl w:val="0"/>
        <w:spacing w:after="240"/>
        <w:jc w:val="center"/>
        <w:rPr>
          <w:b/>
        </w:rPr>
      </w:pPr>
    </w:p>
    <w:p w14:paraId="00D01336" w14:textId="5BDAA5ED" w:rsidR="004A08F4" w:rsidRDefault="004A08F4" w:rsidP="004A08F4">
      <w:pPr>
        <w:widowControl w:val="0"/>
        <w:spacing w:after="240"/>
        <w:jc w:val="center"/>
        <w:rPr>
          <w:b/>
        </w:rPr>
      </w:pPr>
      <w:r>
        <w:rPr>
          <w:b/>
        </w:rPr>
        <w:t xml:space="preserve">Annex II </w:t>
      </w:r>
    </w:p>
    <w:p w14:paraId="497DA5E1" w14:textId="77777777" w:rsidR="004A08F4" w:rsidRDefault="004A08F4" w:rsidP="004A08F4">
      <w:pPr>
        <w:widowControl w:val="0"/>
        <w:spacing w:after="240"/>
        <w:jc w:val="center"/>
        <w:rPr>
          <w:b/>
        </w:rPr>
      </w:pPr>
      <w:r>
        <w:rPr>
          <w:b/>
        </w:rPr>
        <w:t>INDIVIDUAL PCRs RECEIVED</w:t>
      </w:r>
    </w:p>
    <w:tbl>
      <w:tblPr>
        <w:tblW w:w="9464" w:type="dxa"/>
        <w:tblLayout w:type="fixed"/>
        <w:tblLook w:val="04A0" w:firstRow="1" w:lastRow="0" w:firstColumn="1" w:lastColumn="0" w:noHBand="0" w:noVBand="1"/>
      </w:tblPr>
      <w:tblGrid>
        <w:gridCol w:w="2235"/>
        <w:gridCol w:w="1270"/>
        <w:gridCol w:w="5959"/>
      </w:tblGrid>
      <w:tr w:rsidR="004A08F4" w:rsidRPr="0097510B" w14:paraId="7149645C" w14:textId="77777777" w:rsidTr="0082204C">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4518978" w14:textId="77777777" w:rsidR="004A08F4" w:rsidRPr="0097510B" w:rsidRDefault="004A08F4" w:rsidP="0082204C">
            <w:pPr>
              <w:widowControl w:val="0"/>
              <w:jc w:val="center"/>
              <w:rPr>
                <w:b/>
                <w:bCs/>
                <w:sz w:val="20"/>
                <w:szCs w:val="20"/>
                <w:lang w:val="en-CA" w:eastAsia="en-CA"/>
              </w:rPr>
            </w:pPr>
            <w:r w:rsidRPr="0097510B">
              <w:rPr>
                <w:b/>
                <w:bCs/>
                <w:sz w:val="20"/>
                <w:szCs w:val="20"/>
                <w:lang w:val="en-CA" w:eastAsia="en-CA"/>
              </w:rPr>
              <w:t>Code</w:t>
            </w:r>
          </w:p>
        </w:tc>
        <w:tc>
          <w:tcPr>
            <w:tcW w:w="1270" w:type="dxa"/>
            <w:tcBorders>
              <w:top w:val="single" w:sz="4" w:space="0" w:color="auto"/>
              <w:left w:val="nil"/>
              <w:bottom w:val="single" w:sz="4" w:space="0" w:color="auto"/>
              <w:right w:val="single" w:sz="4" w:space="0" w:color="auto"/>
            </w:tcBorders>
            <w:shd w:val="clear" w:color="auto" w:fill="auto"/>
            <w:hideMark/>
          </w:tcPr>
          <w:p w14:paraId="7713B900" w14:textId="77777777" w:rsidR="004A08F4" w:rsidRPr="0097510B" w:rsidRDefault="004A08F4" w:rsidP="0082204C">
            <w:pPr>
              <w:widowControl w:val="0"/>
              <w:jc w:val="center"/>
              <w:rPr>
                <w:b/>
                <w:bCs/>
                <w:sz w:val="20"/>
                <w:szCs w:val="20"/>
                <w:lang w:val="en-CA" w:eastAsia="en-CA"/>
              </w:rPr>
            </w:pPr>
            <w:r w:rsidRPr="0097510B">
              <w:rPr>
                <w:b/>
                <w:bCs/>
                <w:sz w:val="20"/>
                <w:szCs w:val="20"/>
                <w:lang w:val="en-CA" w:eastAsia="en-CA"/>
              </w:rPr>
              <w:t>Agency</w:t>
            </w:r>
          </w:p>
        </w:tc>
        <w:tc>
          <w:tcPr>
            <w:tcW w:w="5959" w:type="dxa"/>
            <w:tcBorders>
              <w:top w:val="single" w:sz="4" w:space="0" w:color="auto"/>
              <w:left w:val="nil"/>
              <w:bottom w:val="single" w:sz="4" w:space="0" w:color="auto"/>
              <w:right w:val="single" w:sz="4" w:space="0" w:color="auto"/>
            </w:tcBorders>
            <w:shd w:val="clear" w:color="auto" w:fill="auto"/>
            <w:hideMark/>
          </w:tcPr>
          <w:p w14:paraId="4AAD314E" w14:textId="77777777" w:rsidR="004A08F4" w:rsidRPr="0097510B" w:rsidRDefault="004A08F4" w:rsidP="0082204C">
            <w:pPr>
              <w:widowControl w:val="0"/>
              <w:jc w:val="center"/>
              <w:rPr>
                <w:b/>
                <w:bCs/>
                <w:sz w:val="20"/>
                <w:szCs w:val="20"/>
                <w:lang w:val="en-CA" w:eastAsia="en-CA"/>
              </w:rPr>
            </w:pPr>
            <w:r w:rsidRPr="0097510B">
              <w:rPr>
                <w:b/>
                <w:bCs/>
                <w:sz w:val="20"/>
                <w:szCs w:val="20"/>
                <w:lang w:val="en-CA" w:eastAsia="en-CA"/>
              </w:rPr>
              <w:t>Project Title</w:t>
            </w:r>
          </w:p>
        </w:tc>
      </w:tr>
      <w:tr w:rsidR="004A08F4" w:rsidRPr="0097510B" w14:paraId="3E887A29" w14:textId="77777777" w:rsidTr="0082204C">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79C1443" w14:textId="77777777" w:rsidR="004A08F4" w:rsidRPr="0097510B" w:rsidRDefault="004A08F4" w:rsidP="0082204C">
            <w:pPr>
              <w:widowControl w:val="0"/>
              <w:jc w:val="left"/>
              <w:rPr>
                <w:b/>
                <w:bCs/>
                <w:sz w:val="20"/>
                <w:szCs w:val="20"/>
                <w:lang w:val="en-CA" w:eastAsia="en-CA"/>
              </w:rPr>
            </w:pPr>
            <w:r w:rsidRPr="005C01DE">
              <w:rPr>
                <w:sz w:val="20"/>
                <w:szCs w:val="20"/>
                <w:lang w:val="en-CA" w:eastAsia="en-CA"/>
              </w:rPr>
              <w:t>BGD/REF/80/INV/01+</w:t>
            </w:r>
          </w:p>
        </w:tc>
        <w:tc>
          <w:tcPr>
            <w:tcW w:w="1270" w:type="dxa"/>
            <w:tcBorders>
              <w:top w:val="single" w:sz="4" w:space="0" w:color="auto"/>
              <w:left w:val="nil"/>
              <w:bottom w:val="single" w:sz="4" w:space="0" w:color="auto"/>
              <w:right w:val="single" w:sz="4" w:space="0" w:color="auto"/>
            </w:tcBorders>
            <w:shd w:val="clear" w:color="auto" w:fill="auto"/>
            <w:vAlign w:val="center"/>
          </w:tcPr>
          <w:p w14:paraId="29C2051D" w14:textId="77777777" w:rsidR="004A08F4" w:rsidRPr="005C01DE" w:rsidRDefault="004A08F4" w:rsidP="0082204C">
            <w:pPr>
              <w:widowControl w:val="0"/>
              <w:jc w:val="left"/>
              <w:rPr>
                <w:bCs/>
                <w:sz w:val="20"/>
                <w:szCs w:val="20"/>
                <w:lang w:val="en-CA" w:eastAsia="en-CA"/>
              </w:rPr>
            </w:pPr>
            <w:r>
              <w:rPr>
                <w:bCs/>
                <w:sz w:val="20"/>
                <w:szCs w:val="20"/>
                <w:lang w:val="en-CA" w:eastAsia="en-CA"/>
              </w:rPr>
              <w:t>UNDP</w:t>
            </w:r>
          </w:p>
        </w:tc>
        <w:tc>
          <w:tcPr>
            <w:tcW w:w="5959" w:type="dxa"/>
            <w:tcBorders>
              <w:top w:val="single" w:sz="4" w:space="0" w:color="auto"/>
              <w:left w:val="nil"/>
              <w:bottom w:val="single" w:sz="4" w:space="0" w:color="auto"/>
              <w:right w:val="single" w:sz="4" w:space="0" w:color="auto"/>
            </w:tcBorders>
            <w:shd w:val="clear" w:color="auto" w:fill="auto"/>
          </w:tcPr>
          <w:p w14:paraId="134AFAE9" w14:textId="77777777" w:rsidR="004A08F4" w:rsidRPr="005C01DE" w:rsidRDefault="004A08F4" w:rsidP="0082204C">
            <w:pPr>
              <w:widowControl w:val="0"/>
              <w:jc w:val="left"/>
              <w:rPr>
                <w:bCs/>
                <w:sz w:val="20"/>
                <w:szCs w:val="20"/>
                <w:lang w:val="en-CA" w:eastAsia="en-CA"/>
              </w:rPr>
            </w:pPr>
            <w:r>
              <w:rPr>
                <w:sz w:val="20"/>
                <w:szCs w:val="20"/>
                <w:lang w:val="en-CA"/>
              </w:rPr>
              <w:t>Conversion of Domestic Refrigerator Manufacturing Facility from HFC-134a to Isobutane as a Refrigerant and Conversion of Compressor Manufacturing Facility from HFC-134a-Based Compressors to Isobutane based Compressors at Walton Hi Tech Industries Limited (“Walton”)</w:t>
            </w:r>
          </w:p>
        </w:tc>
      </w:tr>
      <w:tr w:rsidR="004A08F4" w:rsidRPr="0097510B" w14:paraId="06650C75"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hideMark/>
          </w:tcPr>
          <w:p w14:paraId="14C3559B" w14:textId="77777777" w:rsidR="004A08F4" w:rsidRPr="0097510B" w:rsidRDefault="004A08F4" w:rsidP="0082204C">
            <w:pPr>
              <w:widowControl w:val="0"/>
              <w:jc w:val="left"/>
              <w:rPr>
                <w:sz w:val="20"/>
                <w:szCs w:val="20"/>
                <w:lang w:val="en-CA" w:eastAsia="en-CA"/>
              </w:rPr>
            </w:pPr>
            <w:r w:rsidRPr="0097510B">
              <w:rPr>
                <w:sz w:val="20"/>
                <w:szCs w:val="20"/>
                <w:lang w:val="en-CA" w:eastAsia="en-CA"/>
              </w:rPr>
              <w:t>CPR/ARS/51/INV/447</w:t>
            </w:r>
          </w:p>
        </w:tc>
        <w:tc>
          <w:tcPr>
            <w:tcW w:w="1270" w:type="dxa"/>
            <w:tcBorders>
              <w:top w:val="nil"/>
              <w:left w:val="nil"/>
              <w:bottom w:val="single" w:sz="4" w:space="0" w:color="auto"/>
              <w:right w:val="single" w:sz="4" w:space="0" w:color="auto"/>
            </w:tcBorders>
            <w:shd w:val="clear" w:color="auto" w:fill="auto"/>
            <w:vAlign w:val="center"/>
            <w:hideMark/>
          </w:tcPr>
          <w:p w14:paraId="24B7E591" w14:textId="77777777" w:rsidR="004A08F4" w:rsidRPr="0097510B" w:rsidRDefault="004A08F4" w:rsidP="0082204C">
            <w:pPr>
              <w:widowControl w:val="0"/>
              <w:jc w:val="left"/>
              <w:rPr>
                <w:sz w:val="20"/>
                <w:szCs w:val="20"/>
                <w:lang w:val="en-CA" w:eastAsia="en-CA"/>
              </w:rPr>
            </w:pPr>
            <w:r w:rsidRPr="0097510B">
              <w:rPr>
                <w:sz w:val="20"/>
                <w:szCs w:val="20"/>
                <w:lang w:val="en-CA" w:eastAsia="en-CA"/>
              </w:rPr>
              <w:t>World Bank</w:t>
            </w:r>
          </w:p>
        </w:tc>
        <w:tc>
          <w:tcPr>
            <w:tcW w:w="5959" w:type="dxa"/>
            <w:tcBorders>
              <w:top w:val="nil"/>
              <w:left w:val="nil"/>
              <w:bottom w:val="single" w:sz="4" w:space="0" w:color="auto"/>
              <w:right w:val="single" w:sz="4" w:space="0" w:color="auto"/>
            </w:tcBorders>
            <w:shd w:val="clear" w:color="auto" w:fill="auto"/>
            <w:vAlign w:val="center"/>
            <w:hideMark/>
          </w:tcPr>
          <w:p w14:paraId="3DEE9F60" w14:textId="77777777" w:rsidR="004A08F4" w:rsidRPr="0097510B" w:rsidRDefault="004A08F4" w:rsidP="0082204C">
            <w:pPr>
              <w:widowControl w:val="0"/>
              <w:jc w:val="left"/>
              <w:rPr>
                <w:sz w:val="20"/>
                <w:szCs w:val="20"/>
                <w:lang w:val="en-CA" w:eastAsia="en-CA"/>
              </w:rPr>
            </w:pPr>
            <w:r w:rsidRPr="0097510B">
              <w:rPr>
                <w:sz w:val="20"/>
                <w:szCs w:val="20"/>
                <w:lang w:val="en-CA" w:eastAsia="en-CA"/>
              </w:rPr>
              <w:t>Phase-out of CFC consumption in the pharmaceutical aerosol sector (2007-2008 biennial programme)</w:t>
            </w:r>
          </w:p>
        </w:tc>
      </w:tr>
      <w:tr w:rsidR="004A08F4" w:rsidRPr="0097510B" w14:paraId="5CDD98B3"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tcPr>
          <w:p w14:paraId="6D9B8B2A" w14:textId="77777777" w:rsidR="004A08F4" w:rsidRPr="0097510B" w:rsidRDefault="004A08F4" w:rsidP="0082204C">
            <w:pPr>
              <w:widowControl w:val="0"/>
              <w:jc w:val="left"/>
              <w:rPr>
                <w:sz w:val="20"/>
                <w:szCs w:val="20"/>
                <w:lang w:val="en-CA" w:eastAsia="en-CA"/>
              </w:rPr>
            </w:pPr>
            <w:r w:rsidRPr="0097510B">
              <w:rPr>
                <w:sz w:val="20"/>
                <w:szCs w:val="20"/>
                <w:lang w:val="en-CA" w:eastAsia="en-CA"/>
              </w:rPr>
              <w:t>CPR/PRO/69/TAS/531</w:t>
            </w:r>
          </w:p>
        </w:tc>
        <w:tc>
          <w:tcPr>
            <w:tcW w:w="1270" w:type="dxa"/>
            <w:tcBorders>
              <w:top w:val="nil"/>
              <w:left w:val="nil"/>
              <w:bottom w:val="single" w:sz="4" w:space="0" w:color="auto"/>
              <w:right w:val="single" w:sz="4" w:space="0" w:color="auto"/>
            </w:tcBorders>
            <w:shd w:val="clear" w:color="auto" w:fill="auto"/>
            <w:vAlign w:val="center"/>
          </w:tcPr>
          <w:p w14:paraId="0336BFF9" w14:textId="77777777" w:rsidR="004A08F4" w:rsidRPr="0097510B" w:rsidRDefault="004A08F4" w:rsidP="0082204C">
            <w:pPr>
              <w:widowControl w:val="0"/>
              <w:jc w:val="left"/>
              <w:rPr>
                <w:sz w:val="20"/>
                <w:szCs w:val="20"/>
                <w:lang w:val="en-CA" w:eastAsia="en-CA"/>
              </w:rPr>
            </w:pPr>
            <w:r w:rsidRPr="0097510B">
              <w:rPr>
                <w:sz w:val="20"/>
                <w:szCs w:val="20"/>
                <w:lang w:val="en-CA" w:eastAsia="en-CA"/>
              </w:rPr>
              <w:t>World Bank</w:t>
            </w:r>
          </w:p>
        </w:tc>
        <w:tc>
          <w:tcPr>
            <w:tcW w:w="5959" w:type="dxa"/>
            <w:tcBorders>
              <w:top w:val="nil"/>
              <w:left w:val="nil"/>
              <w:bottom w:val="single" w:sz="4" w:space="0" w:color="auto"/>
              <w:right w:val="single" w:sz="4" w:space="0" w:color="auto"/>
            </w:tcBorders>
            <w:shd w:val="clear" w:color="auto" w:fill="auto"/>
            <w:vAlign w:val="center"/>
          </w:tcPr>
          <w:p w14:paraId="666F74B8" w14:textId="77777777" w:rsidR="004A08F4" w:rsidRPr="0097510B" w:rsidRDefault="004A08F4" w:rsidP="0082204C">
            <w:pPr>
              <w:widowControl w:val="0"/>
              <w:jc w:val="left"/>
              <w:rPr>
                <w:sz w:val="20"/>
                <w:szCs w:val="20"/>
                <w:lang w:val="en-CA" w:eastAsia="en-CA"/>
              </w:rPr>
            </w:pPr>
            <w:r w:rsidRPr="0097510B">
              <w:rPr>
                <w:sz w:val="20"/>
                <w:szCs w:val="20"/>
                <w:lang w:val="en-CA" w:eastAsia="en-CA"/>
              </w:rPr>
              <w:t>Verification of production of CFCs for essential use</w:t>
            </w:r>
          </w:p>
        </w:tc>
      </w:tr>
      <w:tr w:rsidR="004A08F4" w:rsidRPr="0097510B" w14:paraId="258C094D"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tcPr>
          <w:p w14:paraId="3C380469" w14:textId="77777777" w:rsidR="004A08F4" w:rsidRPr="0097510B" w:rsidRDefault="004A08F4" w:rsidP="0082204C">
            <w:pPr>
              <w:widowControl w:val="0"/>
              <w:jc w:val="left"/>
              <w:rPr>
                <w:sz w:val="20"/>
                <w:szCs w:val="20"/>
                <w:lang w:val="en-CA" w:eastAsia="en-CA"/>
              </w:rPr>
            </w:pPr>
            <w:r w:rsidRPr="0097510B">
              <w:rPr>
                <w:sz w:val="20"/>
                <w:szCs w:val="20"/>
                <w:lang w:val="en-CA" w:eastAsia="en-CA"/>
              </w:rPr>
              <w:t>DMI/PHA/75/TAS/22</w:t>
            </w:r>
          </w:p>
        </w:tc>
        <w:tc>
          <w:tcPr>
            <w:tcW w:w="1270" w:type="dxa"/>
            <w:tcBorders>
              <w:top w:val="nil"/>
              <w:left w:val="nil"/>
              <w:bottom w:val="single" w:sz="4" w:space="0" w:color="auto"/>
              <w:right w:val="single" w:sz="4" w:space="0" w:color="auto"/>
            </w:tcBorders>
            <w:shd w:val="clear" w:color="auto" w:fill="auto"/>
            <w:vAlign w:val="center"/>
          </w:tcPr>
          <w:p w14:paraId="4C0E13E0" w14:textId="77777777" w:rsidR="004A08F4" w:rsidRPr="0097510B" w:rsidRDefault="004A08F4" w:rsidP="0082204C">
            <w:pPr>
              <w:widowControl w:val="0"/>
              <w:jc w:val="left"/>
              <w:rPr>
                <w:sz w:val="20"/>
                <w:szCs w:val="20"/>
                <w:lang w:val="en-CA" w:eastAsia="en-CA"/>
              </w:rPr>
            </w:pPr>
            <w:r w:rsidRPr="0097510B">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531D4926" w14:textId="77777777" w:rsidR="004A08F4" w:rsidRPr="0097510B" w:rsidRDefault="004A08F4" w:rsidP="0082204C">
            <w:pPr>
              <w:widowControl w:val="0"/>
              <w:jc w:val="left"/>
              <w:rPr>
                <w:sz w:val="20"/>
                <w:szCs w:val="20"/>
                <w:lang w:val="en-CA" w:eastAsia="en-CA"/>
              </w:rPr>
            </w:pPr>
            <w:r w:rsidRPr="0097510B">
              <w:rPr>
                <w:sz w:val="20"/>
                <w:szCs w:val="20"/>
                <w:lang w:val="en-CA" w:eastAsia="en-CA"/>
              </w:rPr>
              <w:t>Verification report on the implementation of the HCFC phase</w:t>
            </w:r>
            <w:r w:rsidRPr="0097510B">
              <w:rPr>
                <w:sz w:val="20"/>
                <w:szCs w:val="20"/>
                <w:lang w:val="en-CA" w:eastAsia="en-CA"/>
              </w:rPr>
              <w:noBreakHyphen/>
              <w:t>out management plan</w:t>
            </w:r>
          </w:p>
        </w:tc>
      </w:tr>
      <w:tr w:rsidR="004A08F4" w:rsidRPr="0097510B" w14:paraId="77EDD63D"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tcPr>
          <w:p w14:paraId="084DA84A" w14:textId="77777777" w:rsidR="004A08F4" w:rsidRPr="0097510B" w:rsidRDefault="004A08F4" w:rsidP="0082204C">
            <w:pPr>
              <w:widowControl w:val="0"/>
              <w:jc w:val="left"/>
              <w:rPr>
                <w:sz w:val="20"/>
                <w:szCs w:val="20"/>
                <w:lang w:val="en-CA" w:eastAsia="en-CA"/>
              </w:rPr>
            </w:pPr>
            <w:r w:rsidRPr="005C01DE">
              <w:rPr>
                <w:sz w:val="20"/>
                <w:szCs w:val="20"/>
                <w:lang w:val="en-CA" w:eastAsia="en-CA"/>
              </w:rPr>
              <w:t>DOM/REF/81/INV/63</w:t>
            </w:r>
          </w:p>
        </w:tc>
        <w:tc>
          <w:tcPr>
            <w:tcW w:w="1270" w:type="dxa"/>
            <w:tcBorders>
              <w:top w:val="nil"/>
              <w:left w:val="nil"/>
              <w:bottom w:val="single" w:sz="4" w:space="0" w:color="auto"/>
              <w:right w:val="single" w:sz="4" w:space="0" w:color="auto"/>
            </w:tcBorders>
            <w:shd w:val="clear" w:color="auto" w:fill="auto"/>
            <w:vAlign w:val="center"/>
          </w:tcPr>
          <w:p w14:paraId="263DE624" w14:textId="77777777" w:rsidR="004A08F4" w:rsidRPr="0097510B" w:rsidRDefault="004A08F4" w:rsidP="0082204C">
            <w:pPr>
              <w:widowControl w:val="0"/>
              <w:jc w:val="left"/>
              <w:rPr>
                <w:sz w:val="20"/>
                <w:szCs w:val="20"/>
                <w:lang w:val="en-CA" w:eastAsia="en-CA"/>
              </w:rPr>
            </w:pPr>
            <w:r>
              <w:rPr>
                <w:sz w:val="20"/>
                <w:szCs w:val="20"/>
                <w:lang w:val="en-CA" w:eastAsia="en-CA"/>
              </w:rPr>
              <w:t>UNDP</w:t>
            </w:r>
          </w:p>
        </w:tc>
        <w:tc>
          <w:tcPr>
            <w:tcW w:w="5959" w:type="dxa"/>
            <w:tcBorders>
              <w:top w:val="nil"/>
              <w:left w:val="nil"/>
              <w:bottom w:val="single" w:sz="4" w:space="0" w:color="auto"/>
              <w:right w:val="single" w:sz="4" w:space="0" w:color="auto"/>
            </w:tcBorders>
            <w:shd w:val="clear" w:color="auto" w:fill="FFFFFF" w:themeFill="background1"/>
            <w:vAlign w:val="center"/>
          </w:tcPr>
          <w:p w14:paraId="2FB2C2F4" w14:textId="77777777" w:rsidR="004A08F4" w:rsidRPr="005C01DE" w:rsidRDefault="004A08F4" w:rsidP="0082204C">
            <w:pPr>
              <w:widowControl w:val="0"/>
              <w:jc w:val="left"/>
              <w:rPr>
                <w:sz w:val="20"/>
                <w:szCs w:val="20"/>
                <w:lang w:val="en-CA" w:eastAsia="en-CA"/>
              </w:rPr>
            </w:pPr>
            <w:r w:rsidRPr="005C01DE">
              <w:rPr>
                <w:sz w:val="20"/>
                <w:szCs w:val="20"/>
                <w:lang w:val="en-CA" w:eastAsia="en-CA"/>
              </w:rPr>
              <w:t xml:space="preserve">Conversion of a commercial refrigerator manufacturing line at Fábrica de Refrigeradores Comerciales, </w:t>
            </w:r>
            <w:r>
              <w:rPr>
                <w:sz w:val="20"/>
                <w:szCs w:val="20"/>
                <w:lang w:val="en-CA" w:eastAsia="en-CA"/>
              </w:rPr>
              <w:t>SRL (FARCO) from HFC-134a and R</w:t>
            </w:r>
            <w:r>
              <w:rPr>
                <w:sz w:val="20"/>
                <w:szCs w:val="20"/>
                <w:lang w:val="en-CA" w:eastAsia="en-CA"/>
              </w:rPr>
              <w:noBreakHyphen/>
            </w:r>
            <w:r w:rsidRPr="005C01DE">
              <w:rPr>
                <w:sz w:val="20"/>
                <w:szCs w:val="20"/>
                <w:lang w:val="en-CA" w:eastAsia="en-CA"/>
              </w:rPr>
              <w:t>404A to propane (R-290) as refrigerant</w:t>
            </w:r>
          </w:p>
        </w:tc>
      </w:tr>
      <w:tr w:rsidR="004A08F4" w:rsidRPr="0097510B" w14:paraId="29FC5BE1"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tcPr>
          <w:p w14:paraId="7A40ECED" w14:textId="77777777" w:rsidR="004A08F4" w:rsidRPr="005C01DE" w:rsidRDefault="004A08F4" w:rsidP="0082204C">
            <w:pPr>
              <w:widowControl w:val="0"/>
              <w:jc w:val="left"/>
              <w:rPr>
                <w:sz w:val="20"/>
                <w:szCs w:val="20"/>
                <w:lang w:val="en-CA" w:eastAsia="en-CA"/>
              </w:rPr>
            </w:pPr>
            <w:r w:rsidRPr="006E7799">
              <w:rPr>
                <w:sz w:val="20"/>
                <w:szCs w:val="20"/>
                <w:lang w:val="en-CA" w:eastAsia="en-CA"/>
              </w:rPr>
              <w:t>EGY/ARS/50/INV/92</w:t>
            </w:r>
          </w:p>
        </w:tc>
        <w:tc>
          <w:tcPr>
            <w:tcW w:w="1270" w:type="dxa"/>
            <w:tcBorders>
              <w:top w:val="nil"/>
              <w:left w:val="nil"/>
              <w:bottom w:val="single" w:sz="4" w:space="0" w:color="auto"/>
              <w:right w:val="single" w:sz="4" w:space="0" w:color="auto"/>
            </w:tcBorders>
            <w:shd w:val="clear" w:color="auto" w:fill="auto"/>
            <w:vAlign w:val="center"/>
          </w:tcPr>
          <w:p w14:paraId="27CE2939" w14:textId="77777777" w:rsidR="004A08F4" w:rsidRDefault="004A08F4" w:rsidP="0082204C">
            <w:pPr>
              <w:widowControl w:val="0"/>
              <w:jc w:val="left"/>
              <w:rPr>
                <w:sz w:val="20"/>
                <w:szCs w:val="20"/>
                <w:lang w:val="en-CA" w:eastAsia="en-CA"/>
              </w:rPr>
            </w:pPr>
            <w:r>
              <w:rPr>
                <w:sz w:val="20"/>
                <w:szCs w:val="20"/>
                <w:lang w:val="en-CA" w:eastAsia="en-CA"/>
              </w:rPr>
              <w:t>UNIDO</w:t>
            </w:r>
          </w:p>
        </w:tc>
        <w:tc>
          <w:tcPr>
            <w:tcW w:w="5959" w:type="dxa"/>
            <w:tcBorders>
              <w:top w:val="nil"/>
              <w:left w:val="nil"/>
              <w:bottom w:val="single" w:sz="4" w:space="0" w:color="auto"/>
              <w:right w:val="single" w:sz="4" w:space="0" w:color="auto"/>
            </w:tcBorders>
            <w:shd w:val="clear" w:color="auto" w:fill="FFFFFF" w:themeFill="background1"/>
            <w:vAlign w:val="center"/>
          </w:tcPr>
          <w:p w14:paraId="2B10438E" w14:textId="77777777" w:rsidR="004A08F4" w:rsidRPr="005C01DE" w:rsidRDefault="004A08F4" w:rsidP="0082204C">
            <w:pPr>
              <w:widowControl w:val="0"/>
              <w:jc w:val="left"/>
              <w:rPr>
                <w:sz w:val="20"/>
                <w:szCs w:val="20"/>
                <w:lang w:val="en-CA" w:eastAsia="en-CA"/>
              </w:rPr>
            </w:pPr>
            <w:r w:rsidRPr="006E7799">
              <w:rPr>
                <w:sz w:val="20"/>
                <w:szCs w:val="20"/>
                <w:lang w:val="en-CA" w:eastAsia="en-CA"/>
              </w:rPr>
              <w:t>Phase-out of CFC consumption in the manufacture of aerosol metered dose inhalers (MDIs)</w:t>
            </w:r>
          </w:p>
        </w:tc>
      </w:tr>
      <w:tr w:rsidR="004A08F4" w:rsidRPr="0097510B" w14:paraId="1AA5F31A"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tcPr>
          <w:p w14:paraId="515D908B" w14:textId="77777777" w:rsidR="004A08F4" w:rsidRPr="005C01DE" w:rsidRDefault="004A08F4" w:rsidP="0082204C">
            <w:pPr>
              <w:widowControl w:val="0"/>
              <w:jc w:val="left"/>
              <w:rPr>
                <w:sz w:val="20"/>
                <w:szCs w:val="20"/>
                <w:lang w:val="en-CA" w:eastAsia="en-CA"/>
              </w:rPr>
            </w:pPr>
            <w:r w:rsidRPr="005C01DE">
              <w:rPr>
                <w:sz w:val="20"/>
                <w:szCs w:val="20"/>
                <w:lang w:val="en-CA" w:eastAsia="en-CA"/>
              </w:rPr>
              <w:t>EGY/FOA/76/DEM/129</w:t>
            </w:r>
          </w:p>
        </w:tc>
        <w:tc>
          <w:tcPr>
            <w:tcW w:w="1270" w:type="dxa"/>
            <w:tcBorders>
              <w:top w:val="nil"/>
              <w:left w:val="nil"/>
              <w:bottom w:val="single" w:sz="4" w:space="0" w:color="auto"/>
              <w:right w:val="single" w:sz="4" w:space="0" w:color="auto"/>
            </w:tcBorders>
            <w:shd w:val="clear" w:color="auto" w:fill="auto"/>
            <w:vAlign w:val="center"/>
          </w:tcPr>
          <w:p w14:paraId="0D7EFB1E" w14:textId="77777777" w:rsidR="004A08F4" w:rsidRDefault="004A08F4" w:rsidP="0082204C">
            <w:pPr>
              <w:widowControl w:val="0"/>
              <w:jc w:val="left"/>
              <w:rPr>
                <w:sz w:val="20"/>
                <w:szCs w:val="20"/>
                <w:lang w:val="en-CA" w:eastAsia="en-CA"/>
              </w:rPr>
            </w:pPr>
            <w:r>
              <w:rPr>
                <w:sz w:val="20"/>
                <w:szCs w:val="20"/>
                <w:lang w:val="en-CA" w:eastAsia="en-CA"/>
              </w:rPr>
              <w:t>UNDP</w:t>
            </w:r>
          </w:p>
        </w:tc>
        <w:tc>
          <w:tcPr>
            <w:tcW w:w="5959" w:type="dxa"/>
            <w:tcBorders>
              <w:top w:val="nil"/>
              <w:left w:val="nil"/>
              <w:bottom w:val="single" w:sz="4" w:space="0" w:color="auto"/>
              <w:right w:val="single" w:sz="4" w:space="0" w:color="auto"/>
            </w:tcBorders>
            <w:shd w:val="clear" w:color="auto" w:fill="FFFFFF" w:themeFill="background1"/>
            <w:vAlign w:val="center"/>
          </w:tcPr>
          <w:p w14:paraId="5B746079" w14:textId="77777777" w:rsidR="004A08F4" w:rsidRPr="005C01DE" w:rsidRDefault="004A08F4" w:rsidP="0082204C">
            <w:pPr>
              <w:widowControl w:val="0"/>
              <w:jc w:val="left"/>
              <w:rPr>
                <w:sz w:val="20"/>
                <w:szCs w:val="20"/>
                <w:lang w:val="en-CA" w:eastAsia="en-CA"/>
              </w:rPr>
            </w:pPr>
            <w:r w:rsidRPr="005C01DE">
              <w:rPr>
                <w:sz w:val="20"/>
                <w:szCs w:val="20"/>
                <w:lang w:val="en-CA" w:eastAsia="en-CA"/>
              </w:rPr>
              <w:t>Demonstration of Low Cost Options for the Conversion to non-ODS Technologies in PU Foams at Very Small Users (VSUs)</w:t>
            </w:r>
          </w:p>
        </w:tc>
      </w:tr>
      <w:tr w:rsidR="004A08F4" w:rsidRPr="0097510B" w14:paraId="2A117801"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tcPr>
          <w:p w14:paraId="6B6BEA8F" w14:textId="77777777" w:rsidR="004A08F4" w:rsidRPr="0097510B" w:rsidRDefault="004A08F4" w:rsidP="0082204C">
            <w:pPr>
              <w:widowControl w:val="0"/>
              <w:jc w:val="left"/>
              <w:rPr>
                <w:sz w:val="20"/>
                <w:szCs w:val="20"/>
                <w:lang w:val="en-CA" w:eastAsia="en-CA"/>
              </w:rPr>
            </w:pPr>
            <w:r w:rsidRPr="0097510B">
              <w:rPr>
                <w:sz w:val="20"/>
                <w:szCs w:val="20"/>
                <w:lang w:val="en-CA" w:eastAsia="en-CA"/>
              </w:rPr>
              <w:t>GUY/PHA/77/TAS/29</w:t>
            </w:r>
          </w:p>
        </w:tc>
        <w:tc>
          <w:tcPr>
            <w:tcW w:w="1270" w:type="dxa"/>
            <w:tcBorders>
              <w:top w:val="nil"/>
              <w:left w:val="nil"/>
              <w:bottom w:val="single" w:sz="4" w:space="0" w:color="auto"/>
              <w:right w:val="single" w:sz="4" w:space="0" w:color="auto"/>
            </w:tcBorders>
            <w:shd w:val="clear" w:color="auto" w:fill="auto"/>
            <w:vAlign w:val="center"/>
          </w:tcPr>
          <w:p w14:paraId="2612600B" w14:textId="77777777" w:rsidR="004A08F4" w:rsidRPr="0097510B" w:rsidRDefault="004A08F4" w:rsidP="0082204C">
            <w:pPr>
              <w:widowControl w:val="0"/>
              <w:jc w:val="left"/>
              <w:rPr>
                <w:sz w:val="20"/>
                <w:szCs w:val="20"/>
                <w:lang w:val="en-CA" w:eastAsia="en-CA"/>
              </w:rPr>
            </w:pPr>
            <w:r w:rsidRPr="0097510B">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29FB55A6" w14:textId="77777777" w:rsidR="004A08F4" w:rsidRPr="0097510B" w:rsidRDefault="004A08F4" w:rsidP="0082204C">
            <w:pPr>
              <w:widowControl w:val="0"/>
              <w:jc w:val="left"/>
              <w:rPr>
                <w:sz w:val="20"/>
                <w:szCs w:val="20"/>
                <w:lang w:val="en-CA" w:eastAsia="en-CA"/>
              </w:rPr>
            </w:pPr>
            <w:r w:rsidRPr="0097510B">
              <w:rPr>
                <w:sz w:val="20"/>
                <w:szCs w:val="20"/>
                <w:lang w:val="en-CA" w:eastAsia="en-CA"/>
              </w:rPr>
              <w:t>Verification report on the implementation of the HCFC phase</w:t>
            </w:r>
            <w:r w:rsidRPr="0097510B">
              <w:rPr>
                <w:sz w:val="20"/>
                <w:szCs w:val="20"/>
                <w:lang w:val="en-CA" w:eastAsia="en-CA"/>
              </w:rPr>
              <w:noBreakHyphen/>
              <w:t>out management plan</w:t>
            </w:r>
          </w:p>
        </w:tc>
      </w:tr>
      <w:tr w:rsidR="004A08F4" w:rsidRPr="0097510B" w14:paraId="58954AD8"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tcPr>
          <w:p w14:paraId="7B3588C4" w14:textId="77777777" w:rsidR="004A08F4" w:rsidRPr="0097510B" w:rsidRDefault="004A08F4" w:rsidP="0082204C">
            <w:pPr>
              <w:widowControl w:val="0"/>
              <w:jc w:val="left"/>
              <w:rPr>
                <w:sz w:val="20"/>
                <w:szCs w:val="20"/>
                <w:lang w:val="en-CA" w:eastAsia="en-CA"/>
              </w:rPr>
            </w:pPr>
            <w:r w:rsidRPr="0097510B">
              <w:rPr>
                <w:sz w:val="20"/>
                <w:szCs w:val="20"/>
                <w:lang w:val="uz-Cyrl-UZ" w:eastAsia="en-CA"/>
              </w:rPr>
              <w:t>KUW/REF/75/TAS/29</w:t>
            </w:r>
          </w:p>
        </w:tc>
        <w:tc>
          <w:tcPr>
            <w:tcW w:w="1270" w:type="dxa"/>
            <w:tcBorders>
              <w:top w:val="nil"/>
              <w:left w:val="nil"/>
              <w:bottom w:val="single" w:sz="4" w:space="0" w:color="auto"/>
              <w:right w:val="single" w:sz="4" w:space="0" w:color="auto"/>
            </w:tcBorders>
            <w:shd w:val="clear" w:color="auto" w:fill="auto"/>
            <w:vAlign w:val="center"/>
          </w:tcPr>
          <w:p w14:paraId="4FCCAF34" w14:textId="77777777" w:rsidR="004A08F4" w:rsidRPr="0097510B" w:rsidRDefault="004A08F4" w:rsidP="0082204C">
            <w:pPr>
              <w:widowControl w:val="0"/>
              <w:jc w:val="left"/>
              <w:rPr>
                <w:sz w:val="20"/>
                <w:szCs w:val="20"/>
                <w:lang w:val="en-CA" w:eastAsia="en-CA"/>
              </w:rPr>
            </w:pPr>
            <w:r w:rsidRPr="0097510B">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7A6A3C39" w14:textId="77777777" w:rsidR="004A08F4" w:rsidRPr="0097510B" w:rsidRDefault="004A08F4" w:rsidP="0082204C">
            <w:pPr>
              <w:widowControl w:val="0"/>
              <w:jc w:val="left"/>
              <w:rPr>
                <w:sz w:val="20"/>
                <w:szCs w:val="20"/>
                <w:lang w:val="en-CA" w:eastAsia="en-CA"/>
              </w:rPr>
            </w:pPr>
            <w:r w:rsidRPr="0097510B">
              <w:rPr>
                <w:sz w:val="20"/>
                <w:szCs w:val="20"/>
                <w:lang w:val="en-CA" w:eastAsia="en-CA"/>
              </w:rPr>
              <w:t>Comparative analysis of three not-in-kind technologies for use in central air-conditioning (feasibility study for district cooling)</w:t>
            </w:r>
          </w:p>
        </w:tc>
      </w:tr>
      <w:tr w:rsidR="004A08F4" w:rsidRPr="0097510B" w14:paraId="0D4EEFAA" w14:textId="77777777" w:rsidTr="0082204C">
        <w:tc>
          <w:tcPr>
            <w:tcW w:w="2235" w:type="dxa"/>
            <w:tcBorders>
              <w:top w:val="nil"/>
              <w:left w:val="single" w:sz="4" w:space="0" w:color="auto"/>
              <w:bottom w:val="single" w:sz="4" w:space="0" w:color="auto"/>
              <w:right w:val="single" w:sz="4" w:space="0" w:color="auto"/>
            </w:tcBorders>
            <w:shd w:val="clear" w:color="auto" w:fill="auto"/>
            <w:vAlign w:val="center"/>
          </w:tcPr>
          <w:p w14:paraId="72652F49" w14:textId="77777777" w:rsidR="004A08F4" w:rsidRPr="0097510B" w:rsidRDefault="004A08F4" w:rsidP="0082204C">
            <w:pPr>
              <w:widowControl w:val="0"/>
              <w:contextualSpacing/>
              <w:jc w:val="left"/>
              <w:rPr>
                <w:sz w:val="20"/>
                <w:szCs w:val="20"/>
                <w:lang w:val="uz-Cyrl-UZ" w:eastAsia="en-CA"/>
              </w:rPr>
            </w:pPr>
            <w:r w:rsidRPr="0097510B">
              <w:rPr>
                <w:sz w:val="20"/>
                <w:szCs w:val="20"/>
                <w:lang w:val="en-CA" w:eastAsia="en-CA"/>
              </w:rPr>
              <w:t>THA/FOA/76/DEM/168</w:t>
            </w:r>
          </w:p>
        </w:tc>
        <w:tc>
          <w:tcPr>
            <w:tcW w:w="1270" w:type="dxa"/>
            <w:tcBorders>
              <w:top w:val="nil"/>
              <w:left w:val="nil"/>
              <w:bottom w:val="single" w:sz="4" w:space="0" w:color="auto"/>
              <w:right w:val="single" w:sz="4" w:space="0" w:color="auto"/>
            </w:tcBorders>
            <w:shd w:val="clear" w:color="auto" w:fill="auto"/>
            <w:vAlign w:val="center"/>
          </w:tcPr>
          <w:p w14:paraId="2ED3F629"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World Bank</w:t>
            </w:r>
          </w:p>
        </w:tc>
        <w:tc>
          <w:tcPr>
            <w:tcW w:w="5959" w:type="dxa"/>
            <w:tcBorders>
              <w:top w:val="nil"/>
              <w:left w:val="nil"/>
              <w:bottom w:val="single" w:sz="4" w:space="0" w:color="auto"/>
              <w:right w:val="single" w:sz="4" w:space="0" w:color="auto"/>
            </w:tcBorders>
            <w:shd w:val="clear" w:color="auto" w:fill="auto"/>
            <w:vAlign w:val="center"/>
          </w:tcPr>
          <w:p w14:paraId="14975971" w14:textId="77777777" w:rsidR="004A08F4" w:rsidRPr="0097510B" w:rsidRDefault="004A08F4" w:rsidP="0082204C">
            <w:pPr>
              <w:widowControl w:val="0"/>
              <w:contextualSpacing/>
              <w:jc w:val="left"/>
              <w:rPr>
                <w:bCs/>
                <w:sz w:val="20"/>
                <w:szCs w:val="20"/>
                <w:lang w:val="en-CA" w:eastAsia="en-CA"/>
              </w:rPr>
            </w:pPr>
            <w:r w:rsidRPr="0097510B">
              <w:rPr>
                <w:sz w:val="20"/>
                <w:szCs w:val="20"/>
                <w:lang w:val="en-CA" w:eastAsia="en-CA"/>
              </w:rPr>
              <w:t>Demonstration project at foam system houses to formulate pre</w:t>
            </w:r>
            <w:r w:rsidRPr="0097510B">
              <w:rPr>
                <w:sz w:val="20"/>
                <w:szCs w:val="20"/>
                <w:lang w:val="en-CA" w:eastAsia="en-CA"/>
              </w:rPr>
              <w:noBreakHyphen/>
              <w:t>blended polyol for spray polyurethane foam applications using low-global warming potential blowing agent</w:t>
            </w:r>
          </w:p>
        </w:tc>
      </w:tr>
    </w:tbl>
    <w:p w14:paraId="284CF54C" w14:textId="77777777" w:rsidR="004A08F4" w:rsidRDefault="004A08F4" w:rsidP="004A08F4">
      <w:pPr>
        <w:widowControl w:val="0"/>
        <w:spacing w:after="240"/>
        <w:rPr>
          <w:b/>
          <w:lang w:val="en-CA"/>
        </w:rPr>
        <w:sectPr w:rsidR="004A08F4" w:rsidSect="002F2E98">
          <w:headerReference w:type="even" r:id="rId24"/>
          <w:headerReference w:type="first" r:id="rId25"/>
          <w:footerReference w:type="first" r:id="rId26"/>
          <w:pgSz w:w="12240" w:h="15840" w:code="1"/>
          <w:pgMar w:top="720" w:right="1440" w:bottom="864" w:left="1440" w:header="720" w:footer="475" w:gutter="0"/>
          <w:pgNumType w:start="1"/>
          <w:cols w:space="720"/>
          <w:titlePg/>
        </w:sectPr>
      </w:pPr>
    </w:p>
    <w:p w14:paraId="365961F5" w14:textId="77777777" w:rsidR="00E90CE9" w:rsidRDefault="00E90CE9" w:rsidP="004A08F4">
      <w:pPr>
        <w:widowControl w:val="0"/>
        <w:spacing w:after="240"/>
        <w:jc w:val="center"/>
        <w:rPr>
          <w:b/>
        </w:rPr>
      </w:pPr>
    </w:p>
    <w:p w14:paraId="795D2D50" w14:textId="77777777" w:rsidR="00331D9A" w:rsidRDefault="00331D9A" w:rsidP="004A08F4">
      <w:pPr>
        <w:widowControl w:val="0"/>
        <w:spacing w:after="240"/>
        <w:jc w:val="center"/>
        <w:rPr>
          <w:b/>
        </w:rPr>
      </w:pPr>
    </w:p>
    <w:p w14:paraId="2B6B225A" w14:textId="2E4DCA78" w:rsidR="004A08F4" w:rsidRDefault="004A08F4" w:rsidP="004A08F4">
      <w:pPr>
        <w:widowControl w:val="0"/>
        <w:spacing w:after="240"/>
        <w:jc w:val="center"/>
        <w:rPr>
          <w:b/>
        </w:rPr>
      </w:pPr>
      <w:bookmarkStart w:id="11" w:name="_GoBack"/>
      <w:bookmarkEnd w:id="11"/>
      <w:r>
        <w:rPr>
          <w:b/>
        </w:rPr>
        <w:t xml:space="preserve">Annex III </w:t>
      </w:r>
    </w:p>
    <w:p w14:paraId="4811A3F2" w14:textId="77777777" w:rsidR="004A08F4" w:rsidRPr="009F2C38" w:rsidRDefault="004A08F4" w:rsidP="004A08F4">
      <w:pPr>
        <w:widowControl w:val="0"/>
        <w:spacing w:after="360"/>
        <w:jc w:val="center"/>
        <w:rPr>
          <w:b/>
          <w:sz w:val="24"/>
        </w:rPr>
      </w:pPr>
      <w:r>
        <w:rPr>
          <w:b/>
        </w:rPr>
        <w:t>OUTSTANDING INDIVIDUAL PCRs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798"/>
        <w:gridCol w:w="5412"/>
      </w:tblGrid>
      <w:tr w:rsidR="004A08F4" w:rsidRPr="0097510B" w14:paraId="68DF378E" w14:textId="77777777" w:rsidTr="0082204C">
        <w:trPr>
          <w:tblHeader/>
        </w:trPr>
        <w:tc>
          <w:tcPr>
            <w:tcW w:w="1235" w:type="pct"/>
            <w:tcBorders>
              <w:top w:val="single" w:sz="4" w:space="0" w:color="auto"/>
              <w:left w:val="single" w:sz="4" w:space="0" w:color="auto"/>
              <w:bottom w:val="single" w:sz="4" w:space="0" w:color="auto"/>
              <w:right w:val="single" w:sz="4" w:space="0" w:color="auto"/>
            </w:tcBorders>
            <w:vAlign w:val="center"/>
            <w:hideMark/>
          </w:tcPr>
          <w:p w14:paraId="67CB5F2A" w14:textId="77777777" w:rsidR="004A08F4" w:rsidRPr="0097510B" w:rsidRDefault="004A08F4" w:rsidP="0082204C">
            <w:pPr>
              <w:widowControl w:val="0"/>
              <w:contextualSpacing/>
              <w:jc w:val="left"/>
              <w:rPr>
                <w:b/>
                <w:bCs/>
                <w:sz w:val="20"/>
                <w:szCs w:val="20"/>
                <w:lang w:val="en-CA" w:eastAsia="en-CA"/>
              </w:rPr>
            </w:pPr>
            <w:r w:rsidRPr="0097510B">
              <w:rPr>
                <w:b/>
                <w:bCs/>
                <w:sz w:val="20"/>
                <w:szCs w:val="20"/>
                <w:lang w:val="en-CA" w:eastAsia="en-CA"/>
              </w:rPr>
              <w:t>Project Number</w:t>
            </w:r>
          </w:p>
        </w:tc>
        <w:tc>
          <w:tcPr>
            <w:tcW w:w="939" w:type="pct"/>
            <w:tcBorders>
              <w:top w:val="single" w:sz="4" w:space="0" w:color="auto"/>
              <w:left w:val="single" w:sz="4" w:space="0" w:color="auto"/>
              <w:bottom w:val="single" w:sz="4" w:space="0" w:color="auto"/>
              <w:right w:val="single" w:sz="4" w:space="0" w:color="auto"/>
            </w:tcBorders>
            <w:vAlign w:val="center"/>
            <w:hideMark/>
          </w:tcPr>
          <w:p w14:paraId="000ECFD0" w14:textId="77777777" w:rsidR="004A08F4" w:rsidRPr="0097510B" w:rsidRDefault="004A08F4" w:rsidP="0082204C">
            <w:pPr>
              <w:widowControl w:val="0"/>
              <w:contextualSpacing/>
              <w:jc w:val="left"/>
              <w:rPr>
                <w:b/>
                <w:bCs/>
                <w:sz w:val="20"/>
                <w:szCs w:val="20"/>
                <w:lang w:val="en-CA" w:eastAsia="en-CA"/>
              </w:rPr>
            </w:pPr>
            <w:r w:rsidRPr="0097510B">
              <w:rPr>
                <w:b/>
                <w:bCs/>
                <w:sz w:val="20"/>
                <w:szCs w:val="20"/>
                <w:lang w:val="en-CA" w:eastAsia="en-CA"/>
              </w:rPr>
              <w:t>Agency</w:t>
            </w:r>
          </w:p>
        </w:tc>
        <w:tc>
          <w:tcPr>
            <w:tcW w:w="2826" w:type="pct"/>
            <w:tcBorders>
              <w:top w:val="single" w:sz="4" w:space="0" w:color="auto"/>
              <w:left w:val="single" w:sz="4" w:space="0" w:color="auto"/>
              <w:bottom w:val="single" w:sz="4" w:space="0" w:color="auto"/>
              <w:right w:val="single" w:sz="4" w:space="0" w:color="auto"/>
            </w:tcBorders>
            <w:vAlign w:val="center"/>
            <w:hideMark/>
          </w:tcPr>
          <w:p w14:paraId="53471436" w14:textId="77777777" w:rsidR="004A08F4" w:rsidRPr="0097510B" w:rsidRDefault="004A08F4" w:rsidP="0082204C">
            <w:pPr>
              <w:widowControl w:val="0"/>
              <w:contextualSpacing/>
              <w:jc w:val="left"/>
              <w:rPr>
                <w:b/>
                <w:bCs/>
                <w:sz w:val="20"/>
                <w:szCs w:val="20"/>
                <w:lang w:val="en-CA" w:eastAsia="en-CA"/>
              </w:rPr>
            </w:pPr>
            <w:r w:rsidRPr="0097510B">
              <w:rPr>
                <w:b/>
                <w:bCs/>
                <w:sz w:val="20"/>
                <w:szCs w:val="20"/>
                <w:lang w:val="en-CA" w:eastAsia="en-CA"/>
              </w:rPr>
              <w:t>Project Title</w:t>
            </w:r>
          </w:p>
        </w:tc>
      </w:tr>
      <w:tr w:rsidR="004A08F4" w:rsidRPr="0097510B" w14:paraId="00099975" w14:textId="77777777" w:rsidTr="0082204C">
        <w:tc>
          <w:tcPr>
            <w:tcW w:w="1235" w:type="pct"/>
            <w:tcBorders>
              <w:top w:val="single" w:sz="4" w:space="0" w:color="auto"/>
              <w:left w:val="single" w:sz="4" w:space="0" w:color="auto"/>
              <w:bottom w:val="single" w:sz="4" w:space="0" w:color="auto"/>
              <w:right w:val="single" w:sz="4" w:space="0" w:color="auto"/>
            </w:tcBorders>
            <w:vAlign w:val="center"/>
          </w:tcPr>
          <w:p w14:paraId="56632531"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ASP/REF/76/DEM/59</w:t>
            </w:r>
          </w:p>
        </w:tc>
        <w:tc>
          <w:tcPr>
            <w:tcW w:w="939" w:type="pct"/>
            <w:tcBorders>
              <w:top w:val="single" w:sz="4" w:space="0" w:color="auto"/>
              <w:left w:val="single" w:sz="4" w:space="0" w:color="auto"/>
              <w:bottom w:val="single" w:sz="4" w:space="0" w:color="auto"/>
              <w:right w:val="single" w:sz="4" w:space="0" w:color="auto"/>
            </w:tcBorders>
            <w:vAlign w:val="center"/>
          </w:tcPr>
          <w:p w14:paraId="3496A424"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1223BCAB"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Promoting alternative refrigerants in air-conditioning for high ambient countries in West Asia (PRAHA-II)</w:t>
            </w:r>
          </w:p>
        </w:tc>
      </w:tr>
      <w:tr w:rsidR="004A08F4" w:rsidRPr="0097510B" w14:paraId="018D0DC4" w14:textId="77777777" w:rsidTr="0082204C">
        <w:tc>
          <w:tcPr>
            <w:tcW w:w="1235" w:type="pct"/>
            <w:tcBorders>
              <w:top w:val="single" w:sz="4" w:space="0" w:color="auto"/>
              <w:left w:val="single" w:sz="4" w:space="0" w:color="auto"/>
              <w:bottom w:val="single" w:sz="4" w:space="0" w:color="auto"/>
              <w:right w:val="single" w:sz="4" w:space="0" w:color="auto"/>
            </w:tcBorders>
            <w:vAlign w:val="center"/>
          </w:tcPr>
          <w:p w14:paraId="0B50CCDD"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BOT/PHA/80/TAS/20</w:t>
            </w:r>
          </w:p>
        </w:tc>
        <w:tc>
          <w:tcPr>
            <w:tcW w:w="939" w:type="pct"/>
            <w:tcBorders>
              <w:top w:val="single" w:sz="4" w:space="0" w:color="auto"/>
              <w:left w:val="single" w:sz="4" w:space="0" w:color="auto"/>
              <w:bottom w:val="single" w:sz="4" w:space="0" w:color="auto"/>
              <w:right w:val="single" w:sz="4" w:space="0" w:color="auto"/>
            </w:tcBorders>
            <w:vAlign w:val="center"/>
          </w:tcPr>
          <w:p w14:paraId="35CFE5F8"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3B63E9F"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Verification report on the implementation of the HCFC phase</w:t>
            </w:r>
            <w:r w:rsidRPr="0097510B">
              <w:rPr>
                <w:bCs/>
                <w:sz w:val="20"/>
                <w:szCs w:val="20"/>
                <w:lang w:val="en-CA" w:eastAsia="en-CA"/>
              </w:rPr>
              <w:noBreakHyphen/>
              <w:t>out management plan</w:t>
            </w:r>
          </w:p>
        </w:tc>
      </w:tr>
      <w:tr w:rsidR="004A08F4" w:rsidRPr="0097510B" w14:paraId="530EC844"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1B55CDEE" w14:textId="77777777" w:rsidR="004A08F4" w:rsidRPr="006B1D2C" w:rsidRDefault="004A08F4" w:rsidP="0082204C">
            <w:pPr>
              <w:widowControl w:val="0"/>
              <w:contextualSpacing/>
              <w:jc w:val="left"/>
              <w:rPr>
                <w:sz w:val="20"/>
                <w:szCs w:val="20"/>
                <w:lang w:val="fr-CA" w:eastAsia="en-CA"/>
              </w:rPr>
            </w:pPr>
            <w:r w:rsidRPr="0097510B">
              <w:rPr>
                <w:sz w:val="20"/>
                <w:szCs w:val="20"/>
                <w:lang w:val="uz-Cyrl-UZ" w:eastAsia="en-CA"/>
              </w:rPr>
              <w:t>COI/PHA/80/TAS/26</w:t>
            </w:r>
            <w:r>
              <w:rPr>
                <w:sz w:val="20"/>
                <w:szCs w:val="20"/>
                <w:lang w:val="fr-CA" w:eastAsia="en-CA"/>
              </w:rPr>
              <w:t>*</w:t>
            </w:r>
          </w:p>
        </w:tc>
        <w:tc>
          <w:tcPr>
            <w:tcW w:w="939" w:type="pct"/>
            <w:tcBorders>
              <w:top w:val="single" w:sz="4" w:space="0" w:color="auto"/>
              <w:left w:val="single" w:sz="4" w:space="0" w:color="auto"/>
              <w:bottom w:val="single" w:sz="4" w:space="0" w:color="auto"/>
              <w:right w:val="single" w:sz="4" w:space="0" w:color="auto"/>
            </w:tcBorders>
            <w:noWrap/>
            <w:vAlign w:val="center"/>
          </w:tcPr>
          <w:p w14:paraId="45C9E001"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6CA362B6"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Verification report on the implementation of the HCFC phase</w:t>
            </w:r>
            <w:r w:rsidRPr="0097510B">
              <w:rPr>
                <w:bCs/>
                <w:sz w:val="20"/>
                <w:szCs w:val="20"/>
                <w:lang w:val="en-CA" w:eastAsia="en-CA"/>
              </w:rPr>
              <w:noBreakHyphen/>
              <w:t>out management plan</w:t>
            </w:r>
          </w:p>
        </w:tc>
      </w:tr>
      <w:tr w:rsidR="004A08F4" w:rsidRPr="0097510B" w14:paraId="05EAC259"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7925C51F"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DJI/PHA/80/TAS/24</w:t>
            </w:r>
            <w:r>
              <w:rPr>
                <w:sz w:val="20"/>
                <w:szCs w:val="20"/>
                <w:lang w:val="en-CA" w:eastAsia="en-CA"/>
              </w:rPr>
              <w:t>*</w:t>
            </w:r>
          </w:p>
        </w:tc>
        <w:tc>
          <w:tcPr>
            <w:tcW w:w="939" w:type="pct"/>
            <w:tcBorders>
              <w:top w:val="single" w:sz="4" w:space="0" w:color="auto"/>
              <w:left w:val="single" w:sz="4" w:space="0" w:color="auto"/>
              <w:bottom w:val="single" w:sz="4" w:space="0" w:color="auto"/>
              <w:right w:val="single" w:sz="4" w:space="0" w:color="auto"/>
            </w:tcBorders>
            <w:noWrap/>
            <w:vAlign w:val="center"/>
          </w:tcPr>
          <w:p w14:paraId="39083019"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A29F00C"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Verification report on the implementation of the HCFC phase</w:t>
            </w:r>
            <w:r w:rsidRPr="0097510B">
              <w:rPr>
                <w:bCs/>
                <w:sz w:val="20"/>
                <w:szCs w:val="20"/>
                <w:lang w:val="en-CA" w:eastAsia="en-CA"/>
              </w:rPr>
              <w:noBreakHyphen/>
              <w:t>out management plan</w:t>
            </w:r>
          </w:p>
        </w:tc>
      </w:tr>
      <w:tr w:rsidR="004A08F4" w:rsidRPr="0097510B" w14:paraId="3C9CC28D"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1A2E7679"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EUR/REF/76/DEM/16</w:t>
            </w:r>
            <w:r>
              <w:rPr>
                <w:sz w:val="20"/>
                <w:szCs w:val="20"/>
                <w:lang w:val="en-CA" w:eastAsia="en-CA"/>
              </w:rPr>
              <w:t>*</w:t>
            </w:r>
          </w:p>
        </w:tc>
        <w:tc>
          <w:tcPr>
            <w:tcW w:w="939" w:type="pct"/>
            <w:tcBorders>
              <w:top w:val="single" w:sz="4" w:space="0" w:color="auto"/>
              <w:left w:val="single" w:sz="4" w:space="0" w:color="auto"/>
              <w:bottom w:val="single" w:sz="4" w:space="0" w:color="auto"/>
              <w:right w:val="single" w:sz="4" w:space="0" w:color="auto"/>
            </w:tcBorders>
            <w:noWrap/>
            <w:vAlign w:val="center"/>
          </w:tcPr>
          <w:p w14:paraId="0383C4E5"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Russian Federation</w:t>
            </w:r>
          </w:p>
        </w:tc>
        <w:tc>
          <w:tcPr>
            <w:tcW w:w="2826" w:type="pct"/>
            <w:tcBorders>
              <w:top w:val="single" w:sz="4" w:space="0" w:color="auto"/>
              <w:left w:val="single" w:sz="4" w:space="0" w:color="auto"/>
              <w:bottom w:val="single" w:sz="4" w:space="0" w:color="auto"/>
              <w:right w:val="single" w:sz="4" w:space="0" w:color="auto"/>
            </w:tcBorders>
            <w:vAlign w:val="center"/>
          </w:tcPr>
          <w:p w14:paraId="71253CDC"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Development of a regional centre of excellence for training and certification and demonstration of low-global warming potential alternative refrigerants</w:t>
            </w:r>
          </w:p>
        </w:tc>
      </w:tr>
      <w:tr w:rsidR="004A08F4" w:rsidRPr="0097510B" w14:paraId="3EA0427B"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64E07429"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GAB/PHA/80/TAS/35</w:t>
            </w:r>
            <w:r>
              <w:rPr>
                <w:sz w:val="20"/>
                <w:szCs w:val="20"/>
                <w:lang w:val="en-CA" w:eastAsia="en-CA"/>
              </w:rPr>
              <w:t>*</w:t>
            </w:r>
          </w:p>
        </w:tc>
        <w:tc>
          <w:tcPr>
            <w:tcW w:w="939" w:type="pct"/>
            <w:tcBorders>
              <w:top w:val="single" w:sz="4" w:space="0" w:color="auto"/>
              <w:left w:val="single" w:sz="4" w:space="0" w:color="auto"/>
              <w:bottom w:val="single" w:sz="4" w:space="0" w:color="auto"/>
              <w:right w:val="single" w:sz="4" w:space="0" w:color="auto"/>
            </w:tcBorders>
            <w:noWrap/>
            <w:vAlign w:val="center"/>
          </w:tcPr>
          <w:p w14:paraId="11D53A0A"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3C204FC0"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Verification report on the implementation of the HCFC phase</w:t>
            </w:r>
            <w:r w:rsidRPr="0097510B">
              <w:rPr>
                <w:sz w:val="20"/>
                <w:szCs w:val="20"/>
                <w:lang w:val="en-CA" w:eastAsia="en-CA"/>
              </w:rPr>
              <w:noBreakHyphen/>
              <w:t>out management plan</w:t>
            </w:r>
          </w:p>
        </w:tc>
      </w:tr>
      <w:tr w:rsidR="004A08F4" w:rsidRPr="0097510B" w14:paraId="77BD9CA3"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25233856" w14:textId="77777777" w:rsidR="004A08F4" w:rsidRPr="0097510B" w:rsidRDefault="004A08F4" w:rsidP="0082204C">
            <w:pPr>
              <w:widowControl w:val="0"/>
              <w:contextualSpacing/>
              <w:jc w:val="left"/>
              <w:rPr>
                <w:sz w:val="20"/>
                <w:szCs w:val="20"/>
                <w:highlight w:val="yellow"/>
                <w:lang w:val="en-CA" w:eastAsia="en-CA"/>
              </w:rPr>
            </w:pPr>
            <w:r w:rsidRPr="0097510B">
              <w:rPr>
                <w:sz w:val="20"/>
                <w:szCs w:val="20"/>
                <w:lang w:val="en-CA" w:eastAsia="en-CA"/>
              </w:rPr>
              <w:t>GLO/REF/47/DEM/268</w:t>
            </w:r>
          </w:p>
        </w:tc>
        <w:tc>
          <w:tcPr>
            <w:tcW w:w="939" w:type="pct"/>
            <w:tcBorders>
              <w:top w:val="single" w:sz="4" w:space="0" w:color="auto"/>
              <w:left w:val="single" w:sz="4" w:space="0" w:color="auto"/>
              <w:bottom w:val="single" w:sz="4" w:space="0" w:color="auto"/>
              <w:right w:val="single" w:sz="4" w:space="0" w:color="auto"/>
            </w:tcBorders>
            <w:noWrap/>
            <w:vAlign w:val="center"/>
          </w:tcPr>
          <w:p w14:paraId="5334F1F0"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313274F5" w14:textId="77777777" w:rsidR="004A08F4" w:rsidRPr="0097510B" w:rsidRDefault="004A08F4" w:rsidP="0082204C">
            <w:pPr>
              <w:widowControl w:val="0"/>
              <w:contextualSpacing/>
              <w:jc w:val="left"/>
              <w:rPr>
                <w:sz w:val="20"/>
                <w:szCs w:val="20"/>
                <w:highlight w:val="yellow"/>
                <w:lang w:val="en-CA" w:eastAsia="en-CA"/>
              </w:rPr>
            </w:pPr>
            <w:r w:rsidRPr="0097510B">
              <w:rPr>
                <w:sz w:val="20"/>
                <w:szCs w:val="20"/>
                <w:lang w:val="en-CA" w:eastAsia="en-CA"/>
              </w:rPr>
              <w:t>Global chiller replacement project (China, India, Indonesia, Malaysia and Philippines)</w:t>
            </w:r>
          </w:p>
        </w:tc>
      </w:tr>
      <w:tr w:rsidR="004A08F4" w:rsidRPr="0097510B" w14:paraId="0E4E88C0" w14:textId="77777777" w:rsidTr="0082204C">
        <w:tc>
          <w:tcPr>
            <w:tcW w:w="1235" w:type="pct"/>
            <w:tcBorders>
              <w:top w:val="single" w:sz="4" w:space="0" w:color="auto"/>
              <w:left w:val="single" w:sz="4" w:space="0" w:color="auto"/>
              <w:bottom w:val="single" w:sz="4" w:space="0" w:color="auto"/>
              <w:right w:val="single" w:sz="4" w:space="0" w:color="auto"/>
            </w:tcBorders>
            <w:vAlign w:val="center"/>
          </w:tcPr>
          <w:p w14:paraId="402F1DEA" w14:textId="77777777" w:rsidR="004A08F4" w:rsidRPr="0097510B" w:rsidRDefault="004A08F4" w:rsidP="0082204C">
            <w:pPr>
              <w:widowControl w:val="0"/>
              <w:contextualSpacing/>
              <w:jc w:val="left"/>
              <w:rPr>
                <w:b/>
                <w:bCs/>
                <w:sz w:val="20"/>
                <w:szCs w:val="20"/>
                <w:lang w:val="en-CA" w:eastAsia="en-CA"/>
              </w:rPr>
            </w:pPr>
            <w:r w:rsidRPr="0097510B">
              <w:rPr>
                <w:sz w:val="20"/>
                <w:szCs w:val="20"/>
                <w:lang w:val="en-CA" w:eastAsia="en-CA"/>
              </w:rPr>
              <w:t>GLO/SEV/47/TAS/269</w:t>
            </w:r>
          </w:p>
        </w:tc>
        <w:tc>
          <w:tcPr>
            <w:tcW w:w="939" w:type="pct"/>
            <w:tcBorders>
              <w:top w:val="single" w:sz="4" w:space="0" w:color="auto"/>
              <w:left w:val="single" w:sz="4" w:space="0" w:color="auto"/>
              <w:bottom w:val="single" w:sz="4" w:space="0" w:color="auto"/>
              <w:right w:val="single" w:sz="4" w:space="0" w:color="auto"/>
            </w:tcBorders>
            <w:vAlign w:val="center"/>
          </w:tcPr>
          <w:p w14:paraId="6A9B67DB"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Portugal</w:t>
            </w:r>
          </w:p>
        </w:tc>
        <w:tc>
          <w:tcPr>
            <w:tcW w:w="2826" w:type="pct"/>
            <w:tcBorders>
              <w:top w:val="single" w:sz="4" w:space="0" w:color="auto"/>
              <w:left w:val="single" w:sz="4" w:space="0" w:color="auto"/>
              <w:bottom w:val="single" w:sz="4" w:space="0" w:color="auto"/>
              <w:right w:val="single" w:sz="4" w:space="0" w:color="auto"/>
            </w:tcBorders>
            <w:vAlign w:val="center"/>
          </w:tcPr>
          <w:p w14:paraId="66EC3232"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Communication and cooperation support to Portuguese speaking countries (Angola, Cape Verde, East Timor, Guinea Bissau, Mozambique and Sao Tome and Principe)</w:t>
            </w:r>
          </w:p>
        </w:tc>
      </w:tr>
      <w:tr w:rsidR="004A08F4" w:rsidRPr="0097510B" w14:paraId="11E96F99"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75E0E665" w14:textId="77777777" w:rsidR="004A08F4" w:rsidRPr="0097510B" w:rsidRDefault="004A08F4" w:rsidP="0082204C">
            <w:pPr>
              <w:widowControl w:val="0"/>
              <w:contextualSpacing/>
              <w:jc w:val="left"/>
              <w:rPr>
                <w:sz w:val="20"/>
                <w:szCs w:val="20"/>
                <w:highlight w:val="yellow"/>
                <w:lang w:val="en-CA" w:eastAsia="en-CA"/>
              </w:rPr>
            </w:pPr>
            <w:r w:rsidRPr="0097510B">
              <w:rPr>
                <w:sz w:val="20"/>
                <w:szCs w:val="20"/>
                <w:lang w:val="en-CA" w:eastAsia="en-CA"/>
              </w:rPr>
              <w:t>GLO/SEV/63/TAS/309</w:t>
            </w:r>
          </w:p>
        </w:tc>
        <w:tc>
          <w:tcPr>
            <w:tcW w:w="939" w:type="pct"/>
            <w:tcBorders>
              <w:top w:val="single" w:sz="4" w:space="0" w:color="auto"/>
              <w:left w:val="single" w:sz="4" w:space="0" w:color="auto"/>
              <w:bottom w:val="single" w:sz="4" w:space="0" w:color="auto"/>
              <w:right w:val="single" w:sz="4" w:space="0" w:color="auto"/>
            </w:tcBorders>
            <w:noWrap/>
            <w:vAlign w:val="center"/>
          </w:tcPr>
          <w:p w14:paraId="4FF396D1"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4EEDBFF1" w14:textId="77777777" w:rsidR="004A08F4" w:rsidRPr="0097510B" w:rsidRDefault="004A08F4" w:rsidP="0082204C">
            <w:pPr>
              <w:widowControl w:val="0"/>
              <w:contextualSpacing/>
              <w:jc w:val="left"/>
              <w:rPr>
                <w:sz w:val="20"/>
                <w:szCs w:val="20"/>
                <w:highlight w:val="yellow"/>
                <w:lang w:val="en-CA" w:eastAsia="en-CA"/>
              </w:rPr>
            </w:pPr>
            <w:r w:rsidRPr="0097510B">
              <w:rPr>
                <w:sz w:val="20"/>
                <w:szCs w:val="20"/>
                <w:lang w:val="en-CA" w:eastAsia="en-CA"/>
              </w:rPr>
              <w:t>Resource mobilization for HCFC phase-out co-benefits study</w:t>
            </w:r>
          </w:p>
        </w:tc>
      </w:tr>
      <w:tr w:rsidR="004A08F4" w:rsidRPr="0097510B" w14:paraId="55836BD7"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436AFB67" w14:textId="77777777" w:rsidR="004A08F4" w:rsidRPr="0097510B" w:rsidRDefault="004A08F4" w:rsidP="0082204C">
            <w:pPr>
              <w:widowControl w:val="0"/>
              <w:contextualSpacing/>
              <w:jc w:val="left"/>
              <w:rPr>
                <w:sz w:val="20"/>
                <w:szCs w:val="20"/>
                <w:highlight w:val="yellow"/>
                <w:lang w:val="en-CA" w:eastAsia="en-CA"/>
              </w:rPr>
            </w:pPr>
            <w:r w:rsidRPr="0097510B">
              <w:rPr>
                <w:sz w:val="20"/>
                <w:szCs w:val="20"/>
                <w:lang w:val="en-CA" w:eastAsia="en-CA"/>
              </w:rPr>
              <w:t>IND/HAL/34/INV/315</w:t>
            </w:r>
          </w:p>
        </w:tc>
        <w:tc>
          <w:tcPr>
            <w:tcW w:w="939" w:type="pct"/>
            <w:tcBorders>
              <w:top w:val="single" w:sz="4" w:space="0" w:color="auto"/>
              <w:left w:val="single" w:sz="4" w:space="0" w:color="auto"/>
              <w:bottom w:val="single" w:sz="4" w:space="0" w:color="auto"/>
              <w:right w:val="single" w:sz="4" w:space="0" w:color="auto"/>
            </w:tcBorders>
            <w:noWrap/>
            <w:vAlign w:val="center"/>
          </w:tcPr>
          <w:p w14:paraId="7A3B6872"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5422C8EF" w14:textId="77777777" w:rsidR="004A08F4" w:rsidRPr="0097510B" w:rsidRDefault="004A08F4" w:rsidP="0082204C">
            <w:pPr>
              <w:widowControl w:val="0"/>
              <w:contextualSpacing/>
              <w:jc w:val="left"/>
              <w:rPr>
                <w:sz w:val="20"/>
                <w:szCs w:val="20"/>
                <w:highlight w:val="yellow"/>
                <w:lang w:val="en-CA" w:eastAsia="en-CA"/>
              </w:rPr>
            </w:pPr>
            <w:r w:rsidRPr="0097510B">
              <w:rPr>
                <w:sz w:val="20"/>
                <w:szCs w:val="20"/>
                <w:lang w:val="en-CA" w:eastAsia="en-CA"/>
              </w:rPr>
              <w:t>Halon production and consumption sector phase out plan</w:t>
            </w:r>
          </w:p>
        </w:tc>
      </w:tr>
      <w:tr w:rsidR="004A08F4" w:rsidRPr="0097510B" w14:paraId="1427DD79" w14:textId="77777777" w:rsidTr="0082204C">
        <w:tc>
          <w:tcPr>
            <w:tcW w:w="1235" w:type="pct"/>
            <w:tcBorders>
              <w:top w:val="single" w:sz="4" w:space="0" w:color="auto"/>
              <w:left w:val="single" w:sz="4" w:space="0" w:color="auto"/>
              <w:bottom w:val="single" w:sz="4" w:space="0" w:color="auto"/>
              <w:right w:val="single" w:sz="4" w:space="0" w:color="auto"/>
            </w:tcBorders>
            <w:vAlign w:val="center"/>
          </w:tcPr>
          <w:p w14:paraId="2DCCE9FA" w14:textId="77777777" w:rsidR="004A08F4" w:rsidRPr="0097510B" w:rsidRDefault="004A08F4" w:rsidP="0082204C">
            <w:pPr>
              <w:widowControl w:val="0"/>
              <w:contextualSpacing/>
              <w:jc w:val="left"/>
              <w:rPr>
                <w:b/>
                <w:bCs/>
                <w:sz w:val="20"/>
                <w:szCs w:val="20"/>
                <w:lang w:val="en-CA" w:eastAsia="en-CA"/>
              </w:rPr>
            </w:pPr>
            <w:r w:rsidRPr="0097510B">
              <w:rPr>
                <w:sz w:val="20"/>
                <w:szCs w:val="20"/>
                <w:lang w:val="en-CA" w:eastAsia="en-CA"/>
              </w:rPr>
              <w:t>JOR/FUM/29/INV/54</w:t>
            </w:r>
          </w:p>
        </w:tc>
        <w:tc>
          <w:tcPr>
            <w:tcW w:w="939" w:type="pct"/>
            <w:tcBorders>
              <w:top w:val="single" w:sz="4" w:space="0" w:color="auto"/>
              <w:left w:val="single" w:sz="4" w:space="0" w:color="auto"/>
              <w:bottom w:val="single" w:sz="4" w:space="0" w:color="auto"/>
              <w:right w:val="single" w:sz="4" w:space="0" w:color="auto"/>
            </w:tcBorders>
            <w:vAlign w:val="center"/>
          </w:tcPr>
          <w:p w14:paraId="2938F19D"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Germany</w:t>
            </w:r>
          </w:p>
        </w:tc>
        <w:tc>
          <w:tcPr>
            <w:tcW w:w="2826" w:type="pct"/>
            <w:tcBorders>
              <w:top w:val="single" w:sz="4" w:space="0" w:color="auto"/>
              <w:left w:val="single" w:sz="4" w:space="0" w:color="auto"/>
              <w:bottom w:val="single" w:sz="4" w:space="0" w:color="auto"/>
              <w:right w:val="single" w:sz="4" w:space="0" w:color="auto"/>
            </w:tcBorders>
            <w:vAlign w:val="center"/>
          </w:tcPr>
          <w:p w14:paraId="0899ED0E"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Complete phase-out of the use of methyl bromide in Jordan</w:t>
            </w:r>
          </w:p>
        </w:tc>
      </w:tr>
      <w:tr w:rsidR="004A08F4" w:rsidRPr="0097510B" w14:paraId="5068CD68"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586824F3" w14:textId="77777777" w:rsidR="004A08F4" w:rsidRPr="0097510B" w:rsidRDefault="004A08F4" w:rsidP="0082204C">
            <w:pPr>
              <w:widowControl w:val="0"/>
              <w:contextualSpacing/>
              <w:jc w:val="left"/>
              <w:rPr>
                <w:sz w:val="20"/>
                <w:szCs w:val="20"/>
                <w:highlight w:val="yellow"/>
                <w:lang w:val="en-CA" w:eastAsia="en-CA"/>
              </w:rPr>
            </w:pPr>
            <w:r w:rsidRPr="0097510B">
              <w:rPr>
                <w:sz w:val="20"/>
                <w:szCs w:val="20"/>
                <w:lang w:val="en-CA" w:eastAsia="en-CA"/>
              </w:rPr>
              <w:t>JOR/PHA/38/INV/77</w:t>
            </w:r>
          </w:p>
        </w:tc>
        <w:tc>
          <w:tcPr>
            <w:tcW w:w="939" w:type="pct"/>
            <w:tcBorders>
              <w:top w:val="single" w:sz="4" w:space="0" w:color="auto"/>
              <w:left w:val="single" w:sz="4" w:space="0" w:color="auto"/>
              <w:bottom w:val="single" w:sz="4" w:space="0" w:color="auto"/>
              <w:right w:val="single" w:sz="4" w:space="0" w:color="auto"/>
            </w:tcBorders>
            <w:noWrap/>
            <w:vAlign w:val="center"/>
          </w:tcPr>
          <w:p w14:paraId="2E5E6EBF"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77CB6183" w14:textId="77777777" w:rsidR="004A08F4" w:rsidRPr="0097510B" w:rsidRDefault="004A08F4" w:rsidP="0082204C">
            <w:pPr>
              <w:widowControl w:val="0"/>
              <w:contextualSpacing/>
              <w:jc w:val="left"/>
              <w:rPr>
                <w:sz w:val="20"/>
                <w:szCs w:val="20"/>
                <w:highlight w:val="yellow"/>
                <w:lang w:val="en-CA" w:eastAsia="en-CA"/>
              </w:rPr>
            </w:pPr>
            <w:r w:rsidRPr="0097510B">
              <w:rPr>
                <w:sz w:val="20"/>
                <w:szCs w:val="20"/>
                <w:lang w:val="en-CA" w:eastAsia="en-CA"/>
              </w:rPr>
              <w:t>National ODS phase-out plan: aerosol, foam, MAC service and solvent sectors</w:t>
            </w:r>
          </w:p>
        </w:tc>
      </w:tr>
      <w:tr w:rsidR="004A08F4" w:rsidRPr="0097510B" w14:paraId="3FFF0206"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5F9D017F" w14:textId="77777777" w:rsidR="004A08F4" w:rsidRPr="0097510B" w:rsidRDefault="004A08F4" w:rsidP="0082204C">
            <w:pPr>
              <w:widowControl w:val="0"/>
              <w:contextualSpacing/>
              <w:jc w:val="left"/>
              <w:rPr>
                <w:sz w:val="20"/>
                <w:szCs w:val="20"/>
                <w:lang w:val="en-CA" w:eastAsia="en-CA"/>
              </w:rPr>
            </w:pPr>
            <w:r w:rsidRPr="0097510B">
              <w:rPr>
                <w:bCs/>
                <w:sz w:val="20"/>
                <w:szCs w:val="20"/>
                <w:lang w:val="en-CA" w:eastAsia="en-CA"/>
              </w:rPr>
              <w:t xml:space="preserve">ODS </w:t>
            </w:r>
            <w:r w:rsidRPr="0097510B">
              <w:rPr>
                <w:sz w:val="20"/>
                <w:szCs w:val="20"/>
                <w:lang w:val="en-CA" w:eastAsia="en-CA"/>
              </w:rPr>
              <w:t>alternative surveys</w:t>
            </w:r>
          </w:p>
        </w:tc>
        <w:tc>
          <w:tcPr>
            <w:tcW w:w="939" w:type="pct"/>
            <w:tcBorders>
              <w:top w:val="single" w:sz="4" w:space="0" w:color="auto"/>
              <w:left w:val="single" w:sz="4" w:space="0" w:color="auto"/>
              <w:bottom w:val="single" w:sz="4" w:space="0" w:color="auto"/>
              <w:right w:val="single" w:sz="4" w:space="0" w:color="auto"/>
            </w:tcBorders>
            <w:noWrap/>
            <w:vAlign w:val="center"/>
          </w:tcPr>
          <w:p w14:paraId="254F4280"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6CB6E869"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Survey of ODS alternatives at the national level</w:t>
            </w:r>
          </w:p>
        </w:tc>
      </w:tr>
      <w:tr w:rsidR="004A08F4" w:rsidRPr="0097510B" w14:paraId="3C6C95FF"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34FD8004"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SWA/PHA/80/TAS/24</w:t>
            </w:r>
          </w:p>
        </w:tc>
        <w:tc>
          <w:tcPr>
            <w:tcW w:w="939" w:type="pct"/>
            <w:tcBorders>
              <w:top w:val="single" w:sz="4" w:space="0" w:color="auto"/>
              <w:left w:val="single" w:sz="4" w:space="0" w:color="auto"/>
              <w:bottom w:val="single" w:sz="4" w:space="0" w:color="auto"/>
              <w:right w:val="single" w:sz="4" w:space="0" w:color="auto"/>
            </w:tcBorders>
            <w:noWrap/>
            <w:vAlign w:val="center"/>
          </w:tcPr>
          <w:p w14:paraId="7C24D924"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2CAB230E"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Verification report on the implementation of the HCFC phase</w:t>
            </w:r>
            <w:r w:rsidRPr="0097510B">
              <w:rPr>
                <w:sz w:val="20"/>
                <w:szCs w:val="20"/>
                <w:lang w:val="en-CA" w:eastAsia="en-CA"/>
              </w:rPr>
              <w:noBreakHyphen/>
              <w:t>out management plan</w:t>
            </w:r>
          </w:p>
        </w:tc>
      </w:tr>
      <w:tr w:rsidR="004A08F4" w:rsidRPr="0097510B" w14:paraId="36699C09" w14:textId="77777777" w:rsidTr="0082204C">
        <w:tc>
          <w:tcPr>
            <w:tcW w:w="1235" w:type="pct"/>
            <w:tcBorders>
              <w:top w:val="single" w:sz="4" w:space="0" w:color="auto"/>
              <w:left w:val="single" w:sz="4" w:space="0" w:color="auto"/>
              <w:bottom w:val="single" w:sz="4" w:space="0" w:color="auto"/>
              <w:right w:val="single" w:sz="4" w:space="0" w:color="auto"/>
            </w:tcBorders>
            <w:noWrap/>
            <w:vAlign w:val="center"/>
          </w:tcPr>
          <w:p w14:paraId="2CC31D2C"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TOG/PHA/80/TAS/31</w:t>
            </w:r>
            <w:r>
              <w:rPr>
                <w:sz w:val="20"/>
                <w:szCs w:val="20"/>
                <w:lang w:val="en-CA" w:eastAsia="en-CA"/>
              </w:rPr>
              <w:t>*</w:t>
            </w:r>
          </w:p>
        </w:tc>
        <w:tc>
          <w:tcPr>
            <w:tcW w:w="939" w:type="pct"/>
            <w:tcBorders>
              <w:top w:val="single" w:sz="4" w:space="0" w:color="auto"/>
              <w:left w:val="single" w:sz="4" w:space="0" w:color="auto"/>
              <w:bottom w:val="single" w:sz="4" w:space="0" w:color="auto"/>
              <w:right w:val="single" w:sz="4" w:space="0" w:color="auto"/>
            </w:tcBorders>
            <w:noWrap/>
            <w:vAlign w:val="center"/>
          </w:tcPr>
          <w:p w14:paraId="5442EA0A"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26195F4C"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Verification report on the implementation of the HCFC phase</w:t>
            </w:r>
            <w:r w:rsidRPr="0097510B">
              <w:rPr>
                <w:sz w:val="20"/>
                <w:szCs w:val="20"/>
                <w:lang w:val="en-CA" w:eastAsia="en-CA"/>
              </w:rPr>
              <w:noBreakHyphen/>
              <w:t>out management plan</w:t>
            </w:r>
          </w:p>
        </w:tc>
      </w:tr>
      <w:tr w:rsidR="004A08F4" w:rsidRPr="0097510B" w14:paraId="139FD441" w14:textId="77777777" w:rsidTr="0082204C">
        <w:tc>
          <w:tcPr>
            <w:tcW w:w="1235" w:type="pct"/>
            <w:tcBorders>
              <w:top w:val="single" w:sz="4" w:space="0" w:color="auto"/>
              <w:left w:val="single" w:sz="4" w:space="0" w:color="auto"/>
              <w:bottom w:val="single" w:sz="4" w:space="0" w:color="auto"/>
              <w:right w:val="single" w:sz="4" w:space="0" w:color="auto"/>
            </w:tcBorders>
            <w:vAlign w:val="center"/>
          </w:tcPr>
          <w:p w14:paraId="0C93CC4E" w14:textId="77777777" w:rsidR="004A08F4" w:rsidRPr="0097510B" w:rsidRDefault="004A08F4" w:rsidP="0082204C">
            <w:pPr>
              <w:widowControl w:val="0"/>
              <w:contextualSpacing/>
              <w:jc w:val="left"/>
              <w:rPr>
                <w:b/>
                <w:bCs/>
                <w:sz w:val="20"/>
                <w:szCs w:val="20"/>
                <w:lang w:val="en-CA" w:eastAsia="en-CA"/>
              </w:rPr>
            </w:pPr>
            <w:r w:rsidRPr="0097510B">
              <w:rPr>
                <w:sz w:val="20"/>
                <w:szCs w:val="20"/>
                <w:lang w:val="en-CA" w:eastAsia="en-CA"/>
              </w:rPr>
              <w:t>ZIM/PHA/75/TAS/52</w:t>
            </w:r>
          </w:p>
        </w:tc>
        <w:tc>
          <w:tcPr>
            <w:tcW w:w="939" w:type="pct"/>
            <w:tcBorders>
              <w:top w:val="single" w:sz="4" w:space="0" w:color="auto"/>
              <w:left w:val="single" w:sz="4" w:space="0" w:color="auto"/>
              <w:bottom w:val="single" w:sz="4" w:space="0" w:color="auto"/>
              <w:right w:val="single" w:sz="4" w:space="0" w:color="auto"/>
            </w:tcBorders>
            <w:vAlign w:val="center"/>
          </w:tcPr>
          <w:p w14:paraId="1D11874F" w14:textId="77777777" w:rsidR="004A08F4" w:rsidRPr="0097510B" w:rsidRDefault="004A08F4" w:rsidP="0082204C">
            <w:pPr>
              <w:widowControl w:val="0"/>
              <w:contextualSpacing/>
              <w:jc w:val="left"/>
              <w:rPr>
                <w:sz w:val="20"/>
                <w:szCs w:val="20"/>
                <w:lang w:val="en-CA" w:eastAsia="en-CA"/>
              </w:rPr>
            </w:pPr>
            <w:r w:rsidRPr="0097510B">
              <w:rPr>
                <w:sz w:val="20"/>
                <w:szCs w:val="20"/>
                <w:lang w:val="en-CA" w:eastAsia="en-CA"/>
              </w:rPr>
              <w:t>Germany</w:t>
            </w:r>
          </w:p>
        </w:tc>
        <w:tc>
          <w:tcPr>
            <w:tcW w:w="2826" w:type="pct"/>
            <w:tcBorders>
              <w:top w:val="single" w:sz="4" w:space="0" w:color="auto"/>
              <w:left w:val="single" w:sz="4" w:space="0" w:color="auto"/>
              <w:bottom w:val="single" w:sz="4" w:space="0" w:color="auto"/>
              <w:right w:val="single" w:sz="4" w:space="0" w:color="auto"/>
            </w:tcBorders>
            <w:vAlign w:val="center"/>
          </w:tcPr>
          <w:p w14:paraId="4480934D" w14:textId="77777777" w:rsidR="004A08F4" w:rsidRPr="0097510B" w:rsidRDefault="004A08F4" w:rsidP="0082204C">
            <w:pPr>
              <w:widowControl w:val="0"/>
              <w:contextualSpacing/>
              <w:jc w:val="left"/>
              <w:rPr>
                <w:bCs/>
                <w:sz w:val="20"/>
                <w:szCs w:val="20"/>
                <w:lang w:val="en-CA" w:eastAsia="en-CA"/>
              </w:rPr>
            </w:pPr>
            <w:r w:rsidRPr="0097510B">
              <w:rPr>
                <w:bCs/>
                <w:sz w:val="20"/>
                <w:szCs w:val="20"/>
                <w:lang w:val="en-CA" w:eastAsia="en-CA"/>
              </w:rPr>
              <w:t>Verification report for stage I of HCFC phase-out management plan</w:t>
            </w:r>
          </w:p>
        </w:tc>
      </w:tr>
    </w:tbl>
    <w:p w14:paraId="759E8EF0" w14:textId="77777777" w:rsidR="004A08F4" w:rsidRPr="0016627B" w:rsidRDefault="004A08F4" w:rsidP="004A08F4">
      <w:pPr>
        <w:widowControl w:val="0"/>
        <w:spacing w:after="240"/>
        <w:rPr>
          <w:sz w:val="18"/>
          <w:lang w:val="en-CA"/>
        </w:rPr>
      </w:pPr>
      <w:r w:rsidRPr="0016627B">
        <w:rPr>
          <w:sz w:val="18"/>
          <w:lang w:val="en-CA"/>
        </w:rPr>
        <w:t>* These PCRs were receive</w:t>
      </w:r>
      <w:r>
        <w:rPr>
          <w:sz w:val="18"/>
          <w:lang w:val="en-CA"/>
        </w:rPr>
        <w:t>d</w:t>
      </w:r>
      <w:r w:rsidRPr="0016627B">
        <w:rPr>
          <w:sz w:val="18"/>
          <w:lang w:val="en-CA"/>
        </w:rPr>
        <w:t xml:space="preserve"> after the deadline and will be assessed at the 88</w:t>
      </w:r>
      <w:r w:rsidRPr="0016627B">
        <w:rPr>
          <w:sz w:val="18"/>
          <w:vertAlign w:val="superscript"/>
          <w:lang w:val="en-CA"/>
        </w:rPr>
        <w:t>th</w:t>
      </w:r>
      <w:r w:rsidRPr="0016627B">
        <w:rPr>
          <w:sz w:val="18"/>
          <w:lang w:val="en-CA"/>
        </w:rPr>
        <w:t xml:space="preserve"> meeting.</w:t>
      </w:r>
    </w:p>
    <w:p w14:paraId="5EDE7869" w14:textId="77777777" w:rsidR="004A08F4" w:rsidRDefault="004A08F4" w:rsidP="004A08F4">
      <w:pPr>
        <w:widowControl w:val="0"/>
        <w:spacing w:after="240"/>
        <w:rPr>
          <w:b/>
          <w:lang w:val="en-CA"/>
        </w:rPr>
      </w:pPr>
    </w:p>
    <w:p w14:paraId="17BE2B4A" w14:textId="77777777" w:rsidR="004A08F4" w:rsidRDefault="004A08F4" w:rsidP="004A08F4">
      <w:pPr>
        <w:widowControl w:val="0"/>
        <w:spacing w:after="240"/>
        <w:rPr>
          <w:b/>
          <w:lang w:val="en-CA"/>
        </w:rPr>
      </w:pPr>
    </w:p>
    <w:p w14:paraId="758F72DF" w14:textId="77777777" w:rsidR="004A08F4" w:rsidRDefault="004A08F4" w:rsidP="004A08F4">
      <w:pPr>
        <w:widowControl w:val="0"/>
        <w:spacing w:after="240"/>
        <w:rPr>
          <w:b/>
          <w:lang w:val="en-CA"/>
        </w:rPr>
        <w:sectPr w:rsidR="004A08F4" w:rsidSect="002F2E98">
          <w:headerReference w:type="even" r:id="rId27"/>
          <w:headerReference w:type="default" r:id="rId28"/>
          <w:headerReference w:type="first" r:id="rId29"/>
          <w:footerReference w:type="first" r:id="rId30"/>
          <w:pgSz w:w="12240" w:h="15840" w:code="1"/>
          <w:pgMar w:top="720" w:right="1440" w:bottom="864" w:left="1440" w:header="720" w:footer="475" w:gutter="0"/>
          <w:pgNumType w:start="1"/>
          <w:cols w:space="720"/>
          <w:titlePg/>
        </w:sectPr>
      </w:pPr>
    </w:p>
    <w:p w14:paraId="3A34ECA3" w14:textId="77777777" w:rsidR="00E90CE9" w:rsidRDefault="00E90CE9" w:rsidP="004A08F4">
      <w:pPr>
        <w:widowControl w:val="0"/>
        <w:spacing w:after="240"/>
        <w:jc w:val="center"/>
        <w:rPr>
          <w:b/>
        </w:rPr>
      </w:pPr>
    </w:p>
    <w:p w14:paraId="0A43249A" w14:textId="77777777" w:rsidR="00331D9A" w:rsidRDefault="00331D9A" w:rsidP="004A08F4">
      <w:pPr>
        <w:widowControl w:val="0"/>
        <w:spacing w:after="240"/>
        <w:jc w:val="center"/>
        <w:rPr>
          <w:b/>
        </w:rPr>
      </w:pPr>
    </w:p>
    <w:p w14:paraId="1B36CFAC" w14:textId="4D567E96" w:rsidR="004A08F4" w:rsidRDefault="004A08F4" w:rsidP="004A08F4">
      <w:pPr>
        <w:widowControl w:val="0"/>
        <w:spacing w:after="240"/>
        <w:jc w:val="center"/>
        <w:rPr>
          <w:b/>
        </w:rPr>
      </w:pPr>
      <w:r>
        <w:rPr>
          <w:b/>
        </w:rPr>
        <w:t xml:space="preserve">Annex IV </w:t>
      </w:r>
    </w:p>
    <w:p w14:paraId="20C9BA4D" w14:textId="77777777" w:rsidR="004A08F4" w:rsidRDefault="004A08F4" w:rsidP="004A08F4">
      <w:pPr>
        <w:widowControl w:val="0"/>
        <w:spacing w:after="240"/>
        <w:jc w:val="center"/>
        <w:rPr>
          <w:b/>
        </w:rPr>
      </w:pPr>
      <w:r>
        <w:rPr>
          <w:b/>
        </w:rPr>
        <w:t>OUTSTANDING PCRs BY DECISION</w:t>
      </w:r>
    </w:p>
    <w:tbl>
      <w:tblPr>
        <w:tblStyle w:val="TableGrid"/>
        <w:tblW w:w="9527" w:type="dxa"/>
        <w:tblLook w:val="04A0" w:firstRow="1" w:lastRow="0" w:firstColumn="1" w:lastColumn="0" w:noHBand="0" w:noVBand="1"/>
      </w:tblPr>
      <w:tblGrid>
        <w:gridCol w:w="2155"/>
        <w:gridCol w:w="4320"/>
        <w:gridCol w:w="3052"/>
      </w:tblGrid>
      <w:tr w:rsidR="004A08F4" w:rsidRPr="0097510B" w14:paraId="4F2A1D29" w14:textId="77777777" w:rsidTr="0082204C">
        <w:tc>
          <w:tcPr>
            <w:tcW w:w="2155" w:type="dxa"/>
            <w:vAlign w:val="center"/>
            <w:hideMark/>
          </w:tcPr>
          <w:p w14:paraId="75FCD404" w14:textId="77777777" w:rsidR="004A08F4" w:rsidRPr="0097510B" w:rsidRDefault="004A08F4" w:rsidP="0082204C">
            <w:pPr>
              <w:widowControl w:val="0"/>
              <w:jc w:val="center"/>
              <w:rPr>
                <w:b/>
                <w:sz w:val="20"/>
                <w:lang w:val="en-CA"/>
              </w:rPr>
            </w:pPr>
            <w:r w:rsidRPr="0097510B">
              <w:rPr>
                <w:b/>
                <w:sz w:val="20"/>
                <w:lang w:val="en-CA"/>
              </w:rPr>
              <w:t>Country</w:t>
            </w:r>
          </w:p>
        </w:tc>
        <w:tc>
          <w:tcPr>
            <w:tcW w:w="4320" w:type="dxa"/>
            <w:vAlign w:val="center"/>
            <w:hideMark/>
          </w:tcPr>
          <w:p w14:paraId="7F5E988F" w14:textId="77777777" w:rsidR="004A08F4" w:rsidRPr="0097510B" w:rsidRDefault="004A08F4" w:rsidP="0082204C">
            <w:pPr>
              <w:widowControl w:val="0"/>
              <w:jc w:val="center"/>
              <w:rPr>
                <w:b/>
                <w:sz w:val="20"/>
                <w:lang w:val="en-CA"/>
              </w:rPr>
            </w:pPr>
            <w:r w:rsidRPr="0097510B">
              <w:rPr>
                <w:b/>
                <w:sz w:val="20"/>
                <w:lang w:val="en-CA"/>
              </w:rPr>
              <w:t>MYA Sector/Title</w:t>
            </w:r>
          </w:p>
        </w:tc>
        <w:tc>
          <w:tcPr>
            <w:tcW w:w="3052" w:type="dxa"/>
            <w:vAlign w:val="center"/>
            <w:hideMark/>
          </w:tcPr>
          <w:p w14:paraId="6B0F9092" w14:textId="77777777" w:rsidR="004A08F4" w:rsidRPr="0097510B" w:rsidRDefault="004A08F4" w:rsidP="0082204C">
            <w:pPr>
              <w:widowControl w:val="0"/>
              <w:jc w:val="center"/>
              <w:rPr>
                <w:b/>
                <w:sz w:val="20"/>
                <w:lang w:val="en-CA"/>
              </w:rPr>
            </w:pPr>
            <w:r w:rsidRPr="0097510B">
              <w:rPr>
                <w:b/>
                <w:sz w:val="20"/>
                <w:lang w:val="en-CA"/>
              </w:rPr>
              <w:t>Lead agency and Cooperating agency</w:t>
            </w:r>
          </w:p>
        </w:tc>
      </w:tr>
      <w:tr w:rsidR="004A08F4" w:rsidRPr="0097510B" w14:paraId="65414DA0" w14:textId="77777777" w:rsidTr="0082204C">
        <w:tc>
          <w:tcPr>
            <w:tcW w:w="2155" w:type="dxa"/>
            <w:vAlign w:val="center"/>
          </w:tcPr>
          <w:p w14:paraId="1DAD8BEF" w14:textId="77777777" w:rsidR="004A08F4" w:rsidRPr="0097510B" w:rsidRDefault="004A08F4" w:rsidP="0082204C">
            <w:pPr>
              <w:widowControl w:val="0"/>
              <w:jc w:val="left"/>
              <w:rPr>
                <w:sz w:val="20"/>
                <w:lang w:val="en-CA" w:eastAsia="en-CA"/>
              </w:rPr>
            </w:pPr>
            <w:r w:rsidRPr="0097510B">
              <w:rPr>
                <w:sz w:val="20"/>
                <w:lang w:val="en-CA" w:eastAsia="en-CA"/>
              </w:rPr>
              <w:t>Democratic Republic of the Congo (the)</w:t>
            </w:r>
          </w:p>
        </w:tc>
        <w:tc>
          <w:tcPr>
            <w:tcW w:w="4320" w:type="dxa"/>
            <w:vAlign w:val="center"/>
          </w:tcPr>
          <w:p w14:paraId="25DE01BA" w14:textId="77777777" w:rsidR="004A08F4" w:rsidRPr="0097510B" w:rsidRDefault="004A08F4" w:rsidP="0082204C">
            <w:pPr>
              <w:widowControl w:val="0"/>
              <w:jc w:val="left"/>
              <w:rPr>
                <w:sz w:val="20"/>
                <w:lang w:val="en-CA" w:eastAsia="en-CA"/>
              </w:rPr>
            </w:pPr>
            <w:r w:rsidRPr="0097510B">
              <w:rPr>
                <w:sz w:val="20"/>
                <w:lang w:val="en-CA" w:eastAsia="en-CA"/>
              </w:rPr>
              <w:t>HCFC phase-out plan (stage I)</w:t>
            </w:r>
          </w:p>
        </w:tc>
        <w:tc>
          <w:tcPr>
            <w:tcW w:w="3052" w:type="dxa"/>
            <w:vAlign w:val="center"/>
          </w:tcPr>
          <w:p w14:paraId="50F5155C" w14:textId="77777777" w:rsidR="004A08F4" w:rsidRPr="0097510B" w:rsidRDefault="004A08F4" w:rsidP="0082204C">
            <w:pPr>
              <w:widowControl w:val="0"/>
              <w:jc w:val="left"/>
              <w:rPr>
                <w:b/>
                <w:sz w:val="20"/>
              </w:rPr>
            </w:pPr>
            <w:r w:rsidRPr="0097510B">
              <w:rPr>
                <w:b/>
                <w:sz w:val="20"/>
              </w:rPr>
              <w:t>UNEP/</w:t>
            </w:r>
            <w:r w:rsidRPr="0097510B">
              <w:rPr>
                <w:sz w:val="20"/>
              </w:rPr>
              <w:t>UNDP</w:t>
            </w:r>
          </w:p>
        </w:tc>
      </w:tr>
      <w:tr w:rsidR="004A08F4" w:rsidRPr="0097510B" w14:paraId="3B7D2786" w14:textId="77777777" w:rsidTr="0082204C">
        <w:tc>
          <w:tcPr>
            <w:tcW w:w="2155" w:type="dxa"/>
            <w:vAlign w:val="center"/>
          </w:tcPr>
          <w:p w14:paraId="154BDFD9" w14:textId="77777777" w:rsidR="004A08F4" w:rsidRPr="0097510B" w:rsidRDefault="004A08F4" w:rsidP="0082204C">
            <w:pPr>
              <w:widowControl w:val="0"/>
              <w:jc w:val="left"/>
              <w:rPr>
                <w:sz w:val="20"/>
                <w:lang w:val="en-CA" w:eastAsia="en-CA"/>
              </w:rPr>
            </w:pPr>
            <w:r w:rsidRPr="0097510B">
              <w:rPr>
                <w:sz w:val="20"/>
                <w:lang w:val="en-CA" w:eastAsia="en-CA"/>
              </w:rPr>
              <w:t>Qatar</w:t>
            </w:r>
          </w:p>
        </w:tc>
        <w:tc>
          <w:tcPr>
            <w:tcW w:w="4320" w:type="dxa"/>
            <w:vAlign w:val="center"/>
          </w:tcPr>
          <w:p w14:paraId="1AD750D1" w14:textId="77777777" w:rsidR="004A08F4" w:rsidRPr="0097510B" w:rsidRDefault="004A08F4" w:rsidP="0082204C">
            <w:pPr>
              <w:widowControl w:val="0"/>
              <w:jc w:val="left"/>
              <w:rPr>
                <w:sz w:val="20"/>
                <w:lang w:val="en-CA" w:eastAsia="en-CA"/>
              </w:rPr>
            </w:pPr>
            <w:r w:rsidRPr="0097510B">
              <w:rPr>
                <w:sz w:val="20"/>
                <w:lang w:val="en-CA" w:eastAsia="en-CA"/>
              </w:rPr>
              <w:t>HCFC phase-out plan (stage I)</w:t>
            </w:r>
          </w:p>
        </w:tc>
        <w:tc>
          <w:tcPr>
            <w:tcW w:w="3052" w:type="dxa"/>
            <w:vAlign w:val="center"/>
          </w:tcPr>
          <w:p w14:paraId="51441241" w14:textId="77777777" w:rsidR="004A08F4" w:rsidRPr="0097510B" w:rsidRDefault="004A08F4" w:rsidP="0082204C">
            <w:pPr>
              <w:widowControl w:val="0"/>
              <w:jc w:val="left"/>
              <w:rPr>
                <w:b/>
                <w:sz w:val="20"/>
              </w:rPr>
            </w:pPr>
            <w:r w:rsidRPr="0097510B">
              <w:rPr>
                <w:b/>
                <w:sz w:val="20"/>
                <w:lang w:val="en-CA"/>
              </w:rPr>
              <w:t>UNIDO/</w:t>
            </w:r>
            <w:r w:rsidRPr="0097510B">
              <w:rPr>
                <w:sz w:val="20"/>
                <w:lang w:val="en-CA"/>
              </w:rPr>
              <w:t>UNEP</w:t>
            </w:r>
          </w:p>
        </w:tc>
      </w:tr>
    </w:tbl>
    <w:p w14:paraId="4B620656" w14:textId="77777777" w:rsidR="004A08F4" w:rsidRPr="00B32F02" w:rsidRDefault="004A08F4" w:rsidP="004A08F4">
      <w:pPr>
        <w:widowControl w:val="0"/>
        <w:spacing w:after="240"/>
        <w:rPr>
          <w:sz w:val="20"/>
          <w:szCs w:val="20"/>
          <w:lang w:val="en-CA"/>
        </w:rPr>
      </w:pPr>
    </w:p>
    <w:p w14:paraId="0A99F619" w14:textId="77777777" w:rsidR="004A08F4" w:rsidRDefault="004A08F4" w:rsidP="004A08F4">
      <w:pPr>
        <w:widowControl w:val="0"/>
        <w:spacing w:after="240"/>
        <w:jc w:val="center"/>
        <w:rPr>
          <w:b/>
          <w:lang w:val="en-CA"/>
        </w:rPr>
      </w:pPr>
    </w:p>
    <w:p w14:paraId="4F82E34A" w14:textId="77777777" w:rsidR="004A08F4" w:rsidRDefault="004A08F4" w:rsidP="004A08F4">
      <w:pPr>
        <w:widowControl w:val="0"/>
        <w:spacing w:after="240"/>
        <w:jc w:val="center"/>
        <w:rPr>
          <w:b/>
          <w:lang w:val="en-CA"/>
        </w:rPr>
        <w:sectPr w:rsidR="004A08F4" w:rsidSect="002F2E98">
          <w:headerReference w:type="first" r:id="rId31"/>
          <w:footerReference w:type="first" r:id="rId32"/>
          <w:pgSz w:w="12240" w:h="15840" w:code="1"/>
          <w:pgMar w:top="720" w:right="1440" w:bottom="864" w:left="1440" w:header="720" w:footer="475" w:gutter="0"/>
          <w:pgNumType w:start="1"/>
          <w:cols w:space="720"/>
          <w:titlePg/>
        </w:sectPr>
      </w:pPr>
    </w:p>
    <w:p w14:paraId="59A29F29" w14:textId="77777777" w:rsidR="00E90CE9" w:rsidRDefault="00E90CE9" w:rsidP="004A08F4">
      <w:pPr>
        <w:widowControl w:val="0"/>
        <w:spacing w:after="240"/>
        <w:jc w:val="center"/>
        <w:rPr>
          <w:b/>
        </w:rPr>
      </w:pPr>
    </w:p>
    <w:p w14:paraId="6F95C9E6" w14:textId="77777777" w:rsidR="00E90CE9" w:rsidRDefault="00E90CE9" w:rsidP="004A08F4">
      <w:pPr>
        <w:widowControl w:val="0"/>
        <w:spacing w:after="240"/>
        <w:jc w:val="center"/>
        <w:rPr>
          <w:b/>
        </w:rPr>
      </w:pPr>
    </w:p>
    <w:p w14:paraId="6B566F4A" w14:textId="6A0226C2" w:rsidR="004A08F4" w:rsidRDefault="004A08F4" w:rsidP="004A08F4">
      <w:pPr>
        <w:widowControl w:val="0"/>
        <w:spacing w:after="240"/>
        <w:jc w:val="center"/>
        <w:rPr>
          <w:b/>
        </w:rPr>
      </w:pPr>
      <w:r>
        <w:rPr>
          <w:b/>
        </w:rPr>
        <w:t>Annex V</w:t>
      </w:r>
    </w:p>
    <w:p w14:paraId="6DF848D1" w14:textId="77777777" w:rsidR="004A08F4" w:rsidRDefault="004A08F4" w:rsidP="004A08F4">
      <w:pPr>
        <w:widowControl w:val="0"/>
        <w:spacing w:after="240"/>
        <w:jc w:val="center"/>
        <w:rPr>
          <w:b/>
        </w:rPr>
      </w:pPr>
      <w:r>
        <w:rPr>
          <w:b/>
        </w:rPr>
        <w:t>OUTSTANDING MYA PCRs</w:t>
      </w:r>
    </w:p>
    <w:tbl>
      <w:tblPr>
        <w:tblStyle w:val="TableGrid"/>
        <w:tblW w:w="0" w:type="auto"/>
        <w:tblLayout w:type="fixed"/>
        <w:tblLook w:val="04A0" w:firstRow="1" w:lastRow="0" w:firstColumn="1" w:lastColumn="0" w:noHBand="0" w:noVBand="1"/>
      </w:tblPr>
      <w:tblGrid>
        <w:gridCol w:w="1809"/>
        <w:gridCol w:w="3998"/>
        <w:gridCol w:w="3543"/>
      </w:tblGrid>
      <w:tr w:rsidR="004A08F4" w:rsidRPr="0097510B" w14:paraId="2B2EF6EB" w14:textId="77777777" w:rsidTr="0082204C">
        <w:tc>
          <w:tcPr>
            <w:tcW w:w="1809" w:type="dxa"/>
            <w:tcBorders>
              <w:top w:val="single" w:sz="4" w:space="0" w:color="auto"/>
              <w:left w:val="single" w:sz="4" w:space="0" w:color="auto"/>
              <w:bottom w:val="single" w:sz="4" w:space="0" w:color="auto"/>
              <w:right w:val="single" w:sz="4" w:space="0" w:color="auto"/>
            </w:tcBorders>
            <w:vAlign w:val="center"/>
            <w:hideMark/>
          </w:tcPr>
          <w:p w14:paraId="690E5928" w14:textId="77777777" w:rsidR="004A08F4" w:rsidRPr="0097510B" w:rsidRDefault="004A08F4" w:rsidP="0082204C">
            <w:pPr>
              <w:widowControl w:val="0"/>
              <w:jc w:val="center"/>
              <w:rPr>
                <w:b/>
                <w:sz w:val="20"/>
                <w:lang w:val="en-CA"/>
              </w:rPr>
            </w:pPr>
            <w:r w:rsidRPr="0097510B">
              <w:rPr>
                <w:b/>
                <w:sz w:val="20"/>
                <w:lang w:val="en-CA"/>
              </w:rPr>
              <w:t>Country</w:t>
            </w:r>
          </w:p>
        </w:tc>
        <w:tc>
          <w:tcPr>
            <w:tcW w:w="3998" w:type="dxa"/>
            <w:tcBorders>
              <w:top w:val="single" w:sz="4" w:space="0" w:color="auto"/>
              <w:left w:val="single" w:sz="4" w:space="0" w:color="auto"/>
              <w:bottom w:val="single" w:sz="4" w:space="0" w:color="auto"/>
              <w:right w:val="single" w:sz="4" w:space="0" w:color="auto"/>
            </w:tcBorders>
            <w:vAlign w:val="center"/>
            <w:hideMark/>
          </w:tcPr>
          <w:p w14:paraId="667F4EA3" w14:textId="77777777" w:rsidR="004A08F4" w:rsidRPr="0097510B" w:rsidRDefault="004A08F4" w:rsidP="0082204C">
            <w:pPr>
              <w:widowControl w:val="0"/>
              <w:jc w:val="center"/>
              <w:rPr>
                <w:b/>
                <w:sz w:val="20"/>
                <w:lang w:val="en-CA"/>
              </w:rPr>
            </w:pPr>
            <w:r w:rsidRPr="0097510B">
              <w:rPr>
                <w:b/>
                <w:sz w:val="20"/>
                <w:lang w:val="en-CA"/>
              </w:rPr>
              <w:t>MYA Sector/Title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CF8ADC3" w14:textId="77777777" w:rsidR="004A08F4" w:rsidRPr="0097510B" w:rsidRDefault="004A08F4" w:rsidP="0082204C">
            <w:pPr>
              <w:widowControl w:val="0"/>
              <w:jc w:val="center"/>
              <w:rPr>
                <w:b/>
                <w:sz w:val="20"/>
                <w:lang w:val="en-CA"/>
              </w:rPr>
            </w:pPr>
            <w:r w:rsidRPr="0097510B">
              <w:rPr>
                <w:b/>
                <w:sz w:val="20"/>
                <w:lang w:val="en-CA"/>
              </w:rPr>
              <w:t>Lead agency and Cooperating agency</w:t>
            </w:r>
          </w:p>
        </w:tc>
      </w:tr>
      <w:tr w:rsidR="004A08F4" w:rsidRPr="0097510B" w14:paraId="4173EB1A" w14:textId="77777777" w:rsidTr="0082204C">
        <w:tc>
          <w:tcPr>
            <w:tcW w:w="1809" w:type="dxa"/>
            <w:tcBorders>
              <w:top w:val="single" w:sz="4" w:space="0" w:color="auto"/>
              <w:left w:val="single" w:sz="4" w:space="0" w:color="auto"/>
              <w:bottom w:val="single" w:sz="4" w:space="0" w:color="auto"/>
              <w:right w:val="single" w:sz="4" w:space="0" w:color="auto"/>
            </w:tcBorders>
            <w:vAlign w:val="center"/>
            <w:hideMark/>
          </w:tcPr>
          <w:p w14:paraId="43C3707C" w14:textId="77777777" w:rsidR="004A08F4" w:rsidRPr="0097510B" w:rsidRDefault="004A08F4" w:rsidP="0082204C">
            <w:pPr>
              <w:widowControl w:val="0"/>
              <w:jc w:val="left"/>
              <w:rPr>
                <w:sz w:val="20"/>
                <w:lang w:val="en-CA"/>
              </w:rPr>
            </w:pPr>
            <w:r w:rsidRPr="0097510B">
              <w:rPr>
                <w:sz w:val="20"/>
                <w:lang w:val="en-CA"/>
              </w:rPr>
              <w:t>Argentina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3BBF1A17" w14:textId="77777777" w:rsidR="004A08F4" w:rsidRPr="0097510B" w:rsidRDefault="004A08F4" w:rsidP="0082204C">
            <w:pPr>
              <w:widowControl w:val="0"/>
              <w:jc w:val="left"/>
              <w:rPr>
                <w:sz w:val="20"/>
                <w:lang w:val="en-CA"/>
              </w:rPr>
            </w:pPr>
            <w:r w:rsidRPr="0097510B">
              <w:rPr>
                <w:sz w:val="20"/>
                <w:lang w:val="en-CA"/>
              </w:rPr>
              <w:t>Production CFC</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D58C46A" w14:textId="77777777" w:rsidR="004A08F4" w:rsidRPr="0097510B" w:rsidRDefault="004A08F4" w:rsidP="0082204C">
            <w:pPr>
              <w:widowControl w:val="0"/>
              <w:jc w:val="left"/>
              <w:rPr>
                <w:b/>
                <w:sz w:val="20"/>
                <w:lang w:val="en-CA"/>
              </w:rPr>
            </w:pPr>
            <w:r w:rsidRPr="0097510B">
              <w:rPr>
                <w:b/>
                <w:sz w:val="20"/>
                <w:lang w:val="en-CA"/>
              </w:rPr>
              <w:t>World Bank</w:t>
            </w:r>
          </w:p>
        </w:tc>
      </w:tr>
      <w:tr w:rsidR="004A08F4" w:rsidRPr="0097510B" w14:paraId="75547286" w14:textId="77777777" w:rsidTr="0082204C">
        <w:tc>
          <w:tcPr>
            <w:tcW w:w="1809" w:type="dxa"/>
            <w:tcBorders>
              <w:top w:val="single" w:sz="4" w:space="0" w:color="auto"/>
              <w:left w:val="single" w:sz="4" w:space="0" w:color="auto"/>
              <w:bottom w:val="single" w:sz="4" w:space="0" w:color="auto"/>
              <w:right w:val="single" w:sz="4" w:space="0" w:color="auto"/>
            </w:tcBorders>
            <w:vAlign w:val="center"/>
            <w:hideMark/>
          </w:tcPr>
          <w:p w14:paraId="170F210F" w14:textId="77777777" w:rsidR="004A08F4" w:rsidRPr="0097510B" w:rsidRDefault="004A08F4" w:rsidP="0082204C">
            <w:pPr>
              <w:widowControl w:val="0"/>
              <w:jc w:val="left"/>
              <w:rPr>
                <w:sz w:val="20"/>
                <w:lang w:val="en-CA"/>
              </w:rPr>
            </w:pPr>
            <w:r w:rsidRPr="0097510B">
              <w:rPr>
                <w:sz w:val="20"/>
                <w:lang w:val="en-CA"/>
              </w:rPr>
              <w:t>Bahamas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3A740368" w14:textId="77777777" w:rsidR="004A08F4" w:rsidRPr="0097510B" w:rsidRDefault="004A08F4" w:rsidP="0082204C">
            <w:pPr>
              <w:widowControl w:val="0"/>
              <w:jc w:val="left"/>
              <w:rPr>
                <w:sz w:val="20"/>
                <w:lang w:val="en-US"/>
              </w:rPr>
            </w:pPr>
            <w:r w:rsidRPr="0097510B">
              <w:rPr>
                <w:sz w:val="20"/>
                <w:lang w:val="en-CA"/>
              </w:rPr>
              <w:t>CFC phase-out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FB38726" w14:textId="77777777" w:rsidR="004A08F4" w:rsidRPr="0097510B" w:rsidRDefault="004A08F4" w:rsidP="0082204C">
            <w:pPr>
              <w:widowControl w:val="0"/>
              <w:jc w:val="left"/>
              <w:rPr>
                <w:b/>
                <w:sz w:val="20"/>
                <w:lang w:val="en-CA"/>
              </w:rPr>
            </w:pPr>
            <w:r w:rsidRPr="0097510B">
              <w:rPr>
                <w:b/>
                <w:sz w:val="20"/>
                <w:lang w:val="en-CA"/>
              </w:rPr>
              <w:t>World Bank</w:t>
            </w:r>
          </w:p>
        </w:tc>
      </w:tr>
      <w:tr w:rsidR="004A08F4" w:rsidRPr="0097510B" w14:paraId="174A2E8D" w14:textId="77777777" w:rsidTr="0082204C">
        <w:tc>
          <w:tcPr>
            <w:tcW w:w="1809" w:type="dxa"/>
            <w:tcBorders>
              <w:top w:val="single" w:sz="4" w:space="0" w:color="auto"/>
              <w:left w:val="single" w:sz="4" w:space="0" w:color="auto"/>
              <w:bottom w:val="single" w:sz="4" w:space="0" w:color="auto"/>
              <w:right w:val="single" w:sz="4" w:space="0" w:color="auto"/>
            </w:tcBorders>
            <w:vAlign w:val="center"/>
            <w:hideMark/>
          </w:tcPr>
          <w:p w14:paraId="43BA87F3" w14:textId="77777777" w:rsidR="004A08F4" w:rsidRPr="0097510B" w:rsidRDefault="004A08F4" w:rsidP="0082204C">
            <w:pPr>
              <w:widowControl w:val="0"/>
              <w:jc w:val="left"/>
              <w:rPr>
                <w:sz w:val="20"/>
                <w:lang w:val="en-CA"/>
              </w:rPr>
            </w:pPr>
            <w:r w:rsidRPr="0097510B">
              <w:rPr>
                <w:sz w:val="20"/>
                <w:lang w:val="en-CA"/>
              </w:rPr>
              <w:t>China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65FE461F" w14:textId="77777777" w:rsidR="004A08F4" w:rsidRPr="0097510B" w:rsidRDefault="004A08F4" w:rsidP="0082204C">
            <w:pPr>
              <w:widowControl w:val="0"/>
              <w:jc w:val="left"/>
              <w:rPr>
                <w:sz w:val="20"/>
                <w:lang w:val="en-CA"/>
              </w:rPr>
            </w:pPr>
            <w:r w:rsidRPr="0097510B">
              <w:rPr>
                <w:sz w:val="20"/>
                <w:lang w:val="en-CA"/>
              </w:rPr>
              <w:t>CFCs/CTC/Halon accelerated phase</w:t>
            </w:r>
            <w:r w:rsidRPr="0097510B">
              <w:rPr>
                <w:sz w:val="20"/>
                <w:lang w:val="en-CA"/>
              </w:rPr>
              <w:noBreakHyphen/>
              <w:t>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6D51316" w14:textId="77777777" w:rsidR="004A08F4" w:rsidRPr="0097510B" w:rsidRDefault="004A08F4" w:rsidP="0082204C">
            <w:pPr>
              <w:widowControl w:val="0"/>
              <w:jc w:val="left"/>
              <w:rPr>
                <w:b/>
                <w:sz w:val="20"/>
                <w:lang w:val="en-CA"/>
              </w:rPr>
            </w:pPr>
            <w:r w:rsidRPr="0097510B">
              <w:rPr>
                <w:b/>
                <w:sz w:val="20"/>
                <w:lang w:val="en-CA"/>
              </w:rPr>
              <w:t>World Bank</w:t>
            </w:r>
            <w:r w:rsidRPr="0097510B">
              <w:rPr>
                <w:sz w:val="20"/>
                <w:lang w:val="en-CA"/>
              </w:rPr>
              <w:t xml:space="preserve">/United States of America </w:t>
            </w:r>
          </w:p>
        </w:tc>
      </w:tr>
      <w:tr w:rsidR="004A08F4" w:rsidRPr="0097510B" w14:paraId="12CD0FA5" w14:textId="77777777" w:rsidTr="0082204C">
        <w:tc>
          <w:tcPr>
            <w:tcW w:w="1809" w:type="dxa"/>
            <w:tcBorders>
              <w:top w:val="single" w:sz="4" w:space="0" w:color="auto"/>
              <w:left w:val="single" w:sz="4" w:space="0" w:color="auto"/>
              <w:bottom w:val="single" w:sz="4" w:space="0" w:color="auto"/>
              <w:right w:val="single" w:sz="4" w:space="0" w:color="auto"/>
            </w:tcBorders>
            <w:vAlign w:val="center"/>
          </w:tcPr>
          <w:p w14:paraId="13E89EDB" w14:textId="77777777" w:rsidR="004A08F4" w:rsidRPr="0097510B" w:rsidRDefault="004A08F4" w:rsidP="0082204C">
            <w:pPr>
              <w:widowControl w:val="0"/>
              <w:jc w:val="left"/>
              <w:rPr>
                <w:sz w:val="20"/>
                <w:lang w:val="en-CA"/>
              </w:rPr>
            </w:pPr>
            <w:r w:rsidRPr="0097510B">
              <w:rPr>
                <w:sz w:val="20"/>
                <w:lang w:val="en-CA"/>
              </w:rPr>
              <w:t>China</w:t>
            </w:r>
          </w:p>
        </w:tc>
        <w:tc>
          <w:tcPr>
            <w:tcW w:w="3998" w:type="dxa"/>
            <w:tcBorders>
              <w:top w:val="single" w:sz="4" w:space="0" w:color="auto"/>
              <w:left w:val="single" w:sz="4" w:space="0" w:color="auto"/>
              <w:bottom w:val="single" w:sz="4" w:space="0" w:color="auto"/>
              <w:right w:val="single" w:sz="4" w:space="0" w:color="auto"/>
            </w:tcBorders>
            <w:vAlign w:val="center"/>
          </w:tcPr>
          <w:p w14:paraId="5E2303E9" w14:textId="77777777" w:rsidR="004A08F4" w:rsidRPr="0097510B" w:rsidRDefault="004A08F4" w:rsidP="0082204C">
            <w:pPr>
              <w:widowControl w:val="0"/>
              <w:jc w:val="left"/>
              <w:rPr>
                <w:sz w:val="20"/>
                <w:lang w:val="en-CA"/>
              </w:rPr>
            </w:pPr>
            <w:r w:rsidRPr="0097510B">
              <w:rPr>
                <w:sz w:val="20"/>
                <w:lang w:val="en-CA"/>
              </w:rPr>
              <w:t>Halon</w:t>
            </w:r>
          </w:p>
        </w:tc>
        <w:tc>
          <w:tcPr>
            <w:tcW w:w="3543" w:type="dxa"/>
            <w:tcBorders>
              <w:top w:val="single" w:sz="4" w:space="0" w:color="auto"/>
              <w:left w:val="single" w:sz="4" w:space="0" w:color="auto"/>
              <w:bottom w:val="single" w:sz="4" w:space="0" w:color="auto"/>
              <w:right w:val="single" w:sz="4" w:space="0" w:color="auto"/>
            </w:tcBorders>
            <w:vAlign w:val="center"/>
          </w:tcPr>
          <w:p w14:paraId="0059DF02" w14:textId="77777777" w:rsidR="004A08F4" w:rsidRPr="0097510B" w:rsidRDefault="004A08F4" w:rsidP="0082204C">
            <w:pPr>
              <w:widowControl w:val="0"/>
              <w:jc w:val="left"/>
              <w:rPr>
                <w:b/>
                <w:sz w:val="20"/>
                <w:lang w:val="en-CA"/>
              </w:rPr>
            </w:pPr>
            <w:r w:rsidRPr="0097510B">
              <w:rPr>
                <w:b/>
                <w:sz w:val="20"/>
                <w:lang w:val="en-CA"/>
              </w:rPr>
              <w:t>World Bank</w:t>
            </w:r>
          </w:p>
        </w:tc>
      </w:tr>
      <w:tr w:rsidR="004A08F4" w:rsidRPr="0097510B" w14:paraId="3C0807E8" w14:textId="77777777" w:rsidTr="0082204C">
        <w:tc>
          <w:tcPr>
            <w:tcW w:w="1809" w:type="dxa"/>
            <w:tcBorders>
              <w:top w:val="single" w:sz="4" w:space="0" w:color="auto"/>
              <w:left w:val="single" w:sz="4" w:space="0" w:color="auto"/>
              <w:bottom w:val="single" w:sz="4" w:space="0" w:color="auto"/>
              <w:right w:val="single" w:sz="4" w:space="0" w:color="auto"/>
            </w:tcBorders>
            <w:vAlign w:val="center"/>
            <w:hideMark/>
          </w:tcPr>
          <w:p w14:paraId="5FDDDE18" w14:textId="77777777" w:rsidR="004A08F4" w:rsidRPr="0097510B" w:rsidRDefault="004A08F4" w:rsidP="0082204C">
            <w:pPr>
              <w:widowControl w:val="0"/>
              <w:jc w:val="left"/>
              <w:rPr>
                <w:sz w:val="20"/>
                <w:lang w:val="en-CA"/>
              </w:rPr>
            </w:pPr>
            <w:r w:rsidRPr="0097510B">
              <w:rPr>
                <w:sz w:val="20"/>
                <w:lang w:val="en-CA"/>
              </w:rPr>
              <w:t>China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D9E2CEB" w14:textId="77777777" w:rsidR="004A08F4" w:rsidRPr="0097510B" w:rsidRDefault="004A08F4" w:rsidP="0082204C">
            <w:pPr>
              <w:widowControl w:val="0"/>
              <w:jc w:val="left"/>
              <w:rPr>
                <w:sz w:val="20"/>
                <w:lang w:val="en-CA"/>
              </w:rPr>
            </w:pPr>
            <w:r w:rsidRPr="0097510B">
              <w:rPr>
                <w:sz w:val="20"/>
                <w:lang w:val="en-CA"/>
              </w:rPr>
              <w:t>Process agent (phase I)</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2E1C80" w14:textId="77777777" w:rsidR="004A08F4" w:rsidRPr="0097510B" w:rsidRDefault="004A08F4" w:rsidP="0082204C">
            <w:pPr>
              <w:widowControl w:val="0"/>
              <w:jc w:val="left"/>
              <w:rPr>
                <w:b/>
                <w:sz w:val="20"/>
                <w:lang w:val="en-CA"/>
              </w:rPr>
            </w:pPr>
            <w:r w:rsidRPr="0097510B">
              <w:rPr>
                <w:b/>
                <w:sz w:val="20"/>
                <w:lang w:val="en-CA"/>
              </w:rPr>
              <w:t>World Bank</w:t>
            </w:r>
          </w:p>
        </w:tc>
      </w:tr>
      <w:tr w:rsidR="004A08F4" w:rsidRPr="0097510B" w14:paraId="73E328E8" w14:textId="77777777" w:rsidTr="0082204C">
        <w:tc>
          <w:tcPr>
            <w:tcW w:w="1809" w:type="dxa"/>
            <w:tcBorders>
              <w:top w:val="single" w:sz="4" w:space="0" w:color="auto"/>
              <w:left w:val="single" w:sz="4" w:space="0" w:color="auto"/>
              <w:bottom w:val="single" w:sz="4" w:space="0" w:color="auto"/>
              <w:right w:val="single" w:sz="4" w:space="0" w:color="auto"/>
            </w:tcBorders>
            <w:vAlign w:val="center"/>
          </w:tcPr>
          <w:p w14:paraId="1B242BF8" w14:textId="77777777" w:rsidR="004A08F4" w:rsidRPr="0097510B" w:rsidRDefault="004A08F4" w:rsidP="0082204C">
            <w:pPr>
              <w:widowControl w:val="0"/>
              <w:jc w:val="left"/>
              <w:rPr>
                <w:sz w:val="20"/>
                <w:lang w:val="en-CA"/>
              </w:rPr>
            </w:pPr>
            <w:r w:rsidRPr="0097510B">
              <w:rPr>
                <w:sz w:val="20"/>
                <w:lang w:val="en-CA"/>
              </w:rPr>
              <w:t>China</w:t>
            </w:r>
          </w:p>
        </w:tc>
        <w:tc>
          <w:tcPr>
            <w:tcW w:w="3998" w:type="dxa"/>
            <w:tcBorders>
              <w:top w:val="single" w:sz="4" w:space="0" w:color="auto"/>
              <w:left w:val="single" w:sz="4" w:space="0" w:color="auto"/>
              <w:bottom w:val="single" w:sz="4" w:space="0" w:color="auto"/>
              <w:right w:val="single" w:sz="4" w:space="0" w:color="auto"/>
            </w:tcBorders>
            <w:vAlign w:val="center"/>
          </w:tcPr>
          <w:p w14:paraId="55B79705" w14:textId="77777777" w:rsidR="004A08F4" w:rsidRPr="0097510B" w:rsidRDefault="004A08F4" w:rsidP="0082204C">
            <w:pPr>
              <w:widowControl w:val="0"/>
              <w:jc w:val="left"/>
              <w:rPr>
                <w:sz w:val="20"/>
                <w:lang w:val="en-CA"/>
              </w:rPr>
            </w:pPr>
            <w:r w:rsidRPr="0097510B">
              <w:rPr>
                <w:sz w:val="20"/>
                <w:lang w:val="en-CA"/>
              </w:rPr>
              <w:t>Process agent (phase II)</w:t>
            </w:r>
          </w:p>
        </w:tc>
        <w:tc>
          <w:tcPr>
            <w:tcW w:w="3543" w:type="dxa"/>
            <w:tcBorders>
              <w:top w:val="single" w:sz="4" w:space="0" w:color="auto"/>
              <w:left w:val="single" w:sz="4" w:space="0" w:color="auto"/>
              <w:bottom w:val="single" w:sz="4" w:space="0" w:color="auto"/>
              <w:right w:val="single" w:sz="4" w:space="0" w:color="auto"/>
            </w:tcBorders>
            <w:vAlign w:val="center"/>
          </w:tcPr>
          <w:p w14:paraId="7F29710E" w14:textId="77777777" w:rsidR="004A08F4" w:rsidRPr="0097510B" w:rsidRDefault="004A08F4" w:rsidP="0082204C">
            <w:pPr>
              <w:widowControl w:val="0"/>
              <w:jc w:val="left"/>
              <w:rPr>
                <w:b/>
                <w:sz w:val="20"/>
                <w:lang w:val="en-CA"/>
              </w:rPr>
            </w:pPr>
            <w:r w:rsidRPr="0097510B">
              <w:rPr>
                <w:b/>
                <w:sz w:val="20"/>
                <w:lang w:val="en-CA"/>
              </w:rPr>
              <w:t>World Bank</w:t>
            </w:r>
          </w:p>
        </w:tc>
      </w:tr>
      <w:tr w:rsidR="004A08F4" w:rsidRPr="0097510B" w14:paraId="5C4DB331" w14:textId="77777777" w:rsidTr="0082204C">
        <w:tc>
          <w:tcPr>
            <w:tcW w:w="1809" w:type="dxa"/>
            <w:tcBorders>
              <w:top w:val="single" w:sz="4" w:space="0" w:color="auto"/>
              <w:left w:val="single" w:sz="4" w:space="0" w:color="auto"/>
              <w:bottom w:val="single" w:sz="4" w:space="0" w:color="auto"/>
              <w:right w:val="single" w:sz="4" w:space="0" w:color="auto"/>
            </w:tcBorders>
            <w:vAlign w:val="center"/>
            <w:hideMark/>
          </w:tcPr>
          <w:p w14:paraId="6CA5522D" w14:textId="77777777" w:rsidR="004A08F4" w:rsidRPr="0097510B" w:rsidRDefault="004A08F4" w:rsidP="0082204C">
            <w:pPr>
              <w:widowControl w:val="0"/>
              <w:jc w:val="left"/>
              <w:rPr>
                <w:sz w:val="20"/>
                <w:lang w:val="en-CA"/>
              </w:rPr>
            </w:pPr>
            <w:r w:rsidRPr="0097510B">
              <w:rPr>
                <w:sz w:val="20"/>
                <w:lang w:val="en-CA"/>
              </w:rPr>
              <w:t>Philippines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1D4E78F8" w14:textId="77777777" w:rsidR="004A08F4" w:rsidRPr="0097510B" w:rsidRDefault="004A08F4" w:rsidP="0082204C">
            <w:pPr>
              <w:widowControl w:val="0"/>
              <w:jc w:val="left"/>
              <w:rPr>
                <w:sz w:val="20"/>
                <w:lang w:val="en-CA"/>
              </w:rPr>
            </w:pPr>
            <w:r w:rsidRPr="0097510B">
              <w:rPr>
                <w:sz w:val="20"/>
                <w:lang w:val="en-CA"/>
              </w:rPr>
              <w:t>CFC phase-out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68375DE" w14:textId="77777777" w:rsidR="004A08F4" w:rsidRPr="0097510B" w:rsidRDefault="004A08F4" w:rsidP="0082204C">
            <w:pPr>
              <w:widowControl w:val="0"/>
              <w:jc w:val="left"/>
              <w:rPr>
                <w:b/>
                <w:sz w:val="20"/>
                <w:lang w:val="en-CA"/>
              </w:rPr>
            </w:pPr>
            <w:r w:rsidRPr="0097510B">
              <w:rPr>
                <w:b/>
                <w:sz w:val="20"/>
                <w:lang w:val="en-CA"/>
              </w:rPr>
              <w:t>World Bank</w:t>
            </w:r>
            <w:r w:rsidRPr="0097510B">
              <w:rPr>
                <w:sz w:val="20"/>
                <w:lang w:val="en-CA"/>
              </w:rPr>
              <w:t>/Sweden/UNEP</w:t>
            </w:r>
          </w:p>
        </w:tc>
      </w:tr>
      <w:tr w:rsidR="004A08F4" w:rsidRPr="0097510B" w14:paraId="6C3C10CB" w14:textId="77777777" w:rsidTr="0082204C">
        <w:tc>
          <w:tcPr>
            <w:tcW w:w="1809" w:type="dxa"/>
            <w:tcBorders>
              <w:top w:val="single" w:sz="4" w:space="0" w:color="auto"/>
              <w:left w:val="single" w:sz="4" w:space="0" w:color="auto"/>
              <w:bottom w:val="single" w:sz="4" w:space="0" w:color="auto"/>
              <w:right w:val="single" w:sz="4" w:space="0" w:color="auto"/>
            </w:tcBorders>
            <w:vAlign w:val="center"/>
            <w:hideMark/>
          </w:tcPr>
          <w:p w14:paraId="2BE04E12" w14:textId="77777777" w:rsidR="004A08F4" w:rsidRPr="0097510B" w:rsidRDefault="004A08F4" w:rsidP="0082204C">
            <w:pPr>
              <w:widowControl w:val="0"/>
              <w:jc w:val="left"/>
              <w:rPr>
                <w:sz w:val="20"/>
                <w:lang w:val="en-CA"/>
              </w:rPr>
            </w:pPr>
            <w:r w:rsidRPr="0097510B">
              <w:rPr>
                <w:sz w:val="20"/>
                <w:lang w:val="en-CA"/>
              </w:rPr>
              <w:t>Viet</w:t>
            </w:r>
            <w:r>
              <w:rPr>
                <w:sz w:val="20"/>
                <w:lang w:val="en-CA"/>
              </w:rPr>
              <w:t xml:space="preserve"> N</w:t>
            </w:r>
            <w:r w:rsidRPr="0097510B">
              <w:rPr>
                <w:sz w:val="20"/>
                <w:lang w:val="en-CA"/>
              </w:rPr>
              <w:t>am</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71FD843" w14:textId="77777777" w:rsidR="004A08F4" w:rsidRPr="0097510B" w:rsidRDefault="004A08F4" w:rsidP="0082204C">
            <w:pPr>
              <w:widowControl w:val="0"/>
              <w:jc w:val="left"/>
              <w:rPr>
                <w:sz w:val="20"/>
                <w:lang w:val="en-CA"/>
              </w:rPr>
            </w:pPr>
            <w:r w:rsidRPr="0097510B">
              <w:rPr>
                <w:sz w:val="20"/>
                <w:lang w:val="en-CA"/>
              </w:rPr>
              <w:t>Methyl bromide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BB8665E" w14:textId="77777777" w:rsidR="004A08F4" w:rsidRPr="0097510B" w:rsidRDefault="004A08F4" w:rsidP="0082204C">
            <w:pPr>
              <w:widowControl w:val="0"/>
              <w:jc w:val="left"/>
              <w:rPr>
                <w:b/>
                <w:sz w:val="20"/>
                <w:lang w:val="en-CA"/>
              </w:rPr>
            </w:pPr>
            <w:r w:rsidRPr="0097510B">
              <w:rPr>
                <w:b/>
                <w:sz w:val="20"/>
                <w:lang w:val="en-CA"/>
              </w:rPr>
              <w:t>World Bank</w:t>
            </w:r>
          </w:p>
        </w:tc>
      </w:tr>
      <w:tr w:rsidR="004A08F4" w:rsidRPr="0097510B" w14:paraId="0B31A92B" w14:textId="77777777" w:rsidTr="0082204C">
        <w:tc>
          <w:tcPr>
            <w:tcW w:w="1809" w:type="dxa"/>
            <w:tcBorders>
              <w:top w:val="single" w:sz="4" w:space="0" w:color="auto"/>
              <w:left w:val="single" w:sz="4" w:space="0" w:color="auto"/>
              <w:bottom w:val="single" w:sz="4" w:space="0" w:color="auto"/>
              <w:right w:val="single" w:sz="4" w:space="0" w:color="auto"/>
            </w:tcBorders>
            <w:vAlign w:val="center"/>
            <w:hideMark/>
          </w:tcPr>
          <w:p w14:paraId="575D2445" w14:textId="77777777" w:rsidR="004A08F4" w:rsidRPr="0097510B" w:rsidRDefault="004A08F4" w:rsidP="0082204C">
            <w:pPr>
              <w:widowControl w:val="0"/>
              <w:jc w:val="left"/>
              <w:rPr>
                <w:sz w:val="20"/>
                <w:lang w:val="en-CA"/>
              </w:rPr>
            </w:pPr>
            <w:r w:rsidRPr="0097510B">
              <w:rPr>
                <w:sz w:val="20"/>
                <w:lang w:val="en-CA"/>
              </w:rPr>
              <w:t>Yemen</w:t>
            </w:r>
          </w:p>
        </w:tc>
        <w:tc>
          <w:tcPr>
            <w:tcW w:w="3998" w:type="dxa"/>
            <w:tcBorders>
              <w:top w:val="single" w:sz="4" w:space="0" w:color="auto"/>
              <w:left w:val="single" w:sz="4" w:space="0" w:color="auto"/>
              <w:bottom w:val="single" w:sz="4" w:space="0" w:color="auto"/>
              <w:right w:val="single" w:sz="4" w:space="0" w:color="auto"/>
            </w:tcBorders>
            <w:vAlign w:val="center"/>
            <w:hideMark/>
          </w:tcPr>
          <w:p w14:paraId="2B4553E5" w14:textId="77777777" w:rsidR="004A08F4" w:rsidRPr="0097510B" w:rsidRDefault="004A08F4" w:rsidP="0082204C">
            <w:pPr>
              <w:widowControl w:val="0"/>
              <w:jc w:val="left"/>
              <w:rPr>
                <w:sz w:val="20"/>
                <w:lang w:val="en-CA"/>
              </w:rPr>
            </w:pPr>
            <w:r w:rsidRPr="0097510B">
              <w:rPr>
                <w:sz w:val="20"/>
                <w:lang w:val="en-CA"/>
              </w:rPr>
              <w:t>Methyl bromide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DB03017" w14:textId="77777777" w:rsidR="004A08F4" w:rsidRPr="0097510B" w:rsidRDefault="004A08F4" w:rsidP="0082204C">
            <w:pPr>
              <w:widowControl w:val="0"/>
              <w:jc w:val="left"/>
              <w:rPr>
                <w:b/>
                <w:sz w:val="20"/>
                <w:lang w:val="en-CA"/>
              </w:rPr>
            </w:pPr>
            <w:r w:rsidRPr="0097510B">
              <w:rPr>
                <w:b/>
                <w:sz w:val="20"/>
                <w:lang w:val="en-CA"/>
              </w:rPr>
              <w:t>Germany</w:t>
            </w:r>
          </w:p>
        </w:tc>
      </w:tr>
    </w:tbl>
    <w:p w14:paraId="0B337CB0" w14:textId="77777777" w:rsidR="004A08F4" w:rsidRPr="006A5C1F" w:rsidRDefault="004A08F4" w:rsidP="004A08F4">
      <w:pPr>
        <w:widowControl w:val="0"/>
        <w:spacing w:after="240"/>
        <w:rPr>
          <w:b/>
          <w:lang w:val="en-CA"/>
        </w:rPr>
      </w:pPr>
    </w:p>
    <w:p w14:paraId="514329E7" w14:textId="77777777" w:rsidR="004A08F4" w:rsidRPr="005764B1" w:rsidRDefault="004A08F4" w:rsidP="004A08F4">
      <w:pPr>
        <w:widowControl w:val="0"/>
      </w:pPr>
    </w:p>
    <w:p w14:paraId="18AB6514" w14:textId="77777777" w:rsidR="004A08F4" w:rsidRDefault="004A08F4" w:rsidP="004A08F4"/>
    <w:p w14:paraId="5E367E02" w14:textId="14ADEA00" w:rsidR="008C5738" w:rsidRPr="00BB2764" w:rsidRDefault="008C5738" w:rsidP="00F97AFB">
      <w:pPr>
        <w:pStyle w:val="Heading2"/>
        <w:keepNext/>
        <w:keepLines/>
        <w:numPr>
          <w:ilvl w:val="0"/>
          <w:numId w:val="0"/>
        </w:numPr>
        <w:tabs>
          <w:tab w:val="left" w:pos="720"/>
        </w:tabs>
        <w:jc w:val="center"/>
      </w:pPr>
    </w:p>
    <w:sectPr w:rsidR="008C5738" w:rsidRPr="00BB2764" w:rsidSect="00331D9A">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65A27" w14:textId="77777777" w:rsidR="00F5401A" w:rsidRDefault="00F5401A" w:rsidP="004A504B">
      <w:r>
        <w:separator/>
      </w:r>
    </w:p>
  </w:endnote>
  <w:endnote w:type="continuationSeparator" w:id="0">
    <w:p w14:paraId="03C5B9D9" w14:textId="77777777" w:rsidR="00F5401A" w:rsidRDefault="00F5401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C575" w14:textId="56772DCF" w:rsidR="00F5401A" w:rsidRPr="0033525D" w:rsidRDefault="00F5401A">
    <w:pPr>
      <w:jc w:val="center"/>
    </w:pPr>
    <w:r>
      <w:fldChar w:fldCharType="begin"/>
    </w:r>
    <w:r>
      <w:instrText xml:space="preserve"> PAGE </w:instrText>
    </w:r>
    <w:r>
      <w:fldChar w:fldCharType="separate"/>
    </w:r>
    <w:r w:rsidR="00331D9A">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E959" w14:textId="26724C63" w:rsidR="00F5401A" w:rsidRPr="0033525D" w:rsidRDefault="00F5401A">
    <w:pPr>
      <w:jc w:val="center"/>
    </w:pPr>
    <w:r>
      <w:fldChar w:fldCharType="begin"/>
    </w:r>
    <w:r>
      <w:instrText xml:space="preserve"> PAGE </w:instrText>
    </w:r>
    <w:r>
      <w:fldChar w:fldCharType="separate"/>
    </w:r>
    <w:r w:rsidR="00331D9A">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758E" w14:textId="77777777" w:rsidR="00F5401A" w:rsidRDefault="00F5401A" w:rsidP="00C27E03">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57018D63" w14:textId="7DEFAB90" w:rsidR="00F5401A" w:rsidRPr="00714F80" w:rsidRDefault="00F5401A" w:rsidP="00C27E03">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714F80">
      <w:rPr>
        <w:sz w:val="18"/>
        <w:szCs w:val="18"/>
        <w:lang w:val="fr-CA"/>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FFB6" w14:textId="06AF8E05" w:rsidR="004A08F4" w:rsidRPr="0033525D" w:rsidRDefault="004A08F4">
    <w:pPr>
      <w:jc w:val="center"/>
    </w:pPr>
    <w:r>
      <w:fldChar w:fldCharType="begin"/>
    </w:r>
    <w:r>
      <w:instrText xml:space="preserve"> PAGE </w:instrText>
    </w:r>
    <w:r>
      <w:fldChar w:fldCharType="separate"/>
    </w:r>
    <w:r w:rsidR="00331D9A">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8026" w14:textId="77777777" w:rsidR="004A08F4" w:rsidRPr="0033525D" w:rsidRDefault="004A08F4">
    <w:pPr>
      <w:jc w:val="center"/>
    </w:pPr>
    <w:r>
      <w:fldChar w:fldCharType="begin"/>
    </w:r>
    <w:r>
      <w:instrText xml:space="preserve"> PAGE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324369"/>
      <w:docPartObj>
        <w:docPartGallery w:val="Page Numbers (Bottom of Page)"/>
        <w:docPartUnique/>
      </w:docPartObj>
    </w:sdtPr>
    <w:sdtEndPr>
      <w:rPr>
        <w:noProof/>
      </w:rPr>
    </w:sdtEndPr>
    <w:sdtContent>
      <w:p w14:paraId="62FC20F8" w14:textId="55529326" w:rsidR="004A08F4" w:rsidRDefault="004A08F4">
        <w:pPr>
          <w:pStyle w:val="Footer"/>
          <w:jc w:val="center"/>
        </w:pPr>
        <w:r>
          <w:fldChar w:fldCharType="begin"/>
        </w:r>
        <w:r>
          <w:instrText xml:space="preserve"> PAGE   \* MERGEFORMAT </w:instrText>
        </w:r>
        <w:r>
          <w:fldChar w:fldCharType="separate"/>
        </w:r>
        <w:r w:rsidR="00331D9A">
          <w:rPr>
            <w:noProof/>
          </w:rPr>
          <w:t>1</w:t>
        </w:r>
        <w:r>
          <w:rPr>
            <w:noProof/>
          </w:rPr>
          <w:fldChar w:fldCharType="end"/>
        </w:r>
      </w:p>
    </w:sdtContent>
  </w:sdt>
  <w:p w14:paraId="7D89C486" w14:textId="77777777" w:rsidR="004A08F4" w:rsidRPr="006A5C1F" w:rsidRDefault="004A08F4" w:rsidP="002F2E9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4146"/>
      <w:docPartObj>
        <w:docPartGallery w:val="Page Numbers (Bottom of Page)"/>
        <w:docPartUnique/>
      </w:docPartObj>
    </w:sdtPr>
    <w:sdtEndPr>
      <w:rPr>
        <w:noProof/>
      </w:rPr>
    </w:sdtEndPr>
    <w:sdtContent>
      <w:p w14:paraId="2F4209AA" w14:textId="6AA2CA01" w:rsidR="004A08F4" w:rsidRDefault="004A08F4">
        <w:pPr>
          <w:pStyle w:val="Footer"/>
          <w:jc w:val="center"/>
        </w:pPr>
        <w:r>
          <w:fldChar w:fldCharType="begin"/>
        </w:r>
        <w:r>
          <w:instrText xml:space="preserve"> PAGE   \* MERGEFORMAT </w:instrText>
        </w:r>
        <w:r>
          <w:fldChar w:fldCharType="separate"/>
        </w:r>
        <w:r w:rsidR="00331D9A">
          <w:rPr>
            <w:noProof/>
          </w:rPr>
          <w:t>1</w:t>
        </w:r>
        <w:r>
          <w:rPr>
            <w:noProof/>
          </w:rPr>
          <w:fldChar w:fldCharType="end"/>
        </w:r>
      </w:p>
    </w:sdtContent>
  </w:sdt>
  <w:p w14:paraId="13797E9A" w14:textId="77777777" w:rsidR="004A08F4" w:rsidRPr="006A5C1F" w:rsidRDefault="004A08F4" w:rsidP="002F2E98">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34645"/>
      <w:docPartObj>
        <w:docPartGallery w:val="Page Numbers (Bottom of Page)"/>
        <w:docPartUnique/>
      </w:docPartObj>
    </w:sdtPr>
    <w:sdtEndPr>
      <w:rPr>
        <w:noProof/>
      </w:rPr>
    </w:sdtEndPr>
    <w:sdtContent>
      <w:p w14:paraId="62BD58AB" w14:textId="1B56B0A2" w:rsidR="004A08F4" w:rsidRDefault="004A08F4">
        <w:pPr>
          <w:pStyle w:val="Footer"/>
          <w:jc w:val="center"/>
        </w:pPr>
        <w:r>
          <w:fldChar w:fldCharType="begin"/>
        </w:r>
        <w:r>
          <w:instrText xml:space="preserve"> PAGE   \* MERGEFORMAT </w:instrText>
        </w:r>
        <w:r>
          <w:fldChar w:fldCharType="separate"/>
        </w:r>
        <w:r w:rsidR="00331D9A">
          <w:rPr>
            <w:noProof/>
          </w:rPr>
          <w:t>1</w:t>
        </w:r>
        <w:r>
          <w:rPr>
            <w:noProof/>
          </w:rPr>
          <w:fldChar w:fldCharType="end"/>
        </w:r>
      </w:p>
    </w:sdtContent>
  </w:sdt>
  <w:p w14:paraId="7481E782" w14:textId="77777777" w:rsidR="004A08F4" w:rsidRPr="006A5C1F" w:rsidRDefault="004A08F4" w:rsidP="002F2E98">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2185"/>
      <w:docPartObj>
        <w:docPartGallery w:val="Page Numbers (Bottom of Page)"/>
        <w:docPartUnique/>
      </w:docPartObj>
    </w:sdtPr>
    <w:sdtEndPr>
      <w:rPr>
        <w:noProof/>
      </w:rPr>
    </w:sdtEndPr>
    <w:sdtContent>
      <w:p w14:paraId="2A99BC26" w14:textId="3B5B9A53" w:rsidR="004A08F4" w:rsidRDefault="004A08F4">
        <w:pPr>
          <w:pStyle w:val="Footer"/>
          <w:jc w:val="center"/>
        </w:pPr>
        <w:r>
          <w:fldChar w:fldCharType="begin"/>
        </w:r>
        <w:r>
          <w:instrText xml:space="preserve"> PAGE   \* MERGEFORMAT </w:instrText>
        </w:r>
        <w:r>
          <w:fldChar w:fldCharType="separate"/>
        </w:r>
        <w:r w:rsidR="00331D9A">
          <w:rPr>
            <w:noProof/>
          </w:rPr>
          <w:t>1</w:t>
        </w:r>
        <w:r>
          <w:rPr>
            <w:noProof/>
          </w:rPr>
          <w:fldChar w:fldCharType="end"/>
        </w:r>
      </w:p>
    </w:sdtContent>
  </w:sdt>
  <w:p w14:paraId="0A9A687A" w14:textId="77777777" w:rsidR="004A08F4" w:rsidRPr="006A5C1F" w:rsidRDefault="004A08F4" w:rsidP="002F2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31E2D" w14:textId="77777777" w:rsidR="00F5401A" w:rsidRDefault="00F5401A" w:rsidP="004A504B">
      <w:r>
        <w:separator/>
      </w:r>
    </w:p>
  </w:footnote>
  <w:footnote w:type="continuationSeparator" w:id="0">
    <w:p w14:paraId="67289747" w14:textId="77777777" w:rsidR="00F5401A" w:rsidRDefault="00F5401A" w:rsidP="004A504B">
      <w:r>
        <w:continuationSeparator/>
      </w:r>
    </w:p>
  </w:footnote>
  <w:footnote w:id="1">
    <w:p w14:paraId="7DE137C6" w14:textId="4DEF13AE" w:rsidR="00F5401A" w:rsidRDefault="00F5401A" w:rsidP="00104947">
      <w:pPr>
        <w:pStyle w:val="FootnoteText"/>
        <w:rPr>
          <w:lang w:val="fr-FR"/>
        </w:rPr>
      </w:pPr>
      <w:r>
        <w:rPr>
          <w:rStyle w:val="FootnoteReference"/>
        </w:rPr>
        <w:footnoteRef/>
      </w:r>
      <w:r w:rsidRPr="00714F80">
        <w:rPr>
          <w:lang w:val="fr-CA"/>
        </w:rPr>
        <w:t xml:space="preserve"> </w:t>
      </w:r>
      <w:r w:rsidRPr="00104947">
        <w:rPr>
          <w:lang w:val="fr-FR"/>
        </w:rPr>
        <w:t>Des réunions et un processus d’approbation en période intersessions auront</w:t>
      </w:r>
      <w:r>
        <w:rPr>
          <w:lang w:val="fr-FR"/>
        </w:rPr>
        <w:t> </w:t>
      </w:r>
      <w:r w:rsidRPr="00104947">
        <w:rPr>
          <w:lang w:val="fr-FR"/>
        </w:rPr>
        <w:t>lieu en ligne en juin et juillet 2021 à cause du coronavirus (COVID-19)</w:t>
      </w:r>
    </w:p>
    <w:p w14:paraId="67D2CD4E" w14:textId="77777777" w:rsidR="00E90CE9" w:rsidRPr="00714F80" w:rsidRDefault="00E90CE9" w:rsidP="00104947">
      <w:pPr>
        <w:pStyle w:val="FootnoteText"/>
        <w:rPr>
          <w:lang w:val="fr-CA"/>
        </w:rPr>
      </w:pPr>
    </w:p>
  </w:footnote>
  <w:footnote w:id="2">
    <w:p w14:paraId="4A5F1FF4" w14:textId="5C98AEC4" w:rsidR="00F5401A" w:rsidRPr="00714F80" w:rsidRDefault="00F5401A" w:rsidP="00473CBC">
      <w:pPr>
        <w:pStyle w:val="FootnoteText"/>
        <w:rPr>
          <w:lang w:val="fr-CA"/>
        </w:rPr>
      </w:pPr>
      <w:r>
        <w:rPr>
          <w:rStyle w:val="FootnoteReference"/>
        </w:rPr>
        <w:footnoteRef/>
      </w:r>
      <w:r w:rsidRPr="00714F80">
        <w:rPr>
          <w:lang w:val="fr-CA"/>
        </w:rPr>
        <w:t xml:space="preserve"> </w:t>
      </w:r>
      <w:r w:rsidRPr="00104947">
        <w:rPr>
          <w:lang w:val="fr-FR"/>
        </w:rPr>
        <w:t>Les enseignements tirés des RAP pour les accords pluriannuels peuvent être consultés dans la base des données correspondante, à l’adresse suivante :</w:t>
      </w:r>
      <w:r w:rsidRPr="00714F80">
        <w:rPr>
          <w:lang w:val="fr-CA"/>
        </w:rPr>
        <w:t xml:space="preserve"> </w:t>
      </w:r>
      <w:hyperlink r:id="rId1" w:history="1">
        <w:r w:rsidRPr="00104947">
          <w:rPr>
            <w:rStyle w:val="Hyperlink"/>
            <w:lang w:val="fr-FR"/>
          </w:rPr>
          <w:t>http://www.multilateralfund.org/myapcr/search.aspx</w:t>
        </w:r>
      </w:hyperlink>
    </w:p>
  </w:footnote>
  <w:footnote w:id="3">
    <w:p w14:paraId="29A882B5" w14:textId="63A2BF85" w:rsidR="00F5401A" w:rsidRPr="00714F80" w:rsidRDefault="00F5401A" w:rsidP="00222C40">
      <w:pPr>
        <w:pStyle w:val="FootnoteText"/>
        <w:rPr>
          <w:lang w:val="fr-CA"/>
        </w:rPr>
      </w:pPr>
      <w:r w:rsidRPr="003A471C">
        <w:rPr>
          <w:rStyle w:val="FootnoteReference"/>
        </w:rPr>
        <w:footnoteRef/>
      </w:r>
      <w:r w:rsidRPr="00714F80">
        <w:rPr>
          <w:lang w:val="fr-CA"/>
        </w:rPr>
        <w:t xml:space="preserve"> </w:t>
      </w:r>
      <w:r w:rsidRPr="00104947">
        <w:rPr>
          <w:snapToGrid w:val="0"/>
          <w:lang w:val="fr-FR"/>
        </w:rPr>
        <w:t>Excluant la préparation de projet, les programmes de pays, les projets pluriannuels, le réseautage, les activités d’échange d’informations et les projets de renforcement des institutions.</w:t>
      </w:r>
    </w:p>
  </w:footnote>
  <w:footnote w:id="4">
    <w:p w14:paraId="1592F25A" w14:textId="4AB5F17E" w:rsidR="00F5401A" w:rsidRPr="00714F80" w:rsidRDefault="00F5401A" w:rsidP="00222C40">
      <w:pPr>
        <w:pStyle w:val="FootnoteText"/>
        <w:rPr>
          <w:lang w:val="fr-CA"/>
        </w:rPr>
      </w:pPr>
      <w:r w:rsidRPr="00D5676A">
        <w:rPr>
          <w:rStyle w:val="FootnoteReference"/>
        </w:rPr>
        <w:footnoteRef/>
      </w:r>
      <w:r w:rsidRPr="00714F80">
        <w:rPr>
          <w:lang w:val="fr-CA"/>
        </w:rPr>
        <w:t xml:space="preserve"> </w:t>
      </w:r>
      <w:r w:rsidRPr="00104947">
        <w:rPr>
          <w:lang w:val="fr-FR"/>
        </w:rPr>
        <w:t>Incluant les RAP achevés et reçus provenant des pays suivants :</w:t>
      </w:r>
      <w:r w:rsidRPr="00714F80">
        <w:rPr>
          <w:lang w:val="fr-CA"/>
        </w:rPr>
        <w:t xml:space="preserve"> </w:t>
      </w:r>
      <w:r w:rsidRPr="00104947">
        <w:rPr>
          <w:lang w:val="fr-FR"/>
        </w:rPr>
        <w:t>Afrique du Sud (1), Australie (25), Autriche (1), Danemark (1), Espagne (4), États-Unis d’Amérique (40), Finlande (5), Israël (2), Pologne (1), République tchèque (2), Suède (5) et Suisse (3).</w:t>
      </w:r>
    </w:p>
  </w:footnote>
  <w:footnote w:id="5">
    <w:p w14:paraId="7C5D2228" w14:textId="3DC3E5C3" w:rsidR="00F5401A" w:rsidRPr="00714F80" w:rsidRDefault="00F5401A" w:rsidP="00222C40">
      <w:pPr>
        <w:pStyle w:val="FootnoteText"/>
        <w:rPr>
          <w:lang w:val="fr-CA"/>
        </w:rPr>
      </w:pPr>
      <w:r>
        <w:rPr>
          <w:rStyle w:val="FootnoteReference"/>
        </w:rPr>
        <w:footnoteRef/>
      </w:r>
      <w:r w:rsidRPr="00714F80">
        <w:rPr>
          <w:lang w:val="fr-CA"/>
        </w:rPr>
        <w:t xml:space="preserve"> </w:t>
      </w:r>
      <w:r w:rsidRPr="00104947">
        <w:rPr>
          <w:lang w:val="fr-FR"/>
        </w:rPr>
        <w:t>Les enseignements tirés des RAP individuels peuvent être consultés dans la base de données correspondante, à l’adresse suivante :</w:t>
      </w:r>
      <w:r w:rsidRPr="00714F80">
        <w:rPr>
          <w:lang w:val="fr-CA"/>
        </w:rPr>
        <w:t xml:space="preserve"> </w:t>
      </w:r>
      <w:hyperlink r:id="rId2" w:history="1">
        <w:r w:rsidRPr="00104947">
          <w:rPr>
            <w:rStyle w:val="Hyperlink"/>
            <w:lang w:val="fr-FR"/>
          </w:rPr>
          <w:t>http://www.multilateralfund.org/pcrindividual/search.aspx</w:t>
        </w:r>
      </w:hyperlink>
    </w:p>
  </w:footnote>
  <w:footnote w:id="6">
    <w:p w14:paraId="06A91F9B" w14:textId="2486218C" w:rsidR="00F5401A" w:rsidRPr="00104947" w:rsidRDefault="00F5401A">
      <w:pPr>
        <w:pStyle w:val="FootnoteText"/>
        <w:rPr>
          <w:lang w:val="en-CA"/>
        </w:rPr>
      </w:pPr>
      <w:r>
        <w:rPr>
          <w:rStyle w:val="FootnoteReference"/>
        </w:rPr>
        <w:footnoteRef/>
      </w:r>
      <w:r>
        <w:t xml:space="preserve"> </w:t>
      </w:r>
      <w:r w:rsidRPr="00104947">
        <w:rPr>
          <w:lang w:val="fr-FR"/>
        </w:rPr>
        <w:t>SYstème DOuaNIer Automatisé</w:t>
      </w:r>
      <w:r w:rsidR="00273F5E">
        <w:rPr>
          <w:lang w:val="fr-FR"/>
        </w:rPr>
        <w:t xml:space="preserve"> CNUCED</w:t>
      </w:r>
      <w:r w:rsidRPr="00104947">
        <w:rPr>
          <w:lang w:val="fr-FR"/>
        </w:rPr>
        <w:t>.</w:t>
      </w:r>
    </w:p>
  </w:footnote>
  <w:footnote w:id="7">
    <w:p w14:paraId="562DBA74" w14:textId="7B4FBD7D" w:rsidR="00F5401A" w:rsidRPr="00104947" w:rsidRDefault="00F5401A">
      <w:pPr>
        <w:pStyle w:val="FootnoteText"/>
        <w:rPr>
          <w:lang w:val="en-CA"/>
        </w:rPr>
      </w:pPr>
      <w:r>
        <w:rPr>
          <w:rStyle w:val="FootnoteReference"/>
        </w:rPr>
        <w:footnoteRef/>
      </w:r>
      <w:r>
        <w:t xml:space="preserve"> </w:t>
      </w:r>
      <w:r w:rsidRPr="00104947">
        <w:rPr>
          <w:lang w:val="fr-FR"/>
        </w:rPr>
        <w:t>Total Revenue Integrated Processing System.</w:t>
      </w:r>
    </w:p>
  </w:footnote>
  <w:footnote w:id="8">
    <w:p w14:paraId="7183E34F" w14:textId="4D2B8FF6" w:rsidR="00F5401A" w:rsidRPr="00104947" w:rsidRDefault="00F5401A" w:rsidP="00222C40">
      <w:pPr>
        <w:pStyle w:val="FootnoteText"/>
        <w:rPr>
          <w:lang w:val="en-CA"/>
        </w:rPr>
      </w:pPr>
      <w:r>
        <w:rPr>
          <w:rStyle w:val="FootnoteReference"/>
        </w:rPr>
        <w:footnoteRef/>
      </w:r>
      <w:r>
        <w:t xml:space="preserve"> </w:t>
      </w:r>
      <w:r w:rsidRPr="00104947">
        <w:rPr>
          <w:lang w:val="fr-FR"/>
        </w:rPr>
        <w:t>(Décision 81/29).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FACA" w14:textId="1500F20B" w:rsidR="00F5401A" w:rsidRPr="0033525D" w:rsidRDefault="0064402C">
    <w:fldSimple w:instr=" DOCPROPERTY &quot;Document number&quot;  \* MERGEFORMAT ">
      <w:r w:rsidR="00F5401A">
        <w:t>UNEP/OzL.Pro/ExCom/87/10</w:t>
      </w:r>
    </w:fldSimple>
  </w:p>
  <w:p w14:paraId="5642DC64" w14:textId="77777777" w:rsidR="00F5401A" w:rsidRPr="0033525D" w:rsidRDefault="00F5401A"/>
  <w:p w14:paraId="5E0DCD54" w14:textId="77777777" w:rsidR="00F5401A" w:rsidRPr="0033525D" w:rsidRDefault="00F5401A"/>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F31F" w14:textId="77777777" w:rsidR="004A08F4" w:rsidRPr="0033525D" w:rsidRDefault="00331D9A" w:rsidP="002F2E98">
    <w:pPr>
      <w:jc w:val="right"/>
    </w:pPr>
    <w:r>
      <w:fldChar w:fldCharType="begin"/>
    </w:r>
    <w:r>
      <w:instrText xml:space="preserve"> DOCPROPERTY "Document number"  \* MERGEFORMAT </w:instrText>
    </w:r>
    <w:r>
      <w:fldChar w:fldCharType="separate"/>
    </w:r>
    <w:r w:rsidR="004A08F4">
      <w:t>UNEP/OzL.Pro/ExCom/87/10</w:t>
    </w:r>
    <w:r>
      <w:fldChar w:fldCharType="end"/>
    </w:r>
  </w:p>
  <w:p w14:paraId="5928D65C" w14:textId="3A2F0B90" w:rsidR="004A08F4" w:rsidRDefault="004A08F4" w:rsidP="002F2E98">
    <w:pPr>
      <w:pStyle w:val="Header"/>
      <w:jc w:val="right"/>
    </w:pPr>
    <w:r>
      <w:t>Annexe III</w:t>
    </w:r>
  </w:p>
  <w:p w14:paraId="0EB4690F" w14:textId="77777777" w:rsidR="004A08F4" w:rsidRDefault="004A08F4">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05D3" w14:textId="4D63B0D6" w:rsidR="004A08F4" w:rsidRPr="0033525D" w:rsidRDefault="00331D9A" w:rsidP="002F2E98">
    <w:pPr>
      <w:jc w:val="right"/>
    </w:pPr>
    <w:r>
      <w:fldChar w:fldCharType="begin"/>
    </w:r>
    <w:r>
      <w:instrText xml:space="preserve"> DOCPROPERTY "Document number"  \* MERGEFORMAT </w:instrText>
    </w:r>
    <w:r>
      <w:fldChar w:fldCharType="separate"/>
    </w:r>
    <w:r w:rsidR="004A08F4">
      <w:t>UNEP/OzL.Pro/ExCom/87/10</w:t>
    </w:r>
    <w:r>
      <w:fldChar w:fldCharType="end"/>
    </w:r>
  </w:p>
  <w:p w14:paraId="3F3E2082" w14:textId="39DB661C" w:rsidR="004A08F4" w:rsidRDefault="004A08F4" w:rsidP="002F2E98">
    <w:pPr>
      <w:pStyle w:val="Header"/>
      <w:jc w:val="right"/>
    </w:pPr>
    <w:r>
      <w:t>Annexe IV</w:t>
    </w:r>
  </w:p>
  <w:p w14:paraId="369B4BAE" w14:textId="77777777" w:rsidR="004A08F4" w:rsidRDefault="004A08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6158" w14:textId="5889D8A6" w:rsidR="00F5401A" w:rsidRPr="0033525D" w:rsidRDefault="0064402C">
    <w:pPr>
      <w:jc w:val="right"/>
    </w:pPr>
    <w:fldSimple w:instr=" DOCPROPERTY &quot;Document number&quot;  \* MERGEFORMAT ">
      <w:r w:rsidR="00F5401A">
        <w:t>UNEP/OzL.Pro/ExCom/87/10</w:t>
      </w:r>
    </w:fldSimple>
  </w:p>
  <w:p w14:paraId="64FF4CA6" w14:textId="77777777" w:rsidR="00F5401A" w:rsidRPr="0033525D" w:rsidRDefault="00F5401A"/>
  <w:p w14:paraId="312C7AC9" w14:textId="77777777" w:rsidR="00F5401A" w:rsidRPr="0033525D" w:rsidRDefault="00F540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48BD" w14:textId="12FB3555" w:rsidR="004A08F4" w:rsidRPr="0033525D" w:rsidRDefault="00331D9A">
    <w:r>
      <w:fldChar w:fldCharType="begin"/>
    </w:r>
    <w:r>
      <w:instrText xml:space="preserve"> DOCPROPERTY "Document number"  \* MERGEFORMAT </w:instrText>
    </w:r>
    <w:r>
      <w:fldChar w:fldCharType="separate"/>
    </w:r>
    <w:r w:rsidR="004A08F4">
      <w:t>UNEP/OzL.Pro/ExCom/86/22</w:t>
    </w:r>
    <w:r>
      <w:fldChar w:fldCharType="end"/>
    </w:r>
  </w:p>
  <w:p w14:paraId="694DEA9B" w14:textId="77777777" w:rsidR="004A08F4" w:rsidRPr="0033525D" w:rsidRDefault="004A08F4"/>
  <w:p w14:paraId="6D2E34B7" w14:textId="77777777" w:rsidR="004A08F4" w:rsidRPr="0033525D" w:rsidRDefault="004A08F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C241" w14:textId="77777777" w:rsidR="004A08F4" w:rsidRPr="0033525D" w:rsidRDefault="00331D9A">
    <w:pPr>
      <w:jc w:val="right"/>
    </w:pPr>
    <w:r>
      <w:fldChar w:fldCharType="begin"/>
    </w:r>
    <w:r>
      <w:instrText xml:space="preserve"> DOCPROPERTY "Document number"  \* MERGEFORMAT </w:instrText>
    </w:r>
    <w:r>
      <w:fldChar w:fldCharType="separate"/>
    </w:r>
    <w:r w:rsidR="004A08F4">
      <w:t>UNEP/OzL.Pro/ExCom/86/22</w:t>
    </w:r>
    <w:r>
      <w:fldChar w:fldCharType="end"/>
    </w:r>
  </w:p>
  <w:p w14:paraId="4458ECD0" w14:textId="77777777" w:rsidR="004A08F4" w:rsidRPr="0033525D" w:rsidRDefault="004A08F4"/>
  <w:p w14:paraId="2281C00E" w14:textId="77777777" w:rsidR="004A08F4" w:rsidRPr="0033525D" w:rsidRDefault="004A08F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1886" w14:textId="77777777" w:rsidR="004A08F4" w:rsidRPr="0033525D" w:rsidRDefault="00331D9A" w:rsidP="002F2E98">
    <w:pPr>
      <w:jc w:val="right"/>
    </w:pPr>
    <w:r>
      <w:fldChar w:fldCharType="begin"/>
    </w:r>
    <w:r>
      <w:instrText xml:space="preserve"> DOCPROPERTY "Document number"  \* MERGEFORMAT </w:instrText>
    </w:r>
    <w:r>
      <w:fldChar w:fldCharType="separate"/>
    </w:r>
    <w:r w:rsidR="004A08F4">
      <w:t>UNEP/OzL.Pro/ExCom/87/10</w:t>
    </w:r>
    <w:r>
      <w:fldChar w:fldCharType="end"/>
    </w:r>
  </w:p>
  <w:p w14:paraId="24A9AB3E" w14:textId="77777777" w:rsidR="004A08F4" w:rsidRDefault="004A08F4" w:rsidP="002F2E98">
    <w:pPr>
      <w:pStyle w:val="Header"/>
      <w:jc w:val="right"/>
    </w:pPr>
    <w:r>
      <w:t>Annexe I</w:t>
    </w:r>
  </w:p>
  <w:p w14:paraId="1C1B25D8" w14:textId="77777777" w:rsidR="004A08F4" w:rsidRDefault="004A08F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A50A" w14:textId="77777777" w:rsidR="004A08F4" w:rsidRPr="0033525D" w:rsidRDefault="00331D9A">
    <w:r>
      <w:fldChar w:fldCharType="begin"/>
    </w:r>
    <w:r>
      <w:instrText xml:space="preserve"> DOCPROPERTY "Document number"  \* MERGEFORMAT </w:instrText>
    </w:r>
    <w:r>
      <w:fldChar w:fldCharType="separate"/>
    </w:r>
    <w:r w:rsidR="004A08F4">
      <w:t>UNEP/OzL.Pro/ExCom/86/22</w:t>
    </w:r>
    <w:r>
      <w:fldChar w:fldCharType="end"/>
    </w:r>
  </w:p>
  <w:p w14:paraId="3E9C4F58" w14:textId="77777777" w:rsidR="004A08F4" w:rsidRPr="0033525D" w:rsidRDefault="004A08F4">
    <w:r>
      <w:t>Annex II</w:t>
    </w:r>
  </w:p>
  <w:p w14:paraId="0D9CAD3A" w14:textId="77777777" w:rsidR="004A08F4" w:rsidRPr="0033525D" w:rsidRDefault="004A08F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9526" w14:textId="77777777" w:rsidR="004A08F4" w:rsidRPr="0033525D" w:rsidRDefault="00331D9A" w:rsidP="002F2E98">
    <w:pPr>
      <w:jc w:val="right"/>
    </w:pPr>
    <w:r>
      <w:fldChar w:fldCharType="begin"/>
    </w:r>
    <w:r>
      <w:instrText xml:space="preserve"> DOCPROPERTY "Document number"  \* MERGEFORMAT </w:instrText>
    </w:r>
    <w:r>
      <w:fldChar w:fldCharType="separate"/>
    </w:r>
    <w:r w:rsidR="004A08F4">
      <w:t>UNEP/OzL.Pro/ExCom/87/10</w:t>
    </w:r>
    <w:r>
      <w:fldChar w:fldCharType="end"/>
    </w:r>
  </w:p>
  <w:p w14:paraId="325A7978" w14:textId="77777777" w:rsidR="004A08F4" w:rsidRDefault="004A08F4" w:rsidP="002F2E98">
    <w:pPr>
      <w:pStyle w:val="Header"/>
      <w:jc w:val="right"/>
    </w:pPr>
    <w:r>
      <w:t>Annexe II</w:t>
    </w:r>
  </w:p>
  <w:p w14:paraId="787A29DD" w14:textId="77777777" w:rsidR="004A08F4" w:rsidRDefault="004A08F4">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0617" w14:textId="77F129C5" w:rsidR="004A08F4" w:rsidRPr="0033525D" w:rsidRDefault="00331D9A">
    <w:r>
      <w:fldChar w:fldCharType="begin"/>
    </w:r>
    <w:r>
      <w:instrText xml:space="preserve"> DOCPROPERTY "Document number"  \* MERGEFORMAT </w:instrText>
    </w:r>
    <w:r>
      <w:fldChar w:fldCharType="separate"/>
    </w:r>
    <w:r w:rsidR="004A08F4">
      <w:t>UNEP/OzL.Pro/ExCom/87/10</w:t>
    </w:r>
    <w:r>
      <w:fldChar w:fldCharType="end"/>
    </w:r>
  </w:p>
  <w:p w14:paraId="4FA78668" w14:textId="16B40801" w:rsidR="004A08F4" w:rsidRPr="0033525D" w:rsidRDefault="004A08F4">
    <w:r>
      <w:t>Annex V</w:t>
    </w:r>
  </w:p>
  <w:p w14:paraId="68DC2CC1" w14:textId="77777777" w:rsidR="004A08F4" w:rsidRPr="0033525D" w:rsidRDefault="004A08F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BFA0" w14:textId="77777777" w:rsidR="004A08F4" w:rsidRPr="0033525D" w:rsidRDefault="00331D9A">
    <w:pPr>
      <w:jc w:val="right"/>
    </w:pPr>
    <w:r>
      <w:fldChar w:fldCharType="begin"/>
    </w:r>
    <w:r>
      <w:instrText xml:space="preserve"> DOCPROPERTY "Document number"  \* MERGEFORMAT </w:instrText>
    </w:r>
    <w:r>
      <w:fldChar w:fldCharType="separate"/>
    </w:r>
    <w:r w:rsidR="004A08F4">
      <w:t>UNEP/OzL.Pro/ExCom/86/22</w:t>
    </w:r>
    <w:r>
      <w:fldChar w:fldCharType="end"/>
    </w:r>
  </w:p>
  <w:p w14:paraId="51E250AA" w14:textId="77777777" w:rsidR="004A08F4" w:rsidRPr="0033525D" w:rsidRDefault="004A08F4" w:rsidP="002F2E98">
    <w:pPr>
      <w:jc w:val="right"/>
    </w:pPr>
    <w:r>
      <w:t>Annex III</w:t>
    </w:r>
  </w:p>
  <w:p w14:paraId="723D670A" w14:textId="77777777" w:rsidR="004A08F4" w:rsidRPr="0033525D" w:rsidRDefault="004A08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24AE334"/>
    <w:lvl w:ilvl="0">
      <w:start w:val="1"/>
      <w:numFmt w:val="decimal"/>
      <w:pStyle w:val="Heading1"/>
      <w:lvlText w:val="%1."/>
      <w:lvlJc w:val="left"/>
      <w:pPr>
        <w:tabs>
          <w:tab w:val="num" w:pos="0"/>
        </w:tabs>
        <w:ind w:left="0" w:firstLine="0"/>
      </w:pPr>
      <w:rPr>
        <w:rFonts w:ascii="Times New Roman" w:hAnsi="Times New Roman" w:cs="Times New Roman" w:hint="default"/>
        <w:b w:val="0"/>
        <w:color w:val="auto"/>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22E2237"/>
    <w:multiLevelType w:val="hybridMultilevel"/>
    <w:tmpl w:val="C35E81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 w:name="WfID" w:val="B8019D25"/>
    <w:docVar w:name="WfLastSegment" w:val="2431"/>
    <w:docVar w:name="WfProtection" w:val="1"/>
    <w:docVar w:name="WfSegPar" w:val="00010 -1 0 0 0 0 0 0"/>
    <w:docVar w:name="WfSetup" w:val="C:\Users\Catherine\AppData\Roaming\Microsoft\Word\OPSTARTEN\wordfast.ini"/>
    <w:docVar w:name="WfStyles" w:val="273 WfIntNo docCells=11A ,C:\Users\Catherine\Documents\Montreal 87\F8710.docx, | ,,0 Heading 0,1 / 1.1 / 1.1.1,1 / a / i,3D-effecten voor tabel 1,3D-effecten voor tabel 2,3D-effecten voor tabel 3,Artikel/sectie,Ballontekst,Bloktekst,Datum,Decision,Eenvoudige tabel 1,Eenvoudige tabel 2,Eenvoudige tabel 3,Eigentijdse tabel,Elegante tabel,Geen lijst,Header4;Para 4,Hyperlink,I. Introduction,Klassieke tabel 1,Klassieke tabel 2,Klassieke tabel 3,Klassieke tabel 4,Kleurrijke tabel 1,Kleurrijke tabel 2,Kleurrijke tabel 3,Kop 1;Para (1);Heading 1 Char;Heading 1 Char3 Char;Heading 1 Char Char1 Char;Heading 1 Char1 Char Char1 Char;Heading 1 Char Char Char Char1 Char1;Para (1) Char Char Char Char1 Char;Heading 1 Char3 Char Char Char Char1 Char;Heading 1 Char3;Heading1,Kop 2;SubPara (a);Heading 2 Char3;Heading 2 Char Char2;Heading 2 Char1 Char Char1;SubPara (a) Char Char Char1;Heading 2 Char Char Char Char1;Heading 2 Char1 Char Char Char Char1;SubPara (a) Char1 Char Char Char Char1;Heading 2 Char1;Heading 2 Char2,Kop 3;Char;Char Char;Heading 3 Char1;Heading 3 Char Char;Char Char Char;Char Char1;Heading 3 Char1 Char;Heading 3 Char Char Char;Char Char Char Char;Char Char1 Char;Heading 3 Char2;Char Char2;Char Char Char1;Heading 3 Char Char1 Char;Heading 3 Char,Kop 4;Heading 11;para 4;Título 41;heading 4;Heading 41;标题 41,Kop 5,Kop 6,Kop 7,Kop 8,Kop 9,Koptekst,Lijstalinea,lisa,Ondertitel,Onderwerp van opmerking,Platte tekst 3,Platte tekst inspringen 3,Professionele tabel,Standaard,Standaardalinea-lettertype,Standaardtabel,Style Header4Para 4 + Left:  0&quot; First line:  0&quot;,sub-title,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ekst opmerking,Tekst van tijdelijke aanduiding,Tekst zonder opmaak,Titel,Title1,tw4winMark,Verfijnde tabel 1,Verfijnde tabel 2,Verwijzing opmerking,Voetnootmarkering;Footnote text;Footnote Text1;Footnote Text2,Voetnoottekst,Voettekst,Webtabel 1,Webtabel 2,Webtabel 3,"/>
  </w:docVars>
  <w:rsids>
    <w:rsidRoot w:val="00222C40"/>
    <w:rsid w:val="00000FED"/>
    <w:rsid w:val="000041A8"/>
    <w:rsid w:val="0000434E"/>
    <w:rsid w:val="0001081E"/>
    <w:rsid w:val="000127CD"/>
    <w:rsid w:val="000211A9"/>
    <w:rsid w:val="00024BD0"/>
    <w:rsid w:val="00031260"/>
    <w:rsid w:val="0003366C"/>
    <w:rsid w:val="00035042"/>
    <w:rsid w:val="0003681A"/>
    <w:rsid w:val="000372B7"/>
    <w:rsid w:val="00041030"/>
    <w:rsid w:val="000424C6"/>
    <w:rsid w:val="000437BD"/>
    <w:rsid w:val="00050F6E"/>
    <w:rsid w:val="00061EC2"/>
    <w:rsid w:val="000717D0"/>
    <w:rsid w:val="00073AD2"/>
    <w:rsid w:val="00080ED0"/>
    <w:rsid w:val="0008449F"/>
    <w:rsid w:val="00085B8F"/>
    <w:rsid w:val="000879B7"/>
    <w:rsid w:val="00090481"/>
    <w:rsid w:val="00091332"/>
    <w:rsid w:val="00095C24"/>
    <w:rsid w:val="0009657E"/>
    <w:rsid w:val="000A0206"/>
    <w:rsid w:val="000A0281"/>
    <w:rsid w:val="000A3826"/>
    <w:rsid w:val="000A6C26"/>
    <w:rsid w:val="000B32BD"/>
    <w:rsid w:val="000B77D6"/>
    <w:rsid w:val="000C50D2"/>
    <w:rsid w:val="000C5D01"/>
    <w:rsid w:val="000C78D8"/>
    <w:rsid w:val="000D22B3"/>
    <w:rsid w:val="000D3E2A"/>
    <w:rsid w:val="000D52A4"/>
    <w:rsid w:val="000E07BC"/>
    <w:rsid w:val="000F1CD4"/>
    <w:rsid w:val="000F1E2D"/>
    <w:rsid w:val="000F3CE0"/>
    <w:rsid w:val="000F4103"/>
    <w:rsid w:val="000F70A7"/>
    <w:rsid w:val="00102A32"/>
    <w:rsid w:val="00104947"/>
    <w:rsid w:val="00107D26"/>
    <w:rsid w:val="00113CCA"/>
    <w:rsid w:val="00122F25"/>
    <w:rsid w:val="0012477D"/>
    <w:rsid w:val="001310A2"/>
    <w:rsid w:val="00135980"/>
    <w:rsid w:val="001469EB"/>
    <w:rsid w:val="00164719"/>
    <w:rsid w:val="00166FC4"/>
    <w:rsid w:val="001677AC"/>
    <w:rsid w:val="00173F16"/>
    <w:rsid w:val="001804EA"/>
    <w:rsid w:val="001834DF"/>
    <w:rsid w:val="00183682"/>
    <w:rsid w:val="00190A61"/>
    <w:rsid w:val="00191277"/>
    <w:rsid w:val="00192E31"/>
    <w:rsid w:val="001A3342"/>
    <w:rsid w:val="001A3E3D"/>
    <w:rsid w:val="001A7049"/>
    <w:rsid w:val="001B1E40"/>
    <w:rsid w:val="001C0A2A"/>
    <w:rsid w:val="001C276C"/>
    <w:rsid w:val="001C62CE"/>
    <w:rsid w:val="001C764E"/>
    <w:rsid w:val="001D5BCC"/>
    <w:rsid w:val="001D5F3C"/>
    <w:rsid w:val="001E1052"/>
    <w:rsid w:val="001E21B1"/>
    <w:rsid w:val="001E2F93"/>
    <w:rsid w:val="001E38FB"/>
    <w:rsid w:val="001E4554"/>
    <w:rsid w:val="001E61E5"/>
    <w:rsid w:val="001E6CDA"/>
    <w:rsid w:val="001F2159"/>
    <w:rsid w:val="002027EB"/>
    <w:rsid w:val="00210B8B"/>
    <w:rsid w:val="00210DFF"/>
    <w:rsid w:val="00214863"/>
    <w:rsid w:val="002156B4"/>
    <w:rsid w:val="00222C40"/>
    <w:rsid w:val="00224FCD"/>
    <w:rsid w:val="00237B5C"/>
    <w:rsid w:val="002477E1"/>
    <w:rsid w:val="00253222"/>
    <w:rsid w:val="00261887"/>
    <w:rsid w:val="00262847"/>
    <w:rsid w:val="00262EE3"/>
    <w:rsid w:val="00271644"/>
    <w:rsid w:val="00273F5E"/>
    <w:rsid w:val="00277CFC"/>
    <w:rsid w:val="00281BB2"/>
    <w:rsid w:val="00282856"/>
    <w:rsid w:val="002A0771"/>
    <w:rsid w:val="002A5EFD"/>
    <w:rsid w:val="002B254E"/>
    <w:rsid w:val="002B5FA5"/>
    <w:rsid w:val="002B72E9"/>
    <w:rsid w:val="002C17C6"/>
    <w:rsid w:val="002C7998"/>
    <w:rsid w:val="002F0A8B"/>
    <w:rsid w:val="002F1E53"/>
    <w:rsid w:val="002F2040"/>
    <w:rsid w:val="002F2CAA"/>
    <w:rsid w:val="002F2E98"/>
    <w:rsid w:val="0030052C"/>
    <w:rsid w:val="00300CF0"/>
    <w:rsid w:val="00301363"/>
    <w:rsid w:val="0030643D"/>
    <w:rsid w:val="00310E2F"/>
    <w:rsid w:val="00321512"/>
    <w:rsid w:val="003229D1"/>
    <w:rsid w:val="00323A06"/>
    <w:rsid w:val="0032539A"/>
    <w:rsid w:val="003306E1"/>
    <w:rsid w:val="00331D9A"/>
    <w:rsid w:val="003320E4"/>
    <w:rsid w:val="00334C7A"/>
    <w:rsid w:val="0033525D"/>
    <w:rsid w:val="003414F3"/>
    <w:rsid w:val="0035613E"/>
    <w:rsid w:val="003636CC"/>
    <w:rsid w:val="00363EE9"/>
    <w:rsid w:val="0036729E"/>
    <w:rsid w:val="00372370"/>
    <w:rsid w:val="00376128"/>
    <w:rsid w:val="0037742E"/>
    <w:rsid w:val="003777F1"/>
    <w:rsid w:val="00377D56"/>
    <w:rsid w:val="0038245A"/>
    <w:rsid w:val="003840E6"/>
    <w:rsid w:val="00385CFC"/>
    <w:rsid w:val="0038684B"/>
    <w:rsid w:val="0039337A"/>
    <w:rsid w:val="003A1E4E"/>
    <w:rsid w:val="003A3189"/>
    <w:rsid w:val="003A3CA7"/>
    <w:rsid w:val="003A6564"/>
    <w:rsid w:val="003A7741"/>
    <w:rsid w:val="003B33BD"/>
    <w:rsid w:val="003B3BA7"/>
    <w:rsid w:val="003B569D"/>
    <w:rsid w:val="003C3C0E"/>
    <w:rsid w:val="003C56CF"/>
    <w:rsid w:val="003C663E"/>
    <w:rsid w:val="003D42A6"/>
    <w:rsid w:val="003D4F21"/>
    <w:rsid w:val="003D4FAC"/>
    <w:rsid w:val="003E7906"/>
    <w:rsid w:val="003F3C50"/>
    <w:rsid w:val="003F7B40"/>
    <w:rsid w:val="00401352"/>
    <w:rsid w:val="00406A6A"/>
    <w:rsid w:val="00406B22"/>
    <w:rsid w:val="00410957"/>
    <w:rsid w:val="00415D79"/>
    <w:rsid w:val="00427451"/>
    <w:rsid w:val="004328A7"/>
    <w:rsid w:val="00434C74"/>
    <w:rsid w:val="004356A7"/>
    <w:rsid w:val="00437E93"/>
    <w:rsid w:val="004478D6"/>
    <w:rsid w:val="004557AB"/>
    <w:rsid w:val="00455FF9"/>
    <w:rsid w:val="00456EB4"/>
    <w:rsid w:val="004622F8"/>
    <w:rsid w:val="004718F3"/>
    <w:rsid w:val="00473CBC"/>
    <w:rsid w:val="00473D95"/>
    <w:rsid w:val="00475040"/>
    <w:rsid w:val="004773D4"/>
    <w:rsid w:val="00481761"/>
    <w:rsid w:val="00493BA1"/>
    <w:rsid w:val="00493D40"/>
    <w:rsid w:val="004967B6"/>
    <w:rsid w:val="004A08F4"/>
    <w:rsid w:val="004A46FC"/>
    <w:rsid w:val="004A504B"/>
    <w:rsid w:val="004A5ACE"/>
    <w:rsid w:val="004A6911"/>
    <w:rsid w:val="004B2A39"/>
    <w:rsid w:val="004B4014"/>
    <w:rsid w:val="004B54E0"/>
    <w:rsid w:val="004B630A"/>
    <w:rsid w:val="004B6C33"/>
    <w:rsid w:val="004B7384"/>
    <w:rsid w:val="004C4269"/>
    <w:rsid w:val="004D045A"/>
    <w:rsid w:val="004D6236"/>
    <w:rsid w:val="004D7F90"/>
    <w:rsid w:val="004E4DBB"/>
    <w:rsid w:val="004E4E41"/>
    <w:rsid w:val="004E7975"/>
    <w:rsid w:val="004E7F9C"/>
    <w:rsid w:val="004F1C92"/>
    <w:rsid w:val="004F3493"/>
    <w:rsid w:val="004F4704"/>
    <w:rsid w:val="004F5143"/>
    <w:rsid w:val="005042BF"/>
    <w:rsid w:val="00512B09"/>
    <w:rsid w:val="00513CC7"/>
    <w:rsid w:val="00515FA5"/>
    <w:rsid w:val="005220ED"/>
    <w:rsid w:val="0052290E"/>
    <w:rsid w:val="005267D0"/>
    <w:rsid w:val="00530B85"/>
    <w:rsid w:val="0053337F"/>
    <w:rsid w:val="00533796"/>
    <w:rsid w:val="00537343"/>
    <w:rsid w:val="00555D75"/>
    <w:rsid w:val="0056017D"/>
    <w:rsid w:val="00560DF0"/>
    <w:rsid w:val="0056759C"/>
    <w:rsid w:val="00592538"/>
    <w:rsid w:val="0059513E"/>
    <w:rsid w:val="005A269B"/>
    <w:rsid w:val="005A6D9F"/>
    <w:rsid w:val="005B48FF"/>
    <w:rsid w:val="005B64F0"/>
    <w:rsid w:val="005C01DE"/>
    <w:rsid w:val="005C15FE"/>
    <w:rsid w:val="005C2706"/>
    <w:rsid w:val="005C3AAC"/>
    <w:rsid w:val="005D20DA"/>
    <w:rsid w:val="005D363F"/>
    <w:rsid w:val="005D77DD"/>
    <w:rsid w:val="005E0970"/>
    <w:rsid w:val="005F5162"/>
    <w:rsid w:val="005F7505"/>
    <w:rsid w:val="0060151A"/>
    <w:rsid w:val="0060226D"/>
    <w:rsid w:val="00603321"/>
    <w:rsid w:val="00604C15"/>
    <w:rsid w:val="00605D6D"/>
    <w:rsid w:val="00605E38"/>
    <w:rsid w:val="006158A1"/>
    <w:rsid w:val="006158D5"/>
    <w:rsid w:val="00617D08"/>
    <w:rsid w:val="00624736"/>
    <w:rsid w:val="00625D83"/>
    <w:rsid w:val="00643337"/>
    <w:rsid w:val="0064402C"/>
    <w:rsid w:val="0065233E"/>
    <w:rsid w:val="00654468"/>
    <w:rsid w:val="00657434"/>
    <w:rsid w:val="006623E7"/>
    <w:rsid w:val="00662B80"/>
    <w:rsid w:val="00670F6C"/>
    <w:rsid w:val="006718C9"/>
    <w:rsid w:val="00681C69"/>
    <w:rsid w:val="006852C7"/>
    <w:rsid w:val="006852CE"/>
    <w:rsid w:val="0069054C"/>
    <w:rsid w:val="00692D14"/>
    <w:rsid w:val="006948D0"/>
    <w:rsid w:val="006A16CC"/>
    <w:rsid w:val="006A7C08"/>
    <w:rsid w:val="006B1D2C"/>
    <w:rsid w:val="006B62F4"/>
    <w:rsid w:val="006B65C7"/>
    <w:rsid w:val="006C1727"/>
    <w:rsid w:val="006C32FD"/>
    <w:rsid w:val="006C39CE"/>
    <w:rsid w:val="006D0FCC"/>
    <w:rsid w:val="006D21F5"/>
    <w:rsid w:val="006D34D2"/>
    <w:rsid w:val="006D662D"/>
    <w:rsid w:val="006D7DDF"/>
    <w:rsid w:val="006E0A92"/>
    <w:rsid w:val="006E126D"/>
    <w:rsid w:val="006E19D9"/>
    <w:rsid w:val="006E1FC3"/>
    <w:rsid w:val="006E3325"/>
    <w:rsid w:val="006E7799"/>
    <w:rsid w:val="007015B6"/>
    <w:rsid w:val="00703054"/>
    <w:rsid w:val="00704CE9"/>
    <w:rsid w:val="0070616B"/>
    <w:rsid w:val="00706295"/>
    <w:rsid w:val="00706DC3"/>
    <w:rsid w:val="00706FDA"/>
    <w:rsid w:val="00711F9A"/>
    <w:rsid w:val="00713810"/>
    <w:rsid w:val="00714F80"/>
    <w:rsid w:val="00720F24"/>
    <w:rsid w:val="0072518A"/>
    <w:rsid w:val="0072674B"/>
    <w:rsid w:val="007303A5"/>
    <w:rsid w:val="00730B3E"/>
    <w:rsid w:val="00731B98"/>
    <w:rsid w:val="0073420B"/>
    <w:rsid w:val="0073497E"/>
    <w:rsid w:val="00737E71"/>
    <w:rsid w:val="0074760E"/>
    <w:rsid w:val="00754ABA"/>
    <w:rsid w:val="00772CA3"/>
    <w:rsid w:val="00773B67"/>
    <w:rsid w:val="00780E68"/>
    <w:rsid w:val="00790291"/>
    <w:rsid w:val="007A1546"/>
    <w:rsid w:val="007A228C"/>
    <w:rsid w:val="007A368E"/>
    <w:rsid w:val="007A5868"/>
    <w:rsid w:val="007A6A5C"/>
    <w:rsid w:val="007B04CE"/>
    <w:rsid w:val="007B5EA5"/>
    <w:rsid w:val="007B6871"/>
    <w:rsid w:val="007B6F73"/>
    <w:rsid w:val="007B769D"/>
    <w:rsid w:val="007B7A2F"/>
    <w:rsid w:val="007C3D33"/>
    <w:rsid w:val="007D294A"/>
    <w:rsid w:val="007D47D2"/>
    <w:rsid w:val="007D5761"/>
    <w:rsid w:val="007D6E7B"/>
    <w:rsid w:val="007D6EC0"/>
    <w:rsid w:val="007D7E1D"/>
    <w:rsid w:val="007E0A31"/>
    <w:rsid w:val="007F1736"/>
    <w:rsid w:val="007F66F0"/>
    <w:rsid w:val="00803669"/>
    <w:rsid w:val="00810DE4"/>
    <w:rsid w:val="00831979"/>
    <w:rsid w:val="00832407"/>
    <w:rsid w:val="00836081"/>
    <w:rsid w:val="008450A4"/>
    <w:rsid w:val="008466D1"/>
    <w:rsid w:val="00850631"/>
    <w:rsid w:val="00851352"/>
    <w:rsid w:val="0085428B"/>
    <w:rsid w:val="00857077"/>
    <w:rsid w:val="00863230"/>
    <w:rsid w:val="00865BD0"/>
    <w:rsid w:val="00865EC8"/>
    <w:rsid w:val="008660F5"/>
    <w:rsid w:val="00870853"/>
    <w:rsid w:val="008717D8"/>
    <w:rsid w:val="00871998"/>
    <w:rsid w:val="0087215C"/>
    <w:rsid w:val="00875D25"/>
    <w:rsid w:val="00880E35"/>
    <w:rsid w:val="008875FE"/>
    <w:rsid w:val="00887F8E"/>
    <w:rsid w:val="00896234"/>
    <w:rsid w:val="00897E43"/>
    <w:rsid w:val="008B0590"/>
    <w:rsid w:val="008B2186"/>
    <w:rsid w:val="008B5450"/>
    <w:rsid w:val="008C5738"/>
    <w:rsid w:val="008C7EAD"/>
    <w:rsid w:val="008D0CFE"/>
    <w:rsid w:val="008D6152"/>
    <w:rsid w:val="008E7E9D"/>
    <w:rsid w:val="008F0F81"/>
    <w:rsid w:val="008F27BF"/>
    <w:rsid w:val="008F4C07"/>
    <w:rsid w:val="008F5A81"/>
    <w:rsid w:val="009142EC"/>
    <w:rsid w:val="009154C3"/>
    <w:rsid w:val="0091660A"/>
    <w:rsid w:val="00920AE9"/>
    <w:rsid w:val="009217B4"/>
    <w:rsid w:val="00923540"/>
    <w:rsid w:val="00925391"/>
    <w:rsid w:val="00925EB5"/>
    <w:rsid w:val="00926767"/>
    <w:rsid w:val="009361D5"/>
    <w:rsid w:val="009406FC"/>
    <w:rsid w:val="009428A4"/>
    <w:rsid w:val="00953D3F"/>
    <w:rsid w:val="009608D8"/>
    <w:rsid w:val="0096302A"/>
    <w:rsid w:val="009659F4"/>
    <w:rsid w:val="0096639F"/>
    <w:rsid w:val="0096690A"/>
    <w:rsid w:val="00970D60"/>
    <w:rsid w:val="009727EE"/>
    <w:rsid w:val="0097510B"/>
    <w:rsid w:val="00976C0B"/>
    <w:rsid w:val="0099390E"/>
    <w:rsid w:val="009960E5"/>
    <w:rsid w:val="00996C4C"/>
    <w:rsid w:val="009A7ADC"/>
    <w:rsid w:val="009B50B4"/>
    <w:rsid w:val="009C19B7"/>
    <w:rsid w:val="009C1AC0"/>
    <w:rsid w:val="009C4CF8"/>
    <w:rsid w:val="009C5ABB"/>
    <w:rsid w:val="009D31BC"/>
    <w:rsid w:val="009D7C51"/>
    <w:rsid w:val="009E196C"/>
    <w:rsid w:val="009E3EA4"/>
    <w:rsid w:val="009F2C38"/>
    <w:rsid w:val="009F2E66"/>
    <w:rsid w:val="009F33A7"/>
    <w:rsid w:val="009F36BF"/>
    <w:rsid w:val="00A0644B"/>
    <w:rsid w:val="00A111B6"/>
    <w:rsid w:val="00A16EC5"/>
    <w:rsid w:val="00A223E2"/>
    <w:rsid w:val="00A23E1D"/>
    <w:rsid w:val="00A26D27"/>
    <w:rsid w:val="00A3695F"/>
    <w:rsid w:val="00A376EE"/>
    <w:rsid w:val="00A42A99"/>
    <w:rsid w:val="00A463DC"/>
    <w:rsid w:val="00A5151A"/>
    <w:rsid w:val="00A5344D"/>
    <w:rsid w:val="00A54CEA"/>
    <w:rsid w:val="00A5518B"/>
    <w:rsid w:val="00A57E0A"/>
    <w:rsid w:val="00A61FAF"/>
    <w:rsid w:val="00A823F6"/>
    <w:rsid w:val="00A8275C"/>
    <w:rsid w:val="00A853F9"/>
    <w:rsid w:val="00A8683A"/>
    <w:rsid w:val="00A8719E"/>
    <w:rsid w:val="00AA0A89"/>
    <w:rsid w:val="00AA439A"/>
    <w:rsid w:val="00AA5AFA"/>
    <w:rsid w:val="00AA6429"/>
    <w:rsid w:val="00AB23B3"/>
    <w:rsid w:val="00AB6D98"/>
    <w:rsid w:val="00AC01AA"/>
    <w:rsid w:val="00AC4F72"/>
    <w:rsid w:val="00AD05C2"/>
    <w:rsid w:val="00AD15F0"/>
    <w:rsid w:val="00AD5C4D"/>
    <w:rsid w:val="00AD7282"/>
    <w:rsid w:val="00AE0C27"/>
    <w:rsid w:val="00AF2645"/>
    <w:rsid w:val="00AF3406"/>
    <w:rsid w:val="00AF741A"/>
    <w:rsid w:val="00B01ADB"/>
    <w:rsid w:val="00B04161"/>
    <w:rsid w:val="00B056F9"/>
    <w:rsid w:val="00B10C7A"/>
    <w:rsid w:val="00B11E3D"/>
    <w:rsid w:val="00B12990"/>
    <w:rsid w:val="00B15A02"/>
    <w:rsid w:val="00B17E82"/>
    <w:rsid w:val="00B245EE"/>
    <w:rsid w:val="00B2598B"/>
    <w:rsid w:val="00B25D10"/>
    <w:rsid w:val="00B35DB3"/>
    <w:rsid w:val="00B45304"/>
    <w:rsid w:val="00B4575A"/>
    <w:rsid w:val="00B52564"/>
    <w:rsid w:val="00B5277F"/>
    <w:rsid w:val="00B54E30"/>
    <w:rsid w:val="00B57557"/>
    <w:rsid w:val="00B575BA"/>
    <w:rsid w:val="00B60665"/>
    <w:rsid w:val="00B71608"/>
    <w:rsid w:val="00B74E41"/>
    <w:rsid w:val="00B76429"/>
    <w:rsid w:val="00B87A11"/>
    <w:rsid w:val="00B956D4"/>
    <w:rsid w:val="00B96AA0"/>
    <w:rsid w:val="00B97446"/>
    <w:rsid w:val="00BA7432"/>
    <w:rsid w:val="00BB2764"/>
    <w:rsid w:val="00BB454B"/>
    <w:rsid w:val="00BB50A4"/>
    <w:rsid w:val="00BC18A8"/>
    <w:rsid w:val="00BC1AA0"/>
    <w:rsid w:val="00BC2495"/>
    <w:rsid w:val="00BC6059"/>
    <w:rsid w:val="00BC7EB9"/>
    <w:rsid w:val="00BD2643"/>
    <w:rsid w:val="00BD56B1"/>
    <w:rsid w:val="00BD6558"/>
    <w:rsid w:val="00BE7E68"/>
    <w:rsid w:val="00BF00A8"/>
    <w:rsid w:val="00BF1575"/>
    <w:rsid w:val="00BF2F76"/>
    <w:rsid w:val="00BF3022"/>
    <w:rsid w:val="00BF3214"/>
    <w:rsid w:val="00BF5573"/>
    <w:rsid w:val="00BF6148"/>
    <w:rsid w:val="00BF64E3"/>
    <w:rsid w:val="00C113ED"/>
    <w:rsid w:val="00C1577D"/>
    <w:rsid w:val="00C15867"/>
    <w:rsid w:val="00C179CB"/>
    <w:rsid w:val="00C2296D"/>
    <w:rsid w:val="00C23155"/>
    <w:rsid w:val="00C27E03"/>
    <w:rsid w:val="00C40C41"/>
    <w:rsid w:val="00C45885"/>
    <w:rsid w:val="00C50F22"/>
    <w:rsid w:val="00C54B2B"/>
    <w:rsid w:val="00C57971"/>
    <w:rsid w:val="00C60F9B"/>
    <w:rsid w:val="00C617CE"/>
    <w:rsid w:val="00C63921"/>
    <w:rsid w:val="00C65BD7"/>
    <w:rsid w:val="00C665BA"/>
    <w:rsid w:val="00C74482"/>
    <w:rsid w:val="00C76BA4"/>
    <w:rsid w:val="00C83A48"/>
    <w:rsid w:val="00C85865"/>
    <w:rsid w:val="00C85E85"/>
    <w:rsid w:val="00C94A4A"/>
    <w:rsid w:val="00CA2A53"/>
    <w:rsid w:val="00CA2C22"/>
    <w:rsid w:val="00CA2EAE"/>
    <w:rsid w:val="00CA4AC1"/>
    <w:rsid w:val="00CB0316"/>
    <w:rsid w:val="00CB0B11"/>
    <w:rsid w:val="00CB426A"/>
    <w:rsid w:val="00CB5354"/>
    <w:rsid w:val="00CB6784"/>
    <w:rsid w:val="00CB67EF"/>
    <w:rsid w:val="00CC3C9E"/>
    <w:rsid w:val="00CC6A14"/>
    <w:rsid w:val="00CC70A3"/>
    <w:rsid w:val="00CD3A09"/>
    <w:rsid w:val="00CD4442"/>
    <w:rsid w:val="00CD4955"/>
    <w:rsid w:val="00CD53C3"/>
    <w:rsid w:val="00CD574E"/>
    <w:rsid w:val="00CE4C22"/>
    <w:rsid w:val="00CF00E0"/>
    <w:rsid w:val="00CF1577"/>
    <w:rsid w:val="00CF2A23"/>
    <w:rsid w:val="00CF4114"/>
    <w:rsid w:val="00CF41EC"/>
    <w:rsid w:val="00CF5D04"/>
    <w:rsid w:val="00D02CF4"/>
    <w:rsid w:val="00D04DE4"/>
    <w:rsid w:val="00D063F1"/>
    <w:rsid w:val="00D06E39"/>
    <w:rsid w:val="00D10E14"/>
    <w:rsid w:val="00D14F22"/>
    <w:rsid w:val="00D1675A"/>
    <w:rsid w:val="00D20704"/>
    <w:rsid w:val="00D20963"/>
    <w:rsid w:val="00D42FAD"/>
    <w:rsid w:val="00D44954"/>
    <w:rsid w:val="00D4741C"/>
    <w:rsid w:val="00D478B8"/>
    <w:rsid w:val="00D51314"/>
    <w:rsid w:val="00D52A62"/>
    <w:rsid w:val="00D564A6"/>
    <w:rsid w:val="00D5676A"/>
    <w:rsid w:val="00D57918"/>
    <w:rsid w:val="00D6139E"/>
    <w:rsid w:val="00D62681"/>
    <w:rsid w:val="00D73790"/>
    <w:rsid w:val="00D73DC6"/>
    <w:rsid w:val="00D74C1A"/>
    <w:rsid w:val="00D754C1"/>
    <w:rsid w:val="00D77393"/>
    <w:rsid w:val="00D77A35"/>
    <w:rsid w:val="00D81B3E"/>
    <w:rsid w:val="00D82CA5"/>
    <w:rsid w:val="00D8550C"/>
    <w:rsid w:val="00D87FA7"/>
    <w:rsid w:val="00D90C38"/>
    <w:rsid w:val="00D90C70"/>
    <w:rsid w:val="00D90E49"/>
    <w:rsid w:val="00D930A1"/>
    <w:rsid w:val="00D95261"/>
    <w:rsid w:val="00D96ADE"/>
    <w:rsid w:val="00DA0CE2"/>
    <w:rsid w:val="00DA1B61"/>
    <w:rsid w:val="00DB54A7"/>
    <w:rsid w:val="00DC6A10"/>
    <w:rsid w:val="00DE09EE"/>
    <w:rsid w:val="00DE657E"/>
    <w:rsid w:val="00DF0DA2"/>
    <w:rsid w:val="00DF4603"/>
    <w:rsid w:val="00DF4704"/>
    <w:rsid w:val="00DF5184"/>
    <w:rsid w:val="00E024AA"/>
    <w:rsid w:val="00E03C1D"/>
    <w:rsid w:val="00E15C77"/>
    <w:rsid w:val="00E15E2B"/>
    <w:rsid w:val="00E16AB3"/>
    <w:rsid w:val="00E17E80"/>
    <w:rsid w:val="00E250F1"/>
    <w:rsid w:val="00E27A05"/>
    <w:rsid w:val="00E3550D"/>
    <w:rsid w:val="00E359FB"/>
    <w:rsid w:val="00E447A2"/>
    <w:rsid w:val="00E46AAA"/>
    <w:rsid w:val="00E525A1"/>
    <w:rsid w:val="00E52838"/>
    <w:rsid w:val="00E52F73"/>
    <w:rsid w:val="00E60644"/>
    <w:rsid w:val="00E614E0"/>
    <w:rsid w:val="00E6546D"/>
    <w:rsid w:val="00E73F7F"/>
    <w:rsid w:val="00E85409"/>
    <w:rsid w:val="00E87466"/>
    <w:rsid w:val="00E90CE9"/>
    <w:rsid w:val="00E9186A"/>
    <w:rsid w:val="00E93321"/>
    <w:rsid w:val="00E97469"/>
    <w:rsid w:val="00EA429F"/>
    <w:rsid w:val="00EA4F9E"/>
    <w:rsid w:val="00EA63CA"/>
    <w:rsid w:val="00EA6D3B"/>
    <w:rsid w:val="00EA734C"/>
    <w:rsid w:val="00EB00AD"/>
    <w:rsid w:val="00EB12EE"/>
    <w:rsid w:val="00EB136C"/>
    <w:rsid w:val="00EB28B4"/>
    <w:rsid w:val="00EB2D68"/>
    <w:rsid w:val="00EB390D"/>
    <w:rsid w:val="00EB480E"/>
    <w:rsid w:val="00EB4E08"/>
    <w:rsid w:val="00EB5EC6"/>
    <w:rsid w:val="00EB73F4"/>
    <w:rsid w:val="00EB7FC9"/>
    <w:rsid w:val="00ED27E8"/>
    <w:rsid w:val="00ED28E3"/>
    <w:rsid w:val="00ED7027"/>
    <w:rsid w:val="00ED7137"/>
    <w:rsid w:val="00EE05AC"/>
    <w:rsid w:val="00EE19FC"/>
    <w:rsid w:val="00EE39AD"/>
    <w:rsid w:val="00EE5AA7"/>
    <w:rsid w:val="00EE7BC5"/>
    <w:rsid w:val="00EF06EA"/>
    <w:rsid w:val="00EF09FA"/>
    <w:rsid w:val="00EF3A2C"/>
    <w:rsid w:val="00EF765B"/>
    <w:rsid w:val="00F13FD8"/>
    <w:rsid w:val="00F14B86"/>
    <w:rsid w:val="00F20FA2"/>
    <w:rsid w:val="00F21088"/>
    <w:rsid w:val="00F32461"/>
    <w:rsid w:val="00F327E7"/>
    <w:rsid w:val="00F35568"/>
    <w:rsid w:val="00F35746"/>
    <w:rsid w:val="00F36CB8"/>
    <w:rsid w:val="00F42322"/>
    <w:rsid w:val="00F447C7"/>
    <w:rsid w:val="00F459B4"/>
    <w:rsid w:val="00F46E40"/>
    <w:rsid w:val="00F4780F"/>
    <w:rsid w:val="00F5211B"/>
    <w:rsid w:val="00F53FB0"/>
    <w:rsid w:val="00F5401A"/>
    <w:rsid w:val="00F554A9"/>
    <w:rsid w:val="00F60AC9"/>
    <w:rsid w:val="00F6280F"/>
    <w:rsid w:val="00F716FD"/>
    <w:rsid w:val="00F76746"/>
    <w:rsid w:val="00F77ED3"/>
    <w:rsid w:val="00F80355"/>
    <w:rsid w:val="00F87C43"/>
    <w:rsid w:val="00F94F23"/>
    <w:rsid w:val="00F97AFB"/>
    <w:rsid w:val="00FA7D5A"/>
    <w:rsid w:val="00FB0C81"/>
    <w:rsid w:val="00FB7E2D"/>
    <w:rsid w:val="00FC2200"/>
    <w:rsid w:val="00FC2540"/>
    <w:rsid w:val="00FC43DF"/>
    <w:rsid w:val="00FD67B0"/>
    <w:rsid w:val="00FD76FE"/>
    <w:rsid w:val="00FE4BE2"/>
    <w:rsid w:val="00FF0204"/>
    <w:rsid w:val="00FF3995"/>
    <w:rsid w:val="00FF3AED"/>
    <w:rsid w:val="00FF59BB"/>
    <w:rsid w:val="00FF5A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0D77"/>
  <w15:docId w15:val="{C7570C54-E90D-4578-AD9A-D1F253DC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6E126D"/>
    <w:rPr>
      <w:sz w:val="20"/>
      <w:szCs w:val="20"/>
    </w:rPr>
  </w:style>
  <w:style w:type="character" w:customStyle="1" w:styleId="FootnoteTextChar">
    <w:name w:val="Footnote Text Char"/>
    <w:basedOn w:val="DefaultParagraphFont"/>
    <w:link w:val="FootnoteText"/>
    <w:uiPriority w:val="99"/>
    <w:rsid w:val="006E126D"/>
    <w:rPr>
      <w:lang w:val="en-GB"/>
    </w:rPr>
  </w:style>
  <w:style w:type="character" w:styleId="FootnoteReference">
    <w:name w:val="footnote reference"/>
    <w:aliases w:val="Footnote text,Footnote Text1,Footnote Text2"/>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222C40"/>
    <w:rPr>
      <w:sz w:val="22"/>
      <w:szCs w:val="22"/>
      <w:lang w:val="en-GB"/>
    </w:rPr>
  </w:style>
  <w:style w:type="paragraph" w:customStyle="1" w:styleId="lisa">
    <w:name w:val="lisa"/>
    <w:basedOn w:val="Normal"/>
    <w:rsid w:val="00222C40"/>
    <w:pPr>
      <w:widowControl w:val="0"/>
      <w:numPr>
        <w:ilvl w:val="1"/>
        <w:numId w:val="22"/>
      </w:numPr>
      <w:spacing w:after="240"/>
      <w:outlineLvl w:val="1"/>
    </w:pPr>
    <w:rPr>
      <w:b/>
      <w:szCs w:val="24"/>
    </w:rPr>
  </w:style>
  <w:style w:type="character" w:styleId="Hyperlink">
    <w:name w:val="Hyperlink"/>
    <w:basedOn w:val="DefaultParagraphFont"/>
    <w:uiPriority w:val="99"/>
    <w:semiHidden/>
    <w:unhideWhenUsed/>
    <w:rsid w:val="00222C40"/>
    <w:rPr>
      <w:color w:val="0000FF"/>
      <w:u w:val="single"/>
    </w:rPr>
  </w:style>
  <w:style w:type="paragraph" w:customStyle="1" w:styleId="IIntroduction">
    <w:name w:val="I. Introduction"/>
    <w:basedOn w:val="Normal"/>
    <w:rsid w:val="00222C40"/>
    <w:pPr>
      <w:numPr>
        <w:numId w:val="23"/>
      </w:numPr>
      <w:spacing w:before="240" w:after="240"/>
    </w:pPr>
    <w:rPr>
      <w:b/>
      <w:sz w:val="24"/>
      <w:szCs w:val="20"/>
    </w:rPr>
  </w:style>
  <w:style w:type="character" w:customStyle="1" w:styleId="FooterChar">
    <w:name w:val="Footer Char"/>
    <w:basedOn w:val="DefaultParagraphFont"/>
    <w:link w:val="Footer"/>
    <w:uiPriority w:val="99"/>
    <w:rsid w:val="00222C40"/>
    <w:rPr>
      <w:sz w:val="22"/>
      <w:szCs w:val="22"/>
      <w:lang w:val="en-GB"/>
    </w:rPr>
  </w:style>
  <w:style w:type="paragraph" w:styleId="ListParagraph">
    <w:name w:val="List Paragraph"/>
    <w:basedOn w:val="Normal"/>
    <w:uiPriority w:val="34"/>
    <w:qFormat/>
    <w:rsid w:val="00222C40"/>
    <w:pPr>
      <w:ind w:left="720"/>
      <w:contextualSpacing/>
    </w:pPr>
  </w:style>
  <w:style w:type="character" w:customStyle="1" w:styleId="tw4winMark">
    <w:name w:val="tw4winMark"/>
    <w:basedOn w:val="DefaultParagraphFont"/>
    <w:rsid w:val="00FA7D5A"/>
    <w:rPr>
      <w:rFonts w:ascii="Courier New" w:hAnsi="Courier New" w:cs="Courier New"/>
      <w:b w:val="0"/>
      <w:i w:val="0"/>
      <w:dstrike w:val="0"/>
      <w:noProof/>
      <w:vanish/>
      <w:color w:val="800080"/>
      <w:spacing w:val="0"/>
      <w:kern w:val="30"/>
      <w:sz w:val="18"/>
      <w:effect w:val="none"/>
      <w:vertAlign w:val="subscript"/>
    </w:rPr>
  </w:style>
  <w:style w:type="character" w:customStyle="1" w:styleId="HeaderChar">
    <w:name w:val="Header Char"/>
    <w:basedOn w:val="DefaultParagraphFont"/>
    <w:link w:val="Header"/>
    <w:rsid w:val="004A08F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3979">
      <w:bodyDiv w:val="1"/>
      <w:marLeft w:val="0"/>
      <w:marRight w:val="0"/>
      <w:marTop w:val="0"/>
      <w:marBottom w:val="0"/>
      <w:divBdr>
        <w:top w:val="none" w:sz="0" w:space="0" w:color="auto"/>
        <w:left w:val="none" w:sz="0" w:space="0" w:color="auto"/>
        <w:bottom w:val="none" w:sz="0" w:space="0" w:color="auto"/>
        <w:right w:val="none" w:sz="0" w:space="0" w:color="auto"/>
      </w:divBdr>
    </w:div>
    <w:div w:id="74330113">
      <w:bodyDiv w:val="1"/>
      <w:marLeft w:val="0"/>
      <w:marRight w:val="0"/>
      <w:marTop w:val="0"/>
      <w:marBottom w:val="0"/>
      <w:divBdr>
        <w:top w:val="none" w:sz="0" w:space="0" w:color="auto"/>
        <w:left w:val="none" w:sz="0" w:space="0" w:color="auto"/>
        <w:bottom w:val="none" w:sz="0" w:space="0" w:color="auto"/>
        <w:right w:val="none" w:sz="0" w:space="0" w:color="auto"/>
      </w:divBdr>
    </w:div>
    <w:div w:id="176778727">
      <w:bodyDiv w:val="1"/>
      <w:marLeft w:val="0"/>
      <w:marRight w:val="0"/>
      <w:marTop w:val="0"/>
      <w:marBottom w:val="0"/>
      <w:divBdr>
        <w:top w:val="none" w:sz="0" w:space="0" w:color="auto"/>
        <w:left w:val="none" w:sz="0" w:space="0" w:color="auto"/>
        <w:bottom w:val="none" w:sz="0" w:space="0" w:color="auto"/>
        <w:right w:val="none" w:sz="0" w:space="0" w:color="auto"/>
      </w:divBdr>
    </w:div>
    <w:div w:id="231353475">
      <w:bodyDiv w:val="1"/>
      <w:marLeft w:val="0"/>
      <w:marRight w:val="0"/>
      <w:marTop w:val="0"/>
      <w:marBottom w:val="0"/>
      <w:divBdr>
        <w:top w:val="none" w:sz="0" w:space="0" w:color="auto"/>
        <w:left w:val="none" w:sz="0" w:space="0" w:color="auto"/>
        <w:bottom w:val="none" w:sz="0" w:space="0" w:color="auto"/>
        <w:right w:val="none" w:sz="0" w:space="0" w:color="auto"/>
      </w:divBdr>
    </w:div>
    <w:div w:id="268897173">
      <w:bodyDiv w:val="1"/>
      <w:marLeft w:val="0"/>
      <w:marRight w:val="0"/>
      <w:marTop w:val="0"/>
      <w:marBottom w:val="0"/>
      <w:divBdr>
        <w:top w:val="none" w:sz="0" w:space="0" w:color="auto"/>
        <w:left w:val="none" w:sz="0" w:space="0" w:color="auto"/>
        <w:bottom w:val="none" w:sz="0" w:space="0" w:color="auto"/>
        <w:right w:val="none" w:sz="0" w:space="0" w:color="auto"/>
      </w:divBdr>
    </w:div>
    <w:div w:id="414203608">
      <w:bodyDiv w:val="1"/>
      <w:marLeft w:val="0"/>
      <w:marRight w:val="0"/>
      <w:marTop w:val="0"/>
      <w:marBottom w:val="0"/>
      <w:divBdr>
        <w:top w:val="none" w:sz="0" w:space="0" w:color="auto"/>
        <w:left w:val="none" w:sz="0" w:space="0" w:color="auto"/>
        <w:bottom w:val="none" w:sz="0" w:space="0" w:color="auto"/>
        <w:right w:val="none" w:sz="0" w:space="0" w:color="auto"/>
      </w:divBdr>
    </w:div>
    <w:div w:id="536818277">
      <w:bodyDiv w:val="1"/>
      <w:marLeft w:val="0"/>
      <w:marRight w:val="0"/>
      <w:marTop w:val="0"/>
      <w:marBottom w:val="0"/>
      <w:divBdr>
        <w:top w:val="none" w:sz="0" w:space="0" w:color="auto"/>
        <w:left w:val="none" w:sz="0" w:space="0" w:color="auto"/>
        <w:bottom w:val="none" w:sz="0" w:space="0" w:color="auto"/>
        <w:right w:val="none" w:sz="0" w:space="0" w:color="auto"/>
      </w:divBdr>
    </w:div>
    <w:div w:id="701176185">
      <w:bodyDiv w:val="1"/>
      <w:marLeft w:val="0"/>
      <w:marRight w:val="0"/>
      <w:marTop w:val="0"/>
      <w:marBottom w:val="0"/>
      <w:divBdr>
        <w:top w:val="none" w:sz="0" w:space="0" w:color="auto"/>
        <w:left w:val="none" w:sz="0" w:space="0" w:color="auto"/>
        <w:bottom w:val="none" w:sz="0" w:space="0" w:color="auto"/>
        <w:right w:val="none" w:sz="0" w:space="0" w:color="auto"/>
      </w:divBdr>
    </w:div>
    <w:div w:id="795216611">
      <w:bodyDiv w:val="1"/>
      <w:marLeft w:val="0"/>
      <w:marRight w:val="0"/>
      <w:marTop w:val="0"/>
      <w:marBottom w:val="0"/>
      <w:divBdr>
        <w:top w:val="none" w:sz="0" w:space="0" w:color="auto"/>
        <w:left w:val="none" w:sz="0" w:space="0" w:color="auto"/>
        <w:bottom w:val="none" w:sz="0" w:space="0" w:color="auto"/>
        <w:right w:val="none" w:sz="0" w:space="0" w:color="auto"/>
      </w:divBdr>
    </w:div>
    <w:div w:id="849026951">
      <w:bodyDiv w:val="1"/>
      <w:marLeft w:val="0"/>
      <w:marRight w:val="0"/>
      <w:marTop w:val="0"/>
      <w:marBottom w:val="0"/>
      <w:divBdr>
        <w:top w:val="none" w:sz="0" w:space="0" w:color="auto"/>
        <w:left w:val="none" w:sz="0" w:space="0" w:color="auto"/>
        <w:bottom w:val="none" w:sz="0" w:space="0" w:color="auto"/>
        <w:right w:val="none" w:sz="0" w:space="0" w:color="auto"/>
      </w:divBdr>
    </w:div>
    <w:div w:id="1094010547">
      <w:bodyDiv w:val="1"/>
      <w:marLeft w:val="0"/>
      <w:marRight w:val="0"/>
      <w:marTop w:val="0"/>
      <w:marBottom w:val="0"/>
      <w:divBdr>
        <w:top w:val="none" w:sz="0" w:space="0" w:color="auto"/>
        <w:left w:val="none" w:sz="0" w:space="0" w:color="auto"/>
        <w:bottom w:val="none" w:sz="0" w:space="0" w:color="auto"/>
        <w:right w:val="none" w:sz="0" w:space="0" w:color="auto"/>
      </w:divBdr>
    </w:div>
    <w:div w:id="1260915044">
      <w:bodyDiv w:val="1"/>
      <w:marLeft w:val="0"/>
      <w:marRight w:val="0"/>
      <w:marTop w:val="0"/>
      <w:marBottom w:val="0"/>
      <w:divBdr>
        <w:top w:val="none" w:sz="0" w:space="0" w:color="auto"/>
        <w:left w:val="none" w:sz="0" w:space="0" w:color="auto"/>
        <w:bottom w:val="none" w:sz="0" w:space="0" w:color="auto"/>
        <w:right w:val="none" w:sz="0" w:space="0" w:color="auto"/>
      </w:divBdr>
    </w:div>
    <w:div w:id="176602727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multilateralfund.org/pcrindividual/search.aspx" TargetMode="External"/><Relationship Id="rId1" Type="http://schemas.openxmlformats.org/officeDocument/2006/relationships/hyperlink" Target="http://www.multilateralfund.org/pcrmya/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8662b4aa-cf42-4f00-a3f0-9d3b4acad230">UNEP/OzL.Pro/ExCom/87/10</Document_x0020_Number>
    <DocumentType xmlns="310e179b-1379-4e79-9b74-d5a32b1812d3">Pre-session</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415BB5-126B-4BF9-83F8-4543569291A6}"/>
</file>

<file path=customXml/itemProps2.xml><?xml version="1.0" encoding="utf-8"?>
<ds:datastoreItem xmlns:ds="http://schemas.openxmlformats.org/officeDocument/2006/customXml" ds:itemID="{D3425F5C-56F8-4AA6-B9BE-6811482E32F3}"/>
</file>

<file path=customXml/itemProps3.xml><?xml version="1.0" encoding="utf-8"?>
<ds:datastoreItem xmlns:ds="http://schemas.openxmlformats.org/officeDocument/2006/customXml" ds:itemID="{F0B85CF5-C627-4216-8243-5893ABB8765F}"/>
</file>

<file path=customXml/itemProps4.xml><?xml version="1.0" encoding="utf-8"?>
<ds:datastoreItem xmlns:ds="http://schemas.openxmlformats.org/officeDocument/2006/customXml" ds:itemID="{36E089A3-4231-4E35-BD69-D7BEE78450AA}"/>
</file>

<file path=docProps/app.xml><?xml version="1.0" encoding="utf-8"?>
<Properties xmlns="http://schemas.openxmlformats.org/officeDocument/2006/extended-properties" xmlns:vt="http://schemas.openxmlformats.org/officeDocument/2006/docPropsVTypes">
  <Template>Normal</Template>
  <TotalTime>825</TotalTime>
  <Pages>18</Pages>
  <Words>5290</Words>
  <Characters>30159</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Rapport global d’achèvement de projet de 2021 </vt:lpstr>
      <vt:lpstr>2020 consolidated project completion report</vt:lpstr>
    </vt:vector>
  </TitlesOfParts>
  <Company>UNMFS</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global d’achèvement de projet de 2021</dc:title>
  <dc:creator>Joel Pare-Julien</dc:creator>
  <cp:lastModifiedBy>HB</cp:lastModifiedBy>
  <cp:revision>23</cp:revision>
  <cp:lastPrinted>2021-06-23T10:15:00Z</cp:lastPrinted>
  <dcterms:created xsi:type="dcterms:W3CDTF">2021-06-22T06:56:00Z</dcterms:created>
  <dcterms:modified xsi:type="dcterms:W3CDTF">2021-06-27T14:47:00Z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UNEP/OzL.Pro/ExCom/87/10</vt:lpwstr>
  </property>
  <property fmtid="{D5CDD505-2E9C-101B-9397-08002B2CF9AE}" pid="3" name="Revision date">
    <vt:lpwstr>6/16/2021</vt:lpwstr>
  </property>
  <property fmtid="{D5CDD505-2E9C-101B-9397-08002B2CF9AE}" pid="4" name="ContentTypeId">
    <vt:lpwstr>0x0101006D54131ACC863C4CBCCC233143506327</vt:lpwstr>
  </property>
</Properties>
</file>