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0551C8" w:rsidRPr="000551C8" w14:paraId="15777D6B" w14:textId="77777777" w:rsidTr="00365A6F">
        <w:trPr>
          <w:trHeight w:val="720"/>
        </w:trPr>
        <w:tc>
          <w:tcPr>
            <w:tcW w:w="7061" w:type="dxa"/>
            <w:gridSpan w:val="2"/>
            <w:tcBorders>
              <w:bottom w:val="single" w:sz="18" w:space="0" w:color="auto"/>
            </w:tcBorders>
          </w:tcPr>
          <w:p w14:paraId="6D7EA85C" w14:textId="77777777" w:rsidR="000551C8" w:rsidRPr="000551C8" w:rsidRDefault="000551C8" w:rsidP="000551C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en-GB"/>
              </w:rPr>
            </w:pPr>
            <w:r w:rsidRPr="000551C8">
              <w:rPr>
                <w:rFonts w:ascii="Univers" w:hAnsi="Univers"/>
                <w:b/>
                <w:sz w:val="28"/>
                <w:szCs w:val="28"/>
                <w:lang w:val="en-GB"/>
              </w:rPr>
              <w:t>NATIONS</w:t>
            </w:r>
          </w:p>
          <w:p w14:paraId="2F0DD43F" w14:textId="77777777" w:rsidR="000551C8" w:rsidRPr="000551C8" w:rsidRDefault="000551C8" w:rsidP="000551C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GB"/>
              </w:rPr>
            </w:pPr>
            <w:r w:rsidRPr="000551C8">
              <w:rPr>
                <w:rFonts w:ascii="Univers" w:hAnsi="Univers"/>
                <w:b/>
                <w:sz w:val="28"/>
                <w:szCs w:val="28"/>
                <w:lang w:val="en-GB"/>
              </w:rPr>
              <w:t xml:space="preserve">UNIES </w:t>
            </w:r>
          </w:p>
        </w:tc>
        <w:tc>
          <w:tcPr>
            <w:tcW w:w="3544" w:type="dxa"/>
            <w:tcBorders>
              <w:bottom w:val="single" w:sz="18" w:space="0" w:color="auto"/>
            </w:tcBorders>
          </w:tcPr>
          <w:p w14:paraId="4094546C" w14:textId="77777777" w:rsidR="000551C8" w:rsidRPr="000551C8" w:rsidRDefault="000551C8" w:rsidP="000551C8">
            <w:pPr>
              <w:tabs>
                <w:tab w:val="left" w:pos="3010"/>
              </w:tabs>
              <w:jc w:val="center"/>
              <w:rPr>
                <w:sz w:val="52"/>
                <w:szCs w:val="52"/>
                <w:lang w:val="en-GB"/>
              </w:rPr>
            </w:pPr>
            <w:r w:rsidRPr="000551C8">
              <w:rPr>
                <w:rFonts w:ascii="Univers Bold" w:hAnsi="Univers Bold"/>
                <w:b/>
                <w:sz w:val="72"/>
              </w:rPr>
              <w:t xml:space="preserve">          EP</w:t>
            </w:r>
          </w:p>
        </w:tc>
      </w:tr>
      <w:tr w:rsidR="000551C8" w:rsidRPr="000551C8" w14:paraId="25218738" w14:textId="77777777" w:rsidTr="00365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4131E9B" w14:textId="77777777" w:rsidR="000551C8" w:rsidRPr="000551C8" w:rsidRDefault="000551C8" w:rsidP="000551C8">
            <w:pPr>
              <w:spacing w:before="120"/>
              <w:rPr>
                <w:lang w:val="en-GB"/>
              </w:rPr>
            </w:pPr>
            <w:r w:rsidRPr="000551C8">
              <w:rPr>
                <w:noProof/>
                <w:lang w:val="en-US"/>
              </w:rPr>
              <w:drawing>
                <wp:anchor distT="0" distB="0" distL="114300" distR="114300" simplePos="0" relativeHeight="251659264" behindDoc="0" locked="0" layoutInCell="1" allowOverlap="1" wp14:anchorId="1FD387AA" wp14:editId="110851F0">
                  <wp:simplePos x="0" y="0"/>
                  <wp:positionH relativeFrom="column">
                    <wp:posOffset>57785</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0551C8">
              <w:rPr>
                <w:noProof/>
                <w:lang w:val="en-US"/>
              </w:rPr>
              <w:drawing>
                <wp:anchor distT="0" distB="0" distL="114300" distR="114300" simplePos="0" relativeHeight="251660288" behindDoc="1" locked="0" layoutInCell="0" allowOverlap="1" wp14:anchorId="073C1B1D" wp14:editId="27E8E07C">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0C89E4A6" w14:textId="77777777" w:rsidR="000551C8" w:rsidRPr="000551C8" w:rsidRDefault="000551C8" w:rsidP="000551C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rPr>
            </w:pPr>
          </w:p>
          <w:p w14:paraId="21155A98" w14:textId="77777777" w:rsidR="000551C8" w:rsidRPr="000551C8" w:rsidRDefault="000551C8" w:rsidP="000551C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rPr>
            </w:pPr>
            <w:r w:rsidRPr="000551C8">
              <w:rPr>
                <w:rFonts w:ascii="Univers" w:hAnsi="Univers"/>
                <w:b/>
                <w:sz w:val="32"/>
              </w:rPr>
              <w:t>Programme des</w:t>
            </w:r>
          </w:p>
          <w:p w14:paraId="4B414C17" w14:textId="77777777" w:rsidR="000551C8" w:rsidRPr="000551C8" w:rsidRDefault="000551C8" w:rsidP="000551C8">
            <w:pPr>
              <w:rPr>
                <w:rFonts w:ascii="Univers" w:hAnsi="Univers"/>
                <w:b/>
                <w:sz w:val="32"/>
              </w:rPr>
            </w:pPr>
            <w:r w:rsidRPr="000551C8">
              <w:rPr>
                <w:rFonts w:ascii="Univers" w:hAnsi="Univers"/>
                <w:b/>
                <w:sz w:val="32"/>
              </w:rPr>
              <w:t>Nations Unies pour</w:t>
            </w:r>
          </w:p>
          <w:p w14:paraId="2310E427" w14:textId="77777777" w:rsidR="000551C8" w:rsidRPr="000551C8" w:rsidRDefault="000551C8" w:rsidP="000551C8">
            <w:pPr>
              <w:rPr>
                <w:rFonts w:ascii="Univers" w:hAnsi="Univers"/>
                <w:b/>
                <w:sz w:val="32"/>
              </w:rPr>
            </w:pPr>
            <w:proofErr w:type="gramStart"/>
            <w:r w:rsidRPr="000551C8">
              <w:rPr>
                <w:rFonts w:ascii="Univers" w:hAnsi="Univers"/>
                <w:b/>
                <w:sz w:val="32"/>
              </w:rPr>
              <w:t>l’environnement</w:t>
            </w:r>
            <w:proofErr w:type="gramEnd"/>
          </w:p>
          <w:p w14:paraId="5A0D5ED1" w14:textId="77777777" w:rsidR="000551C8" w:rsidRPr="000551C8" w:rsidRDefault="000551C8" w:rsidP="000551C8">
            <w:pPr>
              <w:spacing w:before="720"/>
              <w:ind w:left="158"/>
              <w:rPr>
                <w:lang w:val="fr-FR"/>
              </w:rPr>
            </w:pPr>
            <w:r w:rsidRPr="000551C8">
              <w:rPr>
                <w:lang w:val="fr-FR"/>
              </w:rPr>
              <w:t xml:space="preserve"> </w:t>
            </w:r>
          </w:p>
        </w:tc>
        <w:tc>
          <w:tcPr>
            <w:tcW w:w="3544" w:type="dxa"/>
            <w:tcBorders>
              <w:top w:val="nil"/>
              <w:left w:val="nil"/>
              <w:bottom w:val="single" w:sz="36" w:space="0" w:color="auto"/>
              <w:right w:val="nil"/>
            </w:tcBorders>
          </w:tcPr>
          <w:p w14:paraId="4DFB7009" w14:textId="77777777" w:rsidR="000551C8" w:rsidRPr="000551C8" w:rsidRDefault="000551C8" w:rsidP="000551C8">
            <w:pPr>
              <w:rPr>
                <w:lang w:val="fr-FR"/>
              </w:rPr>
            </w:pPr>
          </w:p>
          <w:p w14:paraId="4205E9A1" w14:textId="77777777" w:rsidR="000551C8" w:rsidRPr="000551C8" w:rsidRDefault="000551C8" w:rsidP="000551C8">
            <w:pPr>
              <w:rPr>
                <w:lang w:val="fr-FR"/>
              </w:rPr>
            </w:pPr>
            <w:proofErr w:type="spellStart"/>
            <w:r w:rsidRPr="000551C8">
              <w:rPr>
                <w:lang w:val="fr-FR"/>
              </w:rPr>
              <w:t>Distr</w:t>
            </w:r>
            <w:proofErr w:type="spellEnd"/>
            <w:r w:rsidRPr="000551C8">
              <w:rPr>
                <w:lang w:val="fr-FR"/>
              </w:rPr>
              <w:t>.</w:t>
            </w:r>
          </w:p>
          <w:p w14:paraId="77E08F97" w14:textId="77777777" w:rsidR="000551C8" w:rsidRPr="000551C8" w:rsidRDefault="000551C8" w:rsidP="000551C8">
            <w:pPr>
              <w:rPr>
                <w:lang w:val="fr-FR"/>
              </w:rPr>
            </w:pPr>
            <w:r w:rsidRPr="000551C8">
              <w:rPr>
                <w:lang w:val="fr-FR"/>
              </w:rPr>
              <w:t>GÉNÉRALE</w:t>
            </w:r>
          </w:p>
          <w:p w14:paraId="7CF18658" w14:textId="77777777" w:rsidR="000551C8" w:rsidRPr="000551C8" w:rsidRDefault="000551C8" w:rsidP="000551C8">
            <w:pPr>
              <w:rPr>
                <w:lang w:val="fr-FR"/>
              </w:rPr>
            </w:pPr>
          </w:p>
          <w:p w14:paraId="58BBCCC9" w14:textId="31296808" w:rsidR="000551C8" w:rsidRPr="007F463C" w:rsidRDefault="000551C8" w:rsidP="000551C8">
            <w:pPr>
              <w:rPr>
                <w:lang w:val="fr-FR"/>
              </w:rPr>
            </w:pPr>
            <w:r w:rsidRPr="000551C8">
              <w:rPr>
                <w:lang w:val="en-GB"/>
              </w:rPr>
              <w:fldChar w:fldCharType="begin"/>
            </w:r>
            <w:r w:rsidRPr="007F463C">
              <w:rPr>
                <w:lang w:val="fr-FR"/>
              </w:rPr>
              <w:instrText xml:space="preserve"> DOCPROPERTY "Document number"  \* MERGEFORMAT </w:instrText>
            </w:r>
            <w:r w:rsidRPr="000551C8">
              <w:rPr>
                <w:lang w:val="en-GB"/>
              </w:rPr>
              <w:fldChar w:fldCharType="separate"/>
            </w:r>
            <w:r w:rsidRPr="007F463C">
              <w:rPr>
                <w:lang w:val="fr-FR"/>
              </w:rPr>
              <w:t>UNEP/</w:t>
            </w:r>
            <w:proofErr w:type="spellStart"/>
            <w:r w:rsidRPr="007F463C">
              <w:rPr>
                <w:lang w:val="fr-FR"/>
              </w:rPr>
              <w:t>OzL.Pro</w:t>
            </w:r>
            <w:proofErr w:type="spellEnd"/>
            <w:r w:rsidRPr="007F463C">
              <w:rPr>
                <w:lang w:val="fr-FR"/>
              </w:rPr>
              <w:t>/</w:t>
            </w:r>
            <w:proofErr w:type="spellStart"/>
            <w:r w:rsidRPr="007F463C">
              <w:rPr>
                <w:lang w:val="fr-FR"/>
              </w:rPr>
              <w:t>ExCom</w:t>
            </w:r>
            <w:proofErr w:type="spellEnd"/>
            <w:r w:rsidRPr="007F463C">
              <w:rPr>
                <w:lang w:val="fr-FR"/>
              </w:rPr>
              <w:t>/87/40</w:t>
            </w:r>
            <w:r w:rsidRPr="000551C8">
              <w:rPr>
                <w:lang w:val="en-GB"/>
              </w:rPr>
              <w:fldChar w:fldCharType="end"/>
            </w:r>
          </w:p>
          <w:p w14:paraId="37AC2DBC" w14:textId="5569FE6C" w:rsidR="000551C8" w:rsidRPr="007F463C" w:rsidRDefault="000551C8" w:rsidP="000551C8">
            <w:pPr>
              <w:rPr>
                <w:lang w:val="fr-FR"/>
              </w:rPr>
            </w:pPr>
            <w:r w:rsidRPr="000551C8">
              <w:rPr>
                <w:lang w:val="en-GB"/>
              </w:rPr>
              <w:fldChar w:fldCharType="begin"/>
            </w:r>
            <w:r w:rsidRPr="007F463C">
              <w:rPr>
                <w:lang w:val="fr-FR"/>
              </w:rPr>
              <w:instrText xml:space="preserve"> DOCPROPERTY "Revision date" \@ "d MMMM YYYY"  \* MERGEFORMAT </w:instrText>
            </w:r>
            <w:r w:rsidRPr="000551C8">
              <w:rPr>
                <w:lang w:val="en-GB"/>
              </w:rPr>
              <w:fldChar w:fldCharType="separate"/>
            </w:r>
            <w:r w:rsidR="00211159">
              <w:rPr>
                <w:lang w:val="fr-FR"/>
              </w:rPr>
              <w:t>11 juin 2021</w:t>
            </w:r>
            <w:r w:rsidRPr="000551C8">
              <w:rPr>
                <w:lang w:val="en-GB"/>
              </w:rPr>
              <w:fldChar w:fldCharType="end"/>
            </w:r>
            <w:bookmarkStart w:id="0" w:name="_GoBack"/>
            <w:bookmarkEnd w:id="0"/>
          </w:p>
          <w:p w14:paraId="636362A8" w14:textId="77777777" w:rsidR="000551C8" w:rsidRPr="000551C8" w:rsidRDefault="000551C8" w:rsidP="000551C8">
            <w:pPr>
              <w:rPr>
                <w:caps/>
                <w:lang w:val="fr-FR"/>
              </w:rPr>
            </w:pPr>
            <w:r w:rsidRPr="007F463C">
              <w:rPr>
                <w:caps/>
                <w:lang w:val="fr-FR"/>
              </w:rPr>
              <w:br/>
            </w:r>
            <w:r w:rsidRPr="000551C8">
              <w:rPr>
                <w:caps/>
                <w:lang w:val="fr-FR"/>
              </w:rPr>
              <w:t>FRANÇAIS</w:t>
            </w:r>
          </w:p>
          <w:p w14:paraId="76CCAD4E" w14:textId="77777777" w:rsidR="000551C8" w:rsidRPr="000551C8" w:rsidRDefault="000551C8" w:rsidP="000551C8">
            <w:pPr>
              <w:rPr>
                <w:lang w:val="en-GB"/>
              </w:rPr>
            </w:pPr>
            <w:r w:rsidRPr="000551C8">
              <w:rPr>
                <w:lang w:val="en-GB"/>
              </w:rPr>
              <w:t>ORIGINAL: ANGLAIS</w:t>
            </w:r>
          </w:p>
        </w:tc>
      </w:tr>
    </w:tbl>
    <w:p w14:paraId="3523999E" w14:textId="77777777" w:rsidR="000551C8" w:rsidRPr="000551C8" w:rsidRDefault="000551C8" w:rsidP="000551C8">
      <w:pPr>
        <w:jc w:val="left"/>
      </w:pPr>
      <w:r w:rsidRPr="000551C8">
        <w:t xml:space="preserve">COMITÉ EXÉCUTIF </w:t>
      </w:r>
      <w:r w:rsidRPr="000551C8">
        <w:br/>
        <w:t xml:space="preserve">  DU FONDS MULTILATÉRAL AUX FINS </w:t>
      </w:r>
      <w:r w:rsidRPr="000551C8">
        <w:br/>
        <w:t xml:space="preserve">  D’APPLICATION DU PROTOCOLE DE MONTRÉAL</w:t>
      </w:r>
      <w:r w:rsidRPr="000551C8">
        <w:br/>
        <w:t>Quatre-vingt-septième réunion</w:t>
      </w:r>
    </w:p>
    <w:p w14:paraId="31C90503" w14:textId="77777777" w:rsidR="000551C8" w:rsidRPr="000551C8" w:rsidRDefault="000551C8" w:rsidP="000551C8">
      <w:pPr>
        <w:jc w:val="left"/>
      </w:pPr>
      <w:r w:rsidRPr="000551C8">
        <w:t>Montréal, 28 juin – 2 juillet 2021</w:t>
      </w:r>
      <w:r w:rsidRPr="000551C8">
        <w:rPr>
          <w:vertAlign w:val="superscript"/>
        </w:rPr>
        <w:footnoteReference w:id="1"/>
      </w:r>
    </w:p>
    <w:p w14:paraId="07D209ED" w14:textId="77777777" w:rsidR="000551C8" w:rsidRPr="000551C8" w:rsidRDefault="000551C8" w:rsidP="000551C8">
      <w:pPr>
        <w:jc w:val="left"/>
      </w:pPr>
    </w:p>
    <w:p w14:paraId="76CCCD9D" w14:textId="77777777" w:rsidR="00066CE8" w:rsidRPr="00E751DF" w:rsidRDefault="00066CE8" w:rsidP="00857077">
      <w:pPr>
        <w:jc w:val="left"/>
      </w:pPr>
    </w:p>
    <w:p w14:paraId="29F8F41A" w14:textId="77777777" w:rsidR="00066CE8" w:rsidRPr="00E751DF" w:rsidRDefault="00066CE8" w:rsidP="00D8105A"/>
    <w:p w14:paraId="4EB94ADB" w14:textId="77777777" w:rsidR="00D8105A" w:rsidRPr="00E751DF" w:rsidRDefault="00D8105A" w:rsidP="00D8105A"/>
    <w:p w14:paraId="435A11ED" w14:textId="44AA931B" w:rsidR="00D8105A" w:rsidRPr="00E751DF" w:rsidRDefault="00D70D7C" w:rsidP="00D8105A">
      <w:pPr>
        <w:jc w:val="center"/>
        <w:rPr>
          <w:b/>
        </w:rPr>
      </w:pPr>
      <w:r>
        <w:rPr>
          <w:b/>
        </w:rPr>
        <w:t>PROPOSITION DE PROJET : VIET NAM</w:t>
      </w:r>
    </w:p>
    <w:p w14:paraId="716E7A00" w14:textId="77777777" w:rsidR="00D8105A" w:rsidRPr="00E751DF" w:rsidRDefault="00D8105A" w:rsidP="00D8105A"/>
    <w:p w14:paraId="364B4817" w14:textId="3EA39140" w:rsidR="00D8105A" w:rsidRDefault="00D8105A" w:rsidP="00D8105A"/>
    <w:p w14:paraId="240809C9" w14:textId="77777777" w:rsidR="007F463C" w:rsidRPr="00E751DF" w:rsidRDefault="007F463C" w:rsidP="00D8105A"/>
    <w:p w14:paraId="01195807" w14:textId="62F25FAD" w:rsidR="00D8105A" w:rsidRPr="00E751DF" w:rsidRDefault="00D8105A" w:rsidP="00D8105A">
      <w:pPr>
        <w:ind w:firstLine="720"/>
      </w:pPr>
      <w:r>
        <w:t xml:space="preserve">Le présent document contient les commentaires et la recommandation du Secrétariat du Fonds sur la proposition de projet suivante : </w:t>
      </w:r>
    </w:p>
    <w:p w14:paraId="074D6005" w14:textId="77777777" w:rsidR="00394A10" w:rsidRPr="00E751DF" w:rsidRDefault="00394A10" w:rsidP="00D8105A">
      <w:pPr>
        <w:ind w:firstLine="720"/>
      </w:pPr>
    </w:p>
    <w:p w14:paraId="4452A476" w14:textId="77777777" w:rsidR="00D8105A" w:rsidRPr="00E751DF" w:rsidRDefault="00D8105A" w:rsidP="00D8105A"/>
    <w:p w14:paraId="317C2B3F" w14:textId="77777777" w:rsidR="00D8105A" w:rsidRPr="00E751DF" w:rsidRDefault="00D8105A" w:rsidP="00D8105A">
      <w:pPr>
        <w:rPr>
          <w:u w:val="single"/>
        </w:rPr>
      </w:pPr>
      <w:r>
        <w:rPr>
          <w:u w:val="single"/>
        </w:rPr>
        <w:t>Élimination :</w:t>
      </w:r>
    </w:p>
    <w:p w14:paraId="0393CFCE" w14:textId="77777777" w:rsidR="00D8105A" w:rsidRPr="00E751DF" w:rsidRDefault="00D8105A" w:rsidP="00D810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D8105A" w:rsidRPr="00E751DF" w14:paraId="5DD3B613" w14:textId="77777777" w:rsidTr="0089179A">
        <w:tc>
          <w:tcPr>
            <w:tcW w:w="6941" w:type="dxa"/>
          </w:tcPr>
          <w:p w14:paraId="5897C2FD" w14:textId="4121887F" w:rsidR="00D8105A" w:rsidRPr="00E751DF" w:rsidRDefault="00D8105A" w:rsidP="0089179A">
            <w:pPr>
              <w:pStyle w:val="ListParagraph"/>
              <w:numPr>
                <w:ilvl w:val="0"/>
                <w:numId w:val="21"/>
              </w:numPr>
              <w:ind w:hanging="830"/>
            </w:pPr>
            <w:r>
              <w:t>Plan de gestion de l’élimination des HCFC (phase II, troisième tranche)</w:t>
            </w:r>
          </w:p>
        </w:tc>
        <w:tc>
          <w:tcPr>
            <w:tcW w:w="2409" w:type="dxa"/>
          </w:tcPr>
          <w:p w14:paraId="512043BE" w14:textId="4469FAB1" w:rsidR="00D8105A" w:rsidRPr="00E751DF" w:rsidRDefault="00EF607F" w:rsidP="0089179A">
            <w:pPr>
              <w:jc w:val="right"/>
            </w:pPr>
            <w:r>
              <w:t>Banque mondiale et Japon</w:t>
            </w:r>
          </w:p>
        </w:tc>
      </w:tr>
    </w:tbl>
    <w:p w14:paraId="1DFCDFE1" w14:textId="77777777" w:rsidR="00D8105A" w:rsidRPr="00E751DF" w:rsidRDefault="00D8105A" w:rsidP="00D8105A"/>
    <w:p w14:paraId="09258093" w14:textId="77777777" w:rsidR="00D8105A" w:rsidRPr="00E751DF" w:rsidRDefault="00D8105A" w:rsidP="00D8105A"/>
    <w:p w14:paraId="7EC245F7" w14:textId="77777777" w:rsidR="00D8105A" w:rsidRPr="00E751DF" w:rsidRDefault="00D8105A" w:rsidP="00D8105A"/>
    <w:p w14:paraId="7E030844" w14:textId="77777777" w:rsidR="00D8105A" w:rsidRPr="00E751DF" w:rsidRDefault="00D8105A" w:rsidP="00D8105A">
      <w:r>
        <w:br w:type="page"/>
      </w:r>
    </w:p>
    <w:p w14:paraId="55611C80" w14:textId="77777777" w:rsidR="00D8105A" w:rsidRPr="00E751DF" w:rsidRDefault="00D8105A" w:rsidP="00D8105A">
      <w:pPr>
        <w:jc w:val="center"/>
        <w:rPr>
          <w:b/>
        </w:rPr>
      </w:pPr>
      <w:r>
        <w:rPr>
          <w:b/>
        </w:rPr>
        <w:lastRenderedPageBreak/>
        <w:t>FICHE D’ÉVALUATION DU PROJET – PROJETS PLURIANNUELS</w:t>
      </w:r>
    </w:p>
    <w:p w14:paraId="098F47D3" w14:textId="77777777" w:rsidR="00D8105A" w:rsidRPr="00D70D7C" w:rsidRDefault="00D8105A" w:rsidP="00D8105A">
      <w:pPr>
        <w:jc w:val="center"/>
        <w:rPr>
          <w:sz w:val="14"/>
        </w:rPr>
      </w:pPr>
    </w:p>
    <w:p w14:paraId="50556BC1" w14:textId="4BB05B31" w:rsidR="00D8105A" w:rsidRPr="00E751DF" w:rsidRDefault="00DA330E" w:rsidP="00D45250">
      <w:pPr>
        <w:jc w:val="center"/>
      </w:pPr>
      <w:r>
        <w:rPr>
          <w:b/>
        </w:rPr>
        <w:t>Viet Nam</w:t>
      </w:r>
    </w:p>
    <w:p w14:paraId="7813AE04" w14:textId="77777777" w:rsidR="00D8105A" w:rsidRPr="00D70D7C" w:rsidRDefault="00D8105A" w:rsidP="00D8105A">
      <w:pPr>
        <w:jc w:val="center"/>
        <w:rPr>
          <w:sz w:val="16"/>
        </w:rPr>
      </w:pPr>
    </w:p>
    <w:tbl>
      <w:tblPr>
        <w:tblStyle w:val="TableGrid"/>
        <w:tblW w:w="10627" w:type="dxa"/>
        <w:jc w:val="center"/>
        <w:tblLook w:val="04A0" w:firstRow="1" w:lastRow="0" w:firstColumn="1" w:lastColumn="0" w:noHBand="0" w:noVBand="1"/>
      </w:tblPr>
      <w:tblGrid>
        <w:gridCol w:w="3539"/>
        <w:gridCol w:w="2216"/>
        <w:gridCol w:w="2430"/>
        <w:gridCol w:w="2442"/>
      </w:tblGrid>
      <w:tr w:rsidR="00D45250" w:rsidRPr="00D70D7C" w14:paraId="2FBCA853" w14:textId="77777777" w:rsidTr="00D70D7C">
        <w:trPr>
          <w:trHeight w:val="240"/>
          <w:jc w:val="center"/>
        </w:trPr>
        <w:tc>
          <w:tcPr>
            <w:tcW w:w="3539" w:type="dxa"/>
            <w:shd w:val="clear" w:color="auto" w:fill="auto"/>
          </w:tcPr>
          <w:p w14:paraId="70F180B0" w14:textId="77777777" w:rsidR="00D45250" w:rsidRPr="00D70D7C" w:rsidRDefault="00D45250" w:rsidP="0089179A">
            <w:pPr>
              <w:spacing w:after="80"/>
              <w:jc w:val="left"/>
              <w:rPr>
                <w:b/>
                <w:sz w:val="18"/>
                <w:szCs w:val="18"/>
              </w:rPr>
            </w:pPr>
            <w:r w:rsidRPr="00D70D7C">
              <w:rPr>
                <w:b/>
                <w:sz w:val="18"/>
                <w:szCs w:val="18"/>
              </w:rPr>
              <w:t>(I) TITRE DU PROJET</w:t>
            </w:r>
          </w:p>
        </w:tc>
        <w:tc>
          <w:tcPr>
            <w:tcW w:w="2216" w:type="dxa"/>
            <w:shd w:val="clear" w:color="auto" w:fill="auto"/>
          </w:tcPr>
          <w:p w14:paraId="7BE2DEB6" w14:textId="77777777" w:rsidR="00D45250" w:rsidRPr="00D70D7C" w:rsidRDefault="00D45250" w:rsidP="0089179A">
            <w:pPr>
              <w:spacing w:after="80"/>
              <w:jc w:val="center"/>
              <w:rPr>
                <w:b/>
                <w:sz w:val="18"/>
                <w:szCs w:val="18"/>
              </w:rPr>
            </w:pPr>
            <w:r w:rsidRPr="00D70D7C">
              <w:rPr>
                <w:b/>
                <w:sz w:val="18"/>
                <w:szCs w:val="18"/>
              </w:rPr>
              <w:t>AGENCE</w:t>
            </w:r>
          </w:p>
        </w:tc>
        <w:tc>
          <w:tcPr>
            <w:tcW w:w="2430" w:type="dxa"/>
            <w:shd w:val="clear" w:color="auto" w:fill="auto"/>
          </w:tcPr>
          <w:p w14:paraId="4986F935" w14:textId="77777777" w:rsidR="00D45250" w:rsidRPr="00D70D7C" w:rsidRDefault="00D45250" w:rsidP="0089179A">
            <w:pPr>
              <w:spacing w:after="80"/>
              <w:jc w:val="center"/>
              <w:rPr>
                <w:b/>
                <w:sz w:val="18"/>
                <w:szCs w:val="18"/>
              </w:rPr>
            </w:pPr>
            <w:r w:rsidRPr="00D70D7C">
              <w:rPr>
                <w:b/>
                <w:sz w:val="18"/>
                <w:szCs w:val="18"/>
              </w:rPr>
              <w:t>RÉUNION APPROUVÉE</w:t>
            </w:r>
          </w:p>
        </w:tc>
        <w:tc>
          <w:tcPr>
            <w:tcW w:w="2442" w:type="dxa"/>
            <w:shd w:val="clear" w:color="auto" w:fill="auto"/>
          </w:tcPr>
          <w:p w14:paraId="5A13414A" w14:textId="77777777" w:rsidR="00D45250" w:rsidRPr="00D70D7C" w:rsidRDefault="00D45250" w:rsidP="0089179A">
            <w:pPr>
              <w:spacing w:after="80"/>
              <w:jc w:val="center"/>
              <w:rPr>
                <w:b/>
                <w:sz w:val="18"/>
                <w:szCs w:val="18"/>
              </w:rPr>
            </w:pPr>
            <w:r w:rsidRPr="00D70D7C">
              <w:rPr>
                <w:b/>
                <w:sz w:val="18"/>
                <w:szCs w:val="18"/>
              </w:rPr>
              <w:t>MESURE DE CONTRÔLE</w:t>
            </w:r>
          </w:p>
        </w:tc>
      </w:tr>
      <w:tr w:rsidR="00D45250" w:rsidRPr="00D70D7C" w14:paraId="398BCD10" w14:textId="77777777" w:rsidTr="00D70D7C">
        <w:trPr>
          <w:trHeight w:val="240"/>
          <w:jc w:val="center"/>
        </w:trPr>
        <w:tc>
          <w:tcPr>
            <w:tcW w:w="3539" w:type="dxa"/>
            <w:shd w:val="clear" w:color="auto" w:fill="auto"/>
          </w:tcPr>
          <w:p w14:paraId="739235F7" w14:textId="77777777" w:rsidR="00D45250" w:rsidRPr="00D70D7C" w:rsidRDefault="00D45250" w:rsidP="0089179A">
            <w:pPr>
              <w:spacing w:after="80"/>
              <w:jc w:val="center"/>
              <w:rPr>
                <w:sz w:val="18"/>
                <w:szCs w:val="18"/>
              </w:rPr>
            </w:pPr>
            <w:r w:rsidRPr="00D70D7C">
              <w:rPr>
                <w:sz w:val="18"/>
                <w:szCs w:val="18"/>
              </w:rPr>
              <w:t>Plan de l’élimination des HCFC (phase II)</w:t>
            </w:r>
          </w:p>
        </w:tc>
        <w:tc>
          <w:tcPr>
            <w:tcW w:w="2216" w:type="dxa"/>
            <w:shd w:val="clear" w:color="auto" w:fill="auto"/>
          </w:tcPr>
          <w:p w14:paraId="4B2D3F50" w14:textId="77777777" w:rsidR="00D45250" w:rsidRPr="00D70D7C" w:rsidRDefault="00D45250" w:rsidP="0089179A">
            <w:pPr>
              <w:spacing w:after="80"/>
              <w:jc w:val="center"/>
              <w:rPr>
                <w:sz w:val="18"/>
                <w:szCs w:val="18"/>
              </w:rPr>
            </w:pPr>
            <w:r w:rsidRPr="00D70D7C">
              <w:rPr>
                <w:sz w:val="18"/>
                <w:szCs w:val="18"/>
              </w:rPr>
              <w:t>Banque mondiale (principale), Japon</w:t>
            </w:r>
          </w:p>
        </w:tc>
        <w:tc>
          <w:tcPr>
            <w:tcW w:w="2430" w:type="dxa"/>
            <w:shd w:val="clear" w:color="auto" w:fill="auto"/>
          </w:tcPr>
          <w:p w14:paraId="21E2C033" w14:textId="2078FF7A" w:rsidR="00D45250" w:rsidRPr="00D70D7C" w:rsidRDefault="00D45250" w:rsidP="0089179A">
            <w:pPr>
              <w:spacing w:after="80"/>
              <w:jc w:val="center"/>
              <w:rPr>
                <w:sz w:val="18"/>
                <w:szCs w:val="18"/>
              </w:rPr>
            </w:pPr>
            <w:r w:rsidRPr="00D70D7C">
              <w:rPr>
                <w:sz w:val="18"/>
                <w:szCs w:val="18"/>
              </w:rPr>
              <w:t>63</w:t>
            </w:r>
            <w:r w:rsidRPr="00D70D7C">
              <w:rPr>
                <w:sz w:val="18"/>
                <w:szCs w:val="18"/>
                <w:vertAlign w:val="superscript"/>
              </w:rPr>
              <w:t>e</w:t>
            </w:r>
          </w:p>
        </w:tc>
        <w:tc>
          <w:tcPr>
            <w:tcW w:w="2442" w:type="dxa"/>
            <w:shd w:val="clear" w:color="auto" w:fill="auto"/>
          </w:tcPr>
          <w:p w14:paraId="12F419BB" w14:textId="77777777" w:rsidR="00D45250" w:rsidRPr="00D70D7C" w:rsidRDefault="00D45250" w:rsidP="0089179A">
            <w:pPr>
              <w:spacing w:after="80"/>
              <w:jc w:val="center"/>
              <w:rPr>
                <w:sz w:val="18"/>
                <w:szCs w:val="18"/>
              </w:rPr>
            </w:pPr>
            <w:r w:rsidRPr="00D70D7C">
              <w:rPr>
                <w:sz w:val="18"/>
                <w:szCs w:val="18"/>
              </w:rPr>
              <w:t>28 % d’ici 2021</w:t>
            </w:r>
          </w:p>
        </w:tc>
      </w:tr>
    </w:tbl>
    <w:p w14:paraId="4346A625" w14:textId="77777777" w:rsidR="00D45250" w:rsidRPr="00D70D7C" w:rsidRDefault="00D45250" w:rsidP="00D45250">
      <w:pPr>
        <w:spacing w:after="60"/>
        <w:jc w:val="center"/>
        <w:rPr>
          <w:sz w:val="18"/>
          <w:szCs w:val="18"/>
        </w:rPr>
      </w:pPr>
    </w:p>
    <w:tbl>
      <w:tblPr>
        <w:tblStyle w:val="TableGrid"/>
        <w:tblW w:w="10627" w:type="dxa"/>
        <w:jc w:val="center"/>
        <w:tblLook w:val="04A0" w:firstRow="1" w:lastRow="0" w:firstColumn="1" w:lastColumn="0" w:noHBand="0" w:noVBand="1"/>
      </w:tblPr>
      <w:tblGrid>
        <w:gridCol w:w="6205"/>
        <w:gridCol w:w="2610"/>
        <w:gridCol w:w="1812"/>
      </w:tblGrid>
      <w:tr w:rsidR="00D45250" w:rsidRPr="00D70D7C" w14:paraId="2C8C73E6" w14:textId="77777777" w:rsidTr="00D70D7C">
        <w:trPr>
          <w:trHeight w:val="240"/>
          <w:jc w:val="center"/>
        </w:trPr>
        <w:tc>
          <w:tcPr>
            <w:tcW w:w="6205" w:type="dxa"/>
            <w:shd w:val="clear" w:color="auto" w:fill="auto"/>
          </w:tcPr>
          <w:p w14:paraId="0860B049" w14:textId="77777777" w:rsidR="00D45250" w:rsidRPr="00D70D7C" w:rsidRDefault="00D45250" w:rsidP="0089179A">
            <w:pPr>
              <w:spacing w:after="60"/>
              <w:jc w:val="left"/>
              <w:rPr>
                <w:b/>
                <w:sz w:val="18"/>
                <w:szCs w:val="18"/>
              </w:rPr>
            </w:pPr>
            <w:r w:rsidRPr="00D70D7C">
              <w:rPr>
                <w:b/>
                <w:sz w:val="18"/>
                <w:szCs w:val="18"/>
              </w:rPr>
              <w:t>(II) DERNIÈRES DONNÉES DE L’ARTICLE 7 (Annexe C groupe l)</w:t>
            </w:r>
          </w:p>
        </w:tc>
        <w:tc>
          <w:tcPr>
            <w:tcW w:w="2610" w:type="dxa"/>
            <w:shd w:val="clear" w:color="auto" w:fill="auto"/>
          </w:tcPr>
          <w:p w14:paraId="0057A801" w14:textId="13250B00" w:rsidR="00D45250" w:rsidRPr="00D70D7C" w:rsidRDefault="00D45250" w:rsidP="0089179A">
            <w:pPr>
              <w:spacing w:after="60"/>
              <w:jc w:val="center"/>
              <w:rPr>
                <w:sz w:val="18"/>
                <w:szCs w:val="18"/>
              </w:rPr>
            </w:pPr>
            <w:r w:rsidRPr="00D70D7C">
              <w:rPr>
                <w:sz w:val="18"/>
                <w:szCs w:val="18"/>
              </w:rPr>
              <w:t>Année : 2019</w:t>
            </w:r>
          </w:p>
        </w:tc>
        <w:tc>
          <w:tcPr>
            <w:tcW w:w="1812" w:type="dxa"/>
            <w:shd w:val="clear" w:color="auto" w:fill="auto"/>
          </w:tcPr>
          <w:p w14:paraId="3DD4ECC7" w14:textId="77E180C6" w:rsidR="00D45250" w:rsidRPr="00D70D7C" w:rsidRDefault="00D45250" w:rsidP="0089179A">
            <w:pPr>
              <w:spacing w:after="60"/>
              <w:jc w:val="right"/>
              <w:rPr>
                <w:sz w:val="18"/>
                <w:szCs w:val="18"/>
              </w:rPr>
            </w:pPr>
            <w:r w:rsidRPr="00D70D7C">
              <w:rPr>
                <w:sz w:val="18"/>
                <w:szCs w:val="18"/>
              </w:rPr>
              <w:t>197,55 (tonnes PAO)</w:t>
            </w:r>
          </w:p>
        </w:tc>
      </w:tr>
    </w:tbl>
    <w:p w14:paraId="23470C1C" w14:textId="77777777" w:rsidR="00D45250" w:rsidRPr="00D70D7C" w:rsidRDefault="00D45250" w:rsidP="00D45250">
      <w:pPr>
        <w:spacing w:after="60"/>
        <w:jc w:val="center"/>
        <w:rPr>
          <w:sz w:val="18"/>
          <w:szCs w:val="18"/>
        </w:rPr>
      </w:pPr>
    </w:p>
    <w:tbl>
      <w:tblPr>
        <w:tblStyle w:val="TableGrid"/>
        <w:tblW w:w="10627" w:type="dxa"/>
        <w:jc w:val="center"/>
        <w:tblLook w:val="04A0" w:firstRow="1" w:lastRow="0" w:firstColumn="1" w:lastColumn="0" w:noHBand="0" w:noVBand="1"/>
      </w:tblPr>
      <w:tblGrid>
        <w:gridCol w:w="1193"/>
        <w:gridCol w:w="786"/>
        <w:gridCol w:w="777"/>
        <w:gridCol w:w="896"/>
        <w:gridCol w:w="1036"/>
        <w:gridCol w:w="876"/>
        <w:gridCol w:w="837"/>
        <w:gridCol w:w="1276"/>
        <w:gridCol w:w="1029"/>
        <w:gridCol w:w="1921"/>
      </w:tblGrid>
      <w:tr w:rsidR="00D45250" w:rsidRPr="00D70D7C" w14:paraId="4BFB3C65" w14:textId="77777777" w:rsidTr="009A3B62">
        <w:trPr>
          <w:trHeight w:val="240"/>
          <w:jc w:val="center"/>
        </w:trPr>
        <w:tc>
          <w:tcPr>
            <w:tcW w:w="0" w:type="auto"/>
            <w:gridSpan w:val="8"/>
            <w:shd w:val="clear" w:color="auto" w:fill="auto"/>
          </w:tcPr>
          <w:p w14:paraId="77A84192" w14:textId="77777777" w:rsidR="00D45250" w:rsidRPr="00D70D7C" w:rsidRDefault="00D45250" w:rsidP="0089179A">
            <w:pPr>
              <w:spacing w:after="60"/>
              <w:jc w:val="left"/>
              <w:rPr>
                <w:b/>
                <w:sz w:val="18"/>
                <w:szCs w:val="18"/>
              </w:rPr>
            </w:pPr>
            <w:r w:rsidRPr="00D70D7C">
              <w:rPr>
                <w:b/>
                <w:sz w:val="18"/>
                <w:szCs w:val="18"/>
              </w:rPr>
              <w:t>(III) DERNIÈRES DONNÉES SECTORIELLES DU PROGRAMME DU PAYS (tonnes PAO)</w:t>
            </w:r>
          </w:p>
        </w:tc>
        <w:tc>
          <w:tcPr>
            <w:tcW w:w="3017" w:type="dxa"/>
            <w:gridSpan w:val="2"/>
            <w:shd w:val="clear" w:color="auto" w:fill="auto"/>
          </w:tcPr>
          <w:p w14:paraId="0CE86F1C" w14:textId="23227016" w:rsidR="00D45250" w:rsidRPr="00D70D7C" w:rsidRDefault="00D45250" w:rsidP="0089179A">
            <w:pPr>
              <w:spacing w:after="60"/>
              <w:jc w:val="right"/>
              <w:rPr>
                <w:b/>
                <w:sz w:val="18"/>
                <w:szCs w:val="18"/>
              </w:rPr>
            </w:pPr>
            <w:r w:rsidRPr="00D70D7C">
              <w:rPr>
                <w:b/>
                <w:sz w:val="18"/>
                <w:szCs w:val="18"/>
              </w:rPr>
              <w:t>Année : 2020</w:t>
            </w:r>
          </w:p>
        </w:tc>
      </w:tr>
      <w:tr w:rsidR="00D45250" w:rsidRPr="00D70D7C" w14:paraId="4F3F48D7" w14:textId="77777777" w:rsidTr="009A3B62">
        <w:trPr>
          <w:trHeight w:val="240"/>
          <w:jc w:val="center"/>
        </w:trPr>
        <w:tc>
          <w:tcPr>
            <w:tcW w:w="0" w:type="auto"/>
            <w:shd w:val="clear" w:color="auto" w:fill="auto"/>
          </w:tcPr>
          <w:p w14:paraId="0048C384" w14:textId="77777777" w:rsidR="00D45250" w:rsidRPr="00D70D7C" w:rsidRDefault="00D45250" w:rsidP="0089179A">
            <w:pPr>
              <w:spacing w:after="60"/>
              <w:jc w:val="center"/>
              <w:rPr>
                <w:sz w:val="18"/>
                <w:szCs w:val="18"/>
              </w:rPr>
            </w:pPr>
            <w:r w:rsidRPr="00D70D7C">
              <w:rPr>
                <w:sz w:val="18"/>
                <w:szCs w:val="18"/>
              </w:rPr>
              <w:t>Substance chimique</w:t>
            </w:r>
          </w:p>
        </w:tc>
        <w:tc>
          <w:tcPr>
            <w:tcW w:w="0" w:type="auto"/>
            <w:shd w:val="clear" w:color="auto" w:fill="auto"/>
          </w:tcPr>
          <w:p w14:paraId="028143BF" w14:textId="77777777" w:rsidR="00D45250" w:rsidRPr="00D70D7C" w:rsidRDefault="00D45250" w:rsidP="0089179A">
            <w:pPr>
              <w:spacing w:after="60"/>
              <w:jc w:val="center"/>
              <w:rPr>
                <w:sz w:val="18"/>
                <w:szCs w:val="18"/>
              </w:rPr>
            </w:pPr>
            <w:r w:rsidRPr="00D70D7C">
              <w:rPr>
                <w:sz w:val="18"/>
                <w:szCs w:val="18"/>
              </w:rPr>
              <w:t>Aérosol</w:t>
            </w:r>
          </w:p>
        </w:tc>
        <w:tc>
          <w:tcPr>
            <w:tcW w:w="0" w:type="auto"/>
            <w:shd w:val="clear" w:color="auto" w:fill="auto"/>
          </w:tcPr>
          <w:p w14:paraId="3410B0FC" w14:textId="77777777" w:rsidR="00D45250" w:rsidRPr="00D70D7C" w:rsidRDefault="00D45250" w:rsidP="0089179A">
            <w:pPr>
              <w:spacing w:after="60"/>
              <w:jc w:val="center"/>
              <w:rPr>
                <w:sz w:val="18"/>
                <w:szCs w:val="18"/>
              </w:rPr>
            </w:pPr>
            <w:r w:rsidRPr="00D70D7C">
              <w:rPr>
                <w:sz w:val="18"/>
                <w:szCs w:val="18"/>
              </w:rPr>
              <w:t>Mousse</w:t>
            </w:r>
          </w:p>
        </w:tc>
        <w:tc>
          <w:tcPr>
            <w:tcW w:w="0" w:type="auto"/>
            <w:shd w:val="clear" w:color="auto" w:fill="auto"/>
          </w:tcPr>
          <w:p w14:paraId="7F62770B" w14:textId="77777777" w:rsidR="00D45250" w:rsidRPr="00D70D7C" w:rsidRDefault="00D45250" w:rsidP="0089179A">
            <w:pPr>
              <w:spacing w:after="60"/>
              <w:jc w:val="center"/>
              <w:rPr>
                <w:sz w:val="18"/>
                <w:szCs w:val="18"/>
              </w:rPr>
            </w:pPr>
            <w:r w:rsidRPr="00D70D7C">
              <w:rPr>
                <w:sz w:val="18"/>
                <w:szCs w:val="18"/>
              </w:rPr>
              <w:t>Lutte contre les incendies</w:t>
            </w:r>
          </w:p>
        </w:tc>
        <w:tc>
          <w:tcPr>
            <w:tcW w:w="0" w:type="auto"/>
            <w:gridSpan w:val="2"/>
            <w:shd w:val="clear" w:color="auto" w:fill="auto"/>
          </w:tcPr>
          <w:p w14:paraId="7F7DD432" w14:textId="77777777" w:rsidR="00D45250" w:rsidRPr="00D70D7C" w:rsidRDefault="00D45250" w:rsidP="0089179A">
            <w:pPr>
              <w:spacing w:after="60"/>
              <w:jc w:val="center"/>
              <w:rPr>
                <w:sz w:val="18"/>
                <w:szCs w:val="18"/>
              </w:rPr>
            </w:pPr>
            <w:r w:rsidRPr="00D70D7C">
              <w:rPr>
                <w:sz w:val="18"/>
                <w:szCs w:val="18"/>
              </w:rPr>
              <w:t>Réfrigération</w:t>
            </w:r>
          </w:p>
        </w:tc>
        <w:tc>
          <w:tcPr>
            <w:tcW w:w="0" w:type="auto"/>
            <w:shd w:val="clear" w:color="auto" w:fill="auto"/>
          </w:tcPr>
          <w:p w14:paraId="194279AD" w14:textId="77777777" w:rsidR="00D45250" w:rsidRPr="00D70D7C" w:rsidRDefault="00D45250" w:rsidP="0089179A">
            <w:pPr>
              <w:spacing w:after="60"/>
              <w:jc w:val="center"/>
              <w:rPr>
                <w:sz w:val="18"/>
                <w:szCs w:val="18"/>
              </w:rPr>
            </w:pPr>
            <w:r w:rsidRPr="00D70D7C">
              <w:rPr>
                <w:sz w:val="18"/>
                <w:szCs w:val="18"/>
              </w:rPr>
              <w:t>Solvants</w:t>
            </w:r>
          </w:p>
        </w:tc>
        <w:tc>
          <w:tcPr>
            <w:tcW w:w="0" w:type="auto"/>
            <w:shd w:val="clear" w:color="auto" w:fill="auto"/>
          </w:tcPr>
          <w:p w14:paraId="2642B0E6" w14:textId="77777777" w:rsidR="00D45250" w:rsidRPr="00D70D7C" w:rsidRDefault="00D45250" w:rsidP="0089179A">
            <w:pPr>
              <w:spacing w:after="60"/>
              <w:jc w:val="center"/>
              <w:rPr>
                <w:sz w:val="18"/>
                <w:szCs w:val="18"/>
              </w:rPr>
            </w:pPr>
            <w:r w:rsidRPr="00D70D7C">
              <w:rPr>
                <w:sz w:val="18"/>
                <w:szCs w:val="18"/>
              </w:rPr>
              <w:t>Agent de transformation</w:t>
            </w:r>
          </w:p>
        </w:tc>
        <w:tc>
          <w:tcPr>
            <w:tcW w:w="1032" w:type="dxa"/>
            <w:shd w:val="clear" w:color="auto" w:fill="auto"/>
          </w:tcPr>
          <w:p w14:paraId="6789333B" w14:textId="77777777" w:rsidR="00D45250" w:rsidRPr="00D70D7C" w:rsidRDefault="00D45250" w:rsidP="0089179A">
            <w:pPr>
              <w:spacing w:after="60"/>
              <w:jc w:val="center"/>
              <w:rPr>
                <w:sz w:val="18"/>
                <w:szCs w:val="18"/>
              </w:rPr>
            </w:pPr>
            <w:r w:rsidRPr="00D70D7C">
              <w:rPr>
                <w:sz w:val="18"/>
                <w:szCs w:val="18"/>
              </w:rPr>
              <w:t>Utilisation en laboratoire</w:t>
            </w:r>
          </w:p>
        </w:tc>
        <w:tc>
          <w:tcPr>
            <w:tcW w:w="1985" w:type="dxa"/>
            <w:shd w:val="clear" w:color="auto" w:fill="auto"/>
          </w:tcPr>
          <w:p w14:paraId="157F49CF" w14:textId="77777777" w:rsidR="00D45250" w:rsidRPr="00D70D7C" w:rsidRDefault="00D45250" w:rsidP="0089179A">
            <w:pPr>
              <w:spacing w:after="60"/>
              <w:jc w:val="center"/>
              <w:rPr>
                <w:sz w:val="18"/>
                <w:szCs w:val="18"/>
              </w:rPr>
            </w:pPr>
            <w:r w:rsidRPr="00D70D7C">
              <w:rPr>
                <w:sz w:val="18"/>
                <w:szCs w:val="18"/>
              </w:rPr>
              <w:t>Consommation totale pour le secteur</w:t>
            </w:r>
          </w:p>
        </w:tc>
      </w:tr>
      <w:tr w:rsidR="00D45250" w:rsidRPr="00D70D7C" w14:paraId="284E0B3A" w14:textId="77777777" w:rsidTr="009A3B62">
        <w:trPr>
          <w:trHeight w:val="240"/>
          <w:jc w:val="center"/>
        </w:trPr>
        <w:tc>
          <w:tcPr>
            <w:tcW w:w="0" w:type="auto"/>
            <w:gridSpan w:val="4"/>
            <w:shd w:val="clear" w:color="auto" w:fill="auto"/>
          </w:tcPr>
          <w:p w14:paraId="49DA3440" w14:textId="77777777" w:rsidR="00D45250" w:rsidRPr="00D70D7C" w:rsidRDefault="00D45250" w:rsidP="0089179A">
            <w:pPr>
              <w:spacing w:after="60"/>
              <w:jc w:val="center"/>
              <w:rPr>
                <w:sz w:val="18"/>
                <w:szCs w:val="18"/>
              </w:rPr>
            </w:pPr>
            <w:r w:rsidRPr="00D70D7C">
              <w:rPr>
                <w:sz w:val="18"/>
                <w:szCs w:val="18"/>
              </w:rPr>
              <w:t xml:space="preserve"> </w:t>
            </w:r>
          </w:p>
        </w:tc>
        <w:tc>
          <w:tcPr>
            <w:tcW w:w="0" w:type="auto"/>
            <w:shd w:val="clear" w:color="auto" w:fill="auto"/>
          </w:tcPr>
          <w:p w14:paraId="5313546A" w14:textId="77777777" w:rsidR="00D45250" w:rsidRPr="00D70D7C" w:rsidRDefault="00D45250" w:rsidP="0089179A">
            <w:pPr>
              <w:spacing w:after="60"/>
              <w:jc w:val="center"/>
              <w:rPr>
                <w:sz w:val="18"/>
                <w:szCs w:val="18"/>
              </w:rPr>
            </w:pPr>
            <w:r w:rsidRPr="00D70D7C">
              <w:rPr>
                <w:sz w:val="18"/>
                <w:szCs w:val="18"/>
              </w:rPr>
              <w:t>Fabrication</w:t>
            </w:r>
          </w:p>
        </w:tc>
        <w:tc>
          <w:tcPr>
            <w:tcW w:w="0" w:type="auto"/>
            <w:shd w:val="clear" w:color="auto" w:fill="auto"/>
          </w:tcPr>
          <w:p w14:paraId="279A4631" w14:textId="77777777" w:rsidR="00D45250" w:rsidRPr="00D70D7C" w:rsidRDefault="00D45250" w:rsidP="0089179A">
            <w:pPr>
              <w:spacing w:after="60"/>
              <w:jc w:val="center"/>
              <w:rPr>
                <w:sz w:val="18"/>
                <w:szCs w:val="18"/>
              </w:rPr>
            </w:pPr>
            <w:r w:rsidRPr="00D70D7C">
              <w:rPr>
                <w:sz w:val="18"/>
                <w:szCs w:val="18"/>
              </w:rPr>
              <w:t>Entretien</w:t>
            </w:r>
          </w:p>
        </w:tc>
        <w:tc>
          <w:tcPr>
            <w:tcW w:w="4825" w:type="dxa"/>
            <w:gridSpan w:val="4"/>
            <w:shd w:val="clear" w:color="auto" w:fill="auto"/>
          </w:tcPr>
          <w:p w14:paraId="64839DEA" w14:textId="77777777" w:rsidR="00D45250" w:rsidRPr="00D70D7C" w:rsidRDefault="00D45250" w:rsidP="0089179A">
            <w:pPr>
              <w:spacing w:after="60"/>
              <w:jc w:val="center"/>
              <w:rPr>
                <w:sz w:val="18"/>
                <w:szCs w:val="18"/>
              </w:rPr>
            </w:pPr>
          </w:p>
        </w:tc>
      </w:tr>
      <w:tr w:rsidR="00D45250" w:rsidRPr="00D70D7C" w14:paraId="74268F38" w14:textId="77777777" w:rsidTr="009A3B62">
        <w:trPr>
          <w:trHeight w:val="240"/>
          <w:jc w:val="center"/>
        </w:trPr>
        <w:tc>
          <w:tcPr>
            <w:tcW w:w="1200" w:type="dxa"/>
            <w:shd w:val="clear" w:color="auto" w:fill="auto"/>
          </w:tcPr>
          <w:p w14:paraId="55117527" w14:textId="77777777" w:rsidR="00D45250" w:rsidRPr="00D70D7C" w:rsidRDefault="00D45250" w:rsidP="0089179A">
            <w:pPr>
              <w:spacing w:after="60"/>
              <w:jc w:val="left"/>
              <w:rPr>
                <w:sz w:val="18"/>
                <w:szCs w:val="18"/>
              </w:rPr>
            </w:pPr>
            <w:r w:rsidRPr="00D70D7C">
              <w:rPr>
                <w:sz w:val="18"/>
                <w:szCs w:val="18"/>
              </w:rPr>
              <w:t>HCFC-22</w:t>
            </w:r>
          </w:p>
        </w:tc>
        <w:tc>
          <w:tcPr>
            <w:tcW w:w="0" w:type="auto"/>
            <w:shd w:val="clear" w:color="auto" w:fill="auto"/>
          </w:tcPr>
          <w:p w14:paraId="19C84524" w14:textId="77777777" w:rsidR="00D45250" w:rsidRPr="00D70D7C" w:rsidRDefault="00D45250" w:rsidP="0089179A">
            <w:pPr>
              <w:spacing w:after="60"/>
              <w:jc w:val="right"/>
              <w:rPr>
                <w:sz w:val="18"/>
                <w:szCs w:val="18"/>
              </w:rPr>
            </w:pPr>
          </w:p>
        </w:tc>
        <w:tc>
          <w:tcPr>
            <w:tcW w:w="0" w:type="auto"/>
            <w:shd w:val="clear" w:color="auto" w:fill="auto"/>
          </w:tcPr>
          <w:p w14:paraId="3311461A" w14:textId="77777777" w:rsidR="00D45250" w:rsidRPr="00D70D7C" w:rsidRDefault="00D45250" w:rsidP="0089179A">
            <w:pPr>
              <w:spacing w:after="60"/>
              <w:jc w:val="right"/>
              <w:rPr>
                <w:sz w:val="18"/>
                <w:szCs w:val="18"/>
              </w:rPr>
            </w:pPr>
          </w:p>
        </w:tc>
        <w:tc>
          <w:tcPr>
            <w:tcW w:w="0" w:type="auto"/>
            <w:shd w:val="clear" w:color="auto" w:fill="auto"/>
          </w:tcPr>
          <w:p w14:paraId="38BB2CFC" w14:textId="77777777" w:rsidR="00D45250" w:rsidRPr="00D70D7C" w:rsidRDefault="00D45250" w:rsidP="0089179A">
            <w:pPr>
              <w:spacing w:after="60"/>
              <w:jc w:val="right"/>
              <w:rPr>
                <w:sz w:val="18"/>
                <w:szCs w:val="18"/>
              </w:rPr>
            </w:pPr>
          </w:p>
        </w:tc>
        <w:tc>
          <w:tcPr>
            <w:tcW w:w="0" w:type="auto"/>
            <w:shd w:val="clear" w:color="auto" w:fill="auto"/>
          </w:tcPr>
          <w:p w14:paraId="7FB99BB5" w14:textId="5AC4D09D" w:rsidR="00D45250" w:rsidRPr="00D70D7C" w:rsidRDefault="003E1925" w:rsidP="0089179A">
            <w:pPr>
              <w:spacing w:after="60"/>
              <w:jc w:val="right"/>
              <w:rPr>
                <w:sz w:val="18"/>
                <w:szCs w:val="18"/>
                <w:highlight w:val="green"/>
              </w:rPr>
            </w:pPr>
            <w:r w:rsidRPr="00D70D7C">
              <w:rPr>
                <w:sz w:val="18"/>
                <w:szCs w:val="18"/>
              </w:rPr>
              <w:t>28,44</w:t>
            </w:r>
          </w:p>
        </w:tc>
        <w:tc>
          <w:tcPr>
            <w:tcW w:w="0" w:type="auto"/>
            <w:shd w:val="clear" w:color="auto" w:fill="auto"/>
          </w:tcPr>
          <w:p w14:paraId="0E9758A2" w14:textId="656830B1" w:rsidR="00D45250" w:rsidRPr="00D70D7C" w:rsidRDefault="003E1925" w:rsidP="0089179A">
            <w:pPr>
              <w:spacing w:after="60"/>
              <w:jc w:val="right"/>
              <w:rPr>
                <w:sz w:val="18"/>
                <w:szCs w:val="18"/>
              </w:rPr>
            </w:pPr>
            <w:r w:rsidRPr="00D70D7C">
              <w:rPr>
                <w:sz w:val="18"/>
                <w:szCs w:val="18"/>
              </w:rPr>
              <w:t>113,74</w:t>
            </w:r>
          </w:p>
        </w:tc>
        <w:tc>
          <w:tcPr>
            <w:tcW w:w="0" w:type="auto"/>
            <w:shd w:val="clear" w:color="auto" w:fill="auto"/>
          </w:tcPr>
          <w:p w14:paraId="5F2FE54A" w14:textId="77777777" w:rsidR="00D45250" w:rsidRPr="00D70D7C" w:rsidRDefault="00D45250" w:rsidP="0089179A">
            <w:pPr>
              <w:spacing w:after="60"/>
              <w:jc w:val="right"/>
              <w:rPr>
                <w:sz w:val="18"/>
                <w:szCs w:val="18"/>
                <w:highlight w:val="green"/>
              </w:rPr>
            </w:pPr>
          </w:p>
        </w:tc>
        <w:tc>
          <w:tcPr>
            <w:tcW w:w="0" w:type="auto"/>
            <w:shd w:val="clear" w:color="auto" w:fill="auto"/>
          </w:tcPr>
          <w:p w14:paraId="4B7C28B1" w14:textId="77777777" w:rsidR="00D45250" w:rsidRPr="00D70D7C" w:rsidRDefault="00D45250" w:rsidP="0089179A">
            <w:pPr>
              <w:spacing w:after="60"/>
              <w:jc w:val="right"/>
              <w:rPr>
                <w:sz w:val="18"/>
                <w:szCs w:val="18"/>
                <w:highlight w:val="green"/>
              </w:rPr>
            </w:pPr>
          </w:p>
        </w:tc>
        <w:tc>
          <w:tcPr>
            <w:tcW w:w="1032" w:type="dxa"/>
            <w:shd w:val="clear" w:color="auto" w:fill="auto"/>
          </w:tcPr>
          <w:p w14:paraId="7531DBD9" w14:textId="77777777" w:rsidR="00D45250" w:rsidRPr="00D70D7C" w:rsidRDefault="00D45250" w:rsidP="0089179A">
            <w:pPr>
              <w:spacing w:after="60"/>
              <w:jc w:val="right"/>
              <w:rPr>
                <w:sz w:val="18"/>
                <w:szCs w:val="18"/>
                <w:highlight w:val="green"/>
              </w:rPr>
            </w:pPr>
          </w:p>
        </w:tc>
        <w:tc>
          <w:tcPr>
            <w:tcW w:w="1985" w:type="dxa"/>
            <w:shd w:val="clear" w:color="auto" w:fill="auto"/>
          </w:tcPr>
          <w:p w14:paraId="14CC13F6" w14:textId="00D9B469" w:rsidR="00D45250" w:rsidRPr="00D70D7C" w:rsidRDefault="003E1925" w:rsidP="0089179A">
            <w:pPr>
              <w:spacing w:after="60"/>
              <w:jc w:val="right"/>
              <w:rPr>
                <w:sz w:val="18"/>
                <w:szCs w:val="18"/>
              </w:rPr>
            </w:pPr>
            <w:r w:rsidRPr="00D70D7C">
              <w:rPr>
                <w:sz w:val="18"/>
                <w:szCs w:val="18"/>
              </w:rPr>
              <w:t>142,18</w:t>
            </w:r>
          </w:p>
        </w:tc>
      </w:tr>
      <w:tr w:rsidR="00D45250" w:rsidRPr="00D70D7C" w14:paraId="48C8F816" w14:textId="77777777" w:rsidTr="0089179A">
        <w:trPr>
          <w:trHeight w:val="800"/>
          <w:jc w:val="center"/>
        </w:trPr>
        <w:tc>
          <w:tcPr>
            <w:tcW w:w="1200" w:type="dxa"/>
          </w:tcPr>
          <w:p w14:paraId="5DAB3B59" w14:textId="0A421E11" w:rsidR="00D45250" w:rsidRPr="00D70D7C" w:rsidRDefault="00D45250" w:rsidP="0089179A">
            <w:pPr>
              <w:spacing w:after="60"/>
              <w:jc w:val="left"/>
              <w:rPr>
                <w:sz w:val="18"/>
                <w:szCs w:val="18"/>
              </w:rPr>
            </w:pPr>
            <w:r w:rsidRPr="00D70D7C">
              <w:rPr>
                <w:sz w:val="18"/>
                <w:szCs w:val="18"/>
              </w:rPr>
              <w:t xml:space="preserve">HCFC-141b dans les polyols </w:t>
            </w:r>
            <w:proofErr w:type="spellStart"/>
            <w:r w:rsidRPr="00D70D7C">
              <w:rPr>
                <w:sz w:val="18"/>
                <w:szCs w:val="18"/>
              </w:rPr>
              <w:t>prémélangés</w:t>
            </w:r>
            <w:proofErr w:type="spellEnd"/>
            <w:r w:rsidRPr="00D70D7C">
              <w:rPr>
                <w:sz w:val="18"/>
                <w:szCs w:val="18"/>
              </w:rPr>
              <w:t xml:space="preserve"> importés</w:t>
            </w:r>
          </w:p>
        </w:tc>
        <w:tc>
          <w:tcPr>
            <w:tcW w:w="0" w:type="auto"/>
          </w:tcPr>
          <w:p w14:paraId="0D109FA0" w14:textId="77777777" w:rsidR="00D45250" w:rsidRPr="00D70D7C" w:rsidRDefault="00D45250" w:rsidP="0089179A">
            <w:pPr>
              <w:spacing w:after="60"/>
              <w:jc w:val="right"/>
              <w:rPr>
                <w:sz w:val="18"/>
                <w:szCs w:val="18"/>
              </w:rPr>
            </w:pPr>
          </w:p>
        </w:tc>
        <w:tc>
          <w:tcPr>
            <w:tcW w:w="0" w:type="auto"/>
          </w:tcPr>
          <w:p w14:paraId="51C86BE1" w14:textId="290EB57D" w:rsidR="00D45250" w:rsidRPr="00D70D7C" w:rsidRDefault="001E5536" w:rsidP="0089179A">
            <w:pPr>
              <w:spacing w:after="60"/>
              <w:jc w:val="right"/>
              <w:rPr>
                <w:sz w:val="18"/>
                <w:szCs w:val="18"/>
              </w:rPr>
            </w:pPr>
            <w:r w:rsidRPr="00D70D7C">
              <w:rPr>
                <w:sz w:val="18"/>
                <w:szCs w:val="18"/>
              </w:rPr>
              <w:t>16,24</w:t>
            </w:r>
          </w:p>
        </w:tc>
        <w:tc>
          <w:tcPr>
            <w:tcW w:w="0" w:type="auto"/>
          </w:tcPr>
          <w:p w14:paraId="10DF7DC5" w14:textId="77777777" w:rsidR="00D45250" w:rsidRPr="00D70D7C" w:rsidRDefault="00D45250" w:rsidP="0089179A">
            <w:pPr>
              <w:spacing w:after="60"/>
              <w:jc w:val="right"/>
              <w:rPr>
                <w:sz w:val="18"/>
                <w:szCs w:val="18"/>
              </w:rPr>
            </w:pPr>
          </w:p>
        </w:tc>
        <w:tc>
          <w:tcPr>
            <w:tcW w:w="0" w:type="auto"/>
          </w:tcPr>
          <w:p w14:paraId="68E898AD" w14:textId="77777777" w:rsidR="00D45250" w:rsidRPr="00D70D7C" w:rsidRDefault="00D45250" w:rsidP="0089179A">
            <w:pPr>
              <w:spacing w:after="60"/>
              <w:jc w:val="right"/>
              <w:rPr>
                <w:sz w:val="18"/>
                <w:szCs w:val="18"/>
              </w:rPr>
            </w:pPr>
          </w:p>
        </w:tc>
        <w:tc>
          <w:tcPr>
            <w:tcW w:w="0" w:type="auto"/>
          </w:tcPr>
          <w:p w14:paraId="3E3601D6" w14:textId="77777777" w:rsidR="00D45250" w:rsidRPr="00D70D7C" w:rsidRDefault="00D45250" w:rsidP="0089179A">
            <w:pPr>
              <w:spacing w:after="60"/>
              <w:jc w:val="right"/>
              <w:rPr>
                <w:sz w:val="18"/>
                <w:szCs w:val="18"/>
              </w:rPr>
            </w:pPr>
          </w:p>
        </w:tc>
        <w:tc>
          <w:tcPr>
            <w:tcW w:w="0" w:type="auto"/>
          </w:tcPr>
          <w:p w14:paraId="38F1322E" w14:textId="77777777" w:rsidR="00D45250" w:rsidRPr="00D70D7C" w:rsidRDefault="00D45250" w:rsidP="0089179A">
            <w:pPr>
              <w:spacing w:after="60"/>
              <w:jc w:val="right"/>
              <w:rPr>
                <w:sz w:val="18"/>
                <w:szCs w:val="18"/>
              </w:rPr>
            </w:pPr>
          </w:p>
        </w:tc>
        <w:tc>
          <w:tcPr>
            <w:tcW w:w="0" w:type="auto"/>
          </w:tcPr>
          <w:p w14:paraId="181ED479" w14:textId="77777777" w:rsidR="00D45250" w:rsidRPr="00D70D7C" w:rsidRDefault="00D45250" w:rsidP="0089179A">
            <w:pPr>
              <w:spacing w:after="60"/>
              <w:jc w:val="right"/>
              <w:rPr>
                <w:sz w:val="18"/>
                <w:szCs w:val="18"/>
              </w:rPr>
            </w:pPr>
          </w:p>
        </w:tc>
        <w:tc>
          <w:tcPr>
            <w:tcW w:w="1032" w:type="dxa"/>
          </w:tcPr>
          <w:p w14:paraId="71C9DD8D" w14:textId="77777777" w:rsidR="00D45250" w:rsidRPr="00D70D7C" w:rsidRDefault="00D45250" w:rsidP="0089179A">
            <w:pPr>
              <w:spacing w:after="60"/>
              <w:jc w:val="right"/>
              <w:rPr>
                <w:sz w:val="18"/>
                <w:szCs w:val="18"/>
              </w:rPr>
            </w:pPr>
          </w:p>
        </w:tc>
        <w:tc>
          <w:tcPr>
            <w:tcW w:w="1985" w:type="dxa"/>
          </w:tcPr>
          <w:p w14:paraId="684561E2" w14:textId="6CF59BF3" w:rsidR="00D45250" w:rsidRPr="00D70D7C" w:rsidRDefault="001E5536" w:rsidP="0089179A">
            <w:pPr>
              <w:spacing w:after="60"/>
              <w:jc w:val="right"/>
              <w:rPr>
                <w:sz w:val="18"/>
                <w:szCs w:val="18"/>
              </w:rPr>
            </w:pPr>
            <w:r w:rsidRPr="00D70D7C">
              <w:rPr>
                <w:sz w:val="18"/>
                <w:szCs w:val="18"/>
              </w:rPr>
              <w:t>16,24</w:t>
            </w:r>
          </w:p>
        </w:tc>
      </w:tr>
    </w:tbl>
    <w:p w14:paraId="60E24DCA" w14:textId="77777777" w:rsidR="00D45250" w:rsidRPr="00D70D7C" w:rsidRDefault="00D45250" w:rsidP="00D45250">
      <w:pPr>
        <w:spacing w:after="60"/>
        <w:jc w:val="center"/>
        <w:rPr>
          <w:sz w:val="18"/>
          <w:szCs w:val="18"/>
        </w:rPr>
      </w:pPr>
    </w:p>
    <w:tbl>
      <w:tblPr>
        <w:tblStyle w:val="TableGrid"/>
        <w:tblW w:w="10627" w:type="dxa"/>
        <w:jc w:val="center"/>
        <w:tblLook w:val="04A0" w:firstRow="1" w:lastRow="0" w:firstColumn="1" w:lastColumn="0" w:noHBand="0" w:noVBand="1"/>
      </w:tblPr>
      <w:tblGrid>
        <w:gridCol w:w="2785"/>
        <w:gridCol w:w="896"/>
        <w:gridCol w:w="5528"/>
        <w:gridCol w:w="1418"/>
      </w:tblGrid>
      <w:tr w:rsidR="00D45250" w:rsidRPr="00D70D7C" w14:paraId="7A9E74D2" w14:textId="77777777" w:rsidTr="009A3B62">
        <w:trPr>
          <w:trHeight w:val="240"/>
          <w:jc w:val="center"/>
        </w:trPr>
        <w:tc>
          <w:tcPr>
            <w:tcW w:w="10627" w:type="dxa"/>
            <w:gridSpan w:val="4"/>
            <w:shd w:val="clear" w:color="auto" w:fill="auto"/>
          </w:tcPr>
          <w:p w14:paraId="64CF2A81" w14:textId="77777777" w:rsidR="00D45250" w:rsidRPr="00D70D7C" w:rsidRDefault="00D45250" w:rsidP="0089179A">
            <w:pPr>
              <w:spacing w:after="60"/>
              <w:jc w:val="left"/>
              <w:rPr>
                <w:b/>
                <w:sz w:val="18"/>
                <w:szCs w:val="18"/>
              </w:rPr>
            </w:pPr>
            <w:r w:rsidRPr="00D70D7C">
              <w:rPr>
                <w:b/>
                <w:sz w:val="18"/>
                <w:szCs w:val="18"/>
              </w:rPr>
              <w:t>(IV) DONNÉES SUR LA CONSOMMATION (tonnes PAO)</w:t>
            </w:r>
          </w:p>
        </w:tc>
      </w:tr>
      <w:tr w:rsidR="00D45250" w:rsidRPr="00D70D7C" w14:paraId="1C6B2BB4" w14:textId="77777777" w:rsidTr="00D70D7C">
        <w:trPr>
          <w:trHeight w:val="240"/>
          <w:jc w:val="center"/>
        </w:trPr>
        <w:tc>
          <w:tcPr>
            <w:tcW w:w="2785" w:type="dxa"/>
            <w:shd w:val="clear" w:color="auto" w:fill="auto"/>
          </w:tcPr>
          <w:p w14:paraId="2BF493F3" w14:textId="77777777" w:rsidR="00D45250" w:rsidRPr="00D70D7C" w:rsidRDefault="00D45250" w:rsidP="0089179A">
            <w:pPr>
              <w:spacing w:after="60"/>
              <w:jc w:val="center"/>
              <w:rPr>
                <w:sz w:val="18"/>
                <w:szCs w:val="18"/>
              </w:rPr>
            </w:pPr>
            <w:r w:rsidRPr="00D70D7C">
              <w:rPr>
                <w:sz w:val="18"/>
                <w:szCs w:val="18"/>
              </w:rPr>
              <w:t>Valeur de référence 2009 – 2010 :</w:t>
            </w:r>
          </w:p>
        </w:tc>
        <w:tc>
          <w:tcPr>
            <w:tcW w:w="896" w:type="dxa"/>
            <w:shd w:val="clear" w:color="auto" w:fill="auto"/>
          </w:tcPr>
          <w:p w14:paraId="60DCAE43" w14:textId="77777777" w:rsidR="00D45250" w:rsidRPr="00D70D7C" w:rsidRDefault="00D45250" w:rsidP="0089179A">
            <w:pPr>
              <w:spacing w:after="60"/>
              <w:jc w:val="right"/>
              <w:rPr>
                <w:sz w:val="18"/>
                <w:szCs w:val="18"/>
              </w:rPr>
            </w:pPr>
            <w:r w:rsidRPr="00D70D7C">
              <w:rPr>
                <w:sz w:val="18"/>
                <w:szCs w:val="18"/>
              </w:rPr>
              <w:t>221,2</w:t>
            </w:r>
          </w:p>
        </w:tc>
        <w:tc>
          <w:tcPr>
            <w:tcW w:w="5528" w:type="dxa"/>
            <w:shd w:val="clear" w:color="auto" w:fill="auto"/>
          </w:tcPr>
          <w:p w14:paraId="0D162A24" w14:textId="77777777" w:rsidR="00D45250" w:rsidRPr="00D70D7C" w:rsidRDefault="00D45250" w:rsidP="0089179A">
            <w:pPr>
              <w:spacing w:after="60"/>
              <w:jc w:val="center"/>
              <w:rPr>
                <w:sz w:val="18"/>
                <w:szCs w:val="18"/>
              </w:rPr>
            </w:pPr>
            <w:r w:rsidRPr="00D70D7C">
              <w:rPr>
                <w:sz w:val="18"/>
                <w:szCs w:val="18"/>
              </w:rPr>
              <w:t>Point de départ des réductions globales durables :</w:t>
            </w:r>
          </w:p>
        </w:tc>
        <w:tc>
          <w:tcPr>
            <w:tcW w:w="1418" w:type="dxa"/>
            <w:shd w:val="clear" w:color="auto" w:fill="auto"/>
          </w:tcPr>
          <w:p w14:paraId="265B6CD7" w14:textId="77777777" w:rsidR="00D45250" w:rsidRPr="00D70D7C" w:rsidRDefault="00D45250" w:rsidP="0089179A">
            <w:pPr>
              <w:spacing w:after="60"/>
              <w:jc w:val="right"/>
              <w:rPr>
                <w:sz w:val="18"/>
                <w:szCs w:val="18"/>
              </w:rPr>
            </w:pPr>
            <w:r w:rsidRPr="00D70D7C">
              <w:rPr>
                <w:sz w:val="18"/>
                <w:szCs w:val="18"/>
              </w:rPr>
              <w:t>385,77</w:t>
            </w:r>
          </w:p>
        </w:tc>
      </w:tr>
      <w:tr w:rsidR="00D45250" w:rsidRPr="00D70D7C" w14:paraId="647B61D9" w14:textId="77777777" w:rsidTr="009A3B62">
        <w:trPr>
          <w:trHeight w:val="240"/>
          <w:jc w:val="center"/>
        </w:trPr>
        <w:tc>
          <w:tcPr>
            <w:tcW w:w="10627" w:type="dxa"/>
            <w:gridSpan w:val="4"/>
            <w:shd w:val="clear" w:color="auto" w:fill="auto"/>
          </w:tcPr>
          <w:p w14:paraId="567869B0" w14:textId="77777777" w:rsidR="00D45250" w:rsidRPr="00D70D7C" w:rsidRDefault="00D45250" w:rsidP="0089179A">
            <w:pPr>
              <w:spacing w:after="60"/>
              <w:jc w:val="center"/>
              <w:rPr>
                <w:b/>
                <w:sz w:val="18"/>
                <w:szCs w:val="18"/>
              </w:rPr>
            </w:pPr>
            <w:r w:rsidRPr="00D70D7C">
              <w:rPr>
                <w:b/>
                <w:sz w:val="18"/>
                <w:szCs w:val="18"/>
              </w:rPr>
              <w:t>CONSOMMATION ADMISSIBLE AU FINANCEMENT (tonnes PAO)</w:t>
            </w:r>
          </w:p>
        </w:tc>
      </w:tr>
      <w:tr w:rsidR="00D45250" w:rsidRPr="00D70D7C" w14:paraId="645C622E" w14:textId="77777777" w:rsidTr="00D70D7C">
        <w:trPr>
          <w:trHeight w:val="240"/>
          <w:jc w:val="center"/>
        </w:trPr>
        <w:tc>
          <w:tcPr>
            <w:tcW w:w="2785" w:type="dxa"/>
            <w:shd w:val="clear" w:color="auto" w:fill="auto"/>
          </w:tcPr>
          <w:p w14:paraId="6C65A4A9" w14:textId="77777777" w:rsidR="00D45250" w:rsidRPr="00D70D7C" w:rsidRDefault="00D45250" w:rsidP="0089179A">
            <w:pPr>
              <w:spacing w:after="60"/>
              <w:jc w:val="center"/>
              <w:rPr>
                <w:sz w:val="18"/>
                <w:szCs w:val="18"/>
              </w:rPr>
            </w:pPr>
            <w:r w:rsidRPr="00D70D7C">
              <w:rPr>
                <w:sz w:val="18"/>
                <w:szCs w:val="18"/>
              </w:rPr>
              <w:t>Déjà approuvée :</w:t>
            </w:r>
          </w:p>
        </w:tc>
        <w:tc>
          <w:tcPr>
            <w:tcW w:w="896" w:type="dxa"/>
            <w:shd w:val="clear" w:color="auto" w:fill="auto"/>
          </w:tcPr>
          <w:p w14:paraId="126AD7A4" w14:textId="77777777" w:rsidR="00D45250" w:rsidRPr="00D70D7C" w:rsidRDefault="00D45250" w:rsidP="0089179A">
            <w:pPr>
              <w:spacing w:after="60"/>
              <w:jc w:val="right"/>
              <w:rPr>
                <w:sz w:val="18"/>
                <w:szCs w:val="18"/>
              </w:rPr>
            </w:pPr>
            <w:r w:rsidRPr="00D70D7C">
              <w:rPr>
                <w:sz w:val="18"/>
                <w:szCs w:val="18"/>
              </w:rPr>
              <w:t>273,77</w:t>
            </w:r>
          </w:p>
        </w:tc>
        <w:tc>
          <w:tcPr>
            <w:tcW w:w="5528" w:type="dxa"/>
            <w:shd w:val="clear" w:color="auto" w:fill="auto"/>
          </w:tcPr>
          <w:p w14:paraId="27DF65F4" w14:textId="77777777" w:rsidR="00D45250" w:rsidRPr="00D70D7C" w:rsidRDefault="00D45250" w:rsidP="0089179A">
            <w:pPr>
              <w:spacing w:after="60"/>
              <w:jc w:val="center"/>
              <w:rPr>
                <w:sz w:val="18"/>
                <w:szCs w:val="18"/>
              </w:rPr>
            </w:pPr>
            <w:r w:rsidRPr="00D70D7C">
              <w:rPr>
                <w:sz w:val="18"/>
                <w:szCs w:val="18"/>
              </w:rPr>
              <w:t>Restante :</w:t>
            </w:r>
          </w:p>
        </w:tc>
        <w:tc>
          <w:tcPr>
            <w:tcW w:w="1418" w:type="dxa"/>
            <w:shd w:val="clear" w:color="auto" w:fill="auto"/>
          </w:tcPr>
          <w:p w14:paraId="4056FE08" w14:textId="77777777" w:rsidR="00D45250" w:rsidRPr="00D70D7C" w:rsidRDefault="00D45250" w:rsidP="0089179A">
            <w:pPr>
              <w:spacing w:after="60"/>
              <w:jc w:val="right"/>
              <w:rPr>
                <w:sz w:val="18"/>
                <w:szCs w:val="18"/>
              </w:rPr>
            </w:pPr>
            <w:r w:rsidRPr="00D70D7C">
              <w:rPr>
                <w:sz w:val="18"/>
                <w:szCs w:val="18"/>
              </w:rPr>
              <w:t>112,00</w:t>
            </w:r>
          </w:p>
        </w:tc>
      </w:tr>
    </w:tbl>
    <w:p w14:paraId="472F606B" w14:textId="77777777" w:rsidR="00D45250" w:rsidRPr="00D70D7C" w:rsidRDefault="00D45250" w:rsidP="00D45250">
      <w:pPr>
        <w:spacing w:after="60"/>
        <w:jc w:val="center"/>
        <w:rPr>
          <w:sz w:val="18"/>
          <w:szCs w:val="18"/>
        </w:rPr>
      </w:pPr>
    </w:p>
    <w:tbl>
      <w:tblPr>
        <w:tblStyle w:val="TableGrid"/>
        <w:tblW w:w="10722" w:type="dxa"/>
        <w:jc w:val="center"/>
        <w:tblLook w:val="04A0" w:firstRow="1" w:lastRow="0" w:firstColumn="1" w:lastColumn="0" w:noHBand="0" w:noVBand="1"/>
      </w:tblPr>
      <w:tblGrid>
        <w:gridCol w:w="1040"/>
        <w:gridCol w:w="2878"/>
        <w:gridCol w:w="1653"/>
        <w:gridCol w:w="1654"/>
        <w:gridCol w:w="1654"/>
        <w:gridCol w:w="1843"/>
      </w:tblGrid>
      <w:tr w:rsidR="00BB70A6" w:rsidRPr="00D70D7C" w14:paraId="76C1AEA3" w14:textId="77777777" w:rsidTr="00D70D7C">
        <w:trPr>
          <w:trHeight w:val="240"/>
          <w:jc w:val="center"/>
        </w:trPr>
        <w:tc>
          <w:tcPr>
            <w:tcW w:w="3918" w:type="dxa"/>
            <w:gridSpan w:val="2"/>
            <w:shd w:val="clear" w:color="auto" w:fill="auto"/>
          </w:tcPr>
          <w:p w14:paraId="7F92BD50" w14:textId="77777777" w:rsidR="00BB70A6" w:rsidRPr="00D70D7C" w:rsidRDefault="00BB70A6" w:rsidP="0089179A">
            <w:pPr>
              <w:spacing w:after="60"/>
              <w:jc w:val="left"/>
              <w:rPr>
                <w:b/>
                <w:sz w:val="18"/>
                <w:szCs w:val="18"/>
              </w:rPr>
            </w:pPr>
            <w:r w:rsidRPr="00D70D7C">
              <w:rPr>
                <w:b/>
                <w:sz w:val="18"/>
                <w:szCs w:val="18"/>
              </w:rPr>
              <w:t>(V) PLAN D’ACTIVITÉS</w:t>
            </w:r>
          </w:p>
        </w:tc>
        <w:tc>
          <w:tcPr>
            <w:tcW w:w="1653" w:type="dxa"/>
            <w:shd w:val="clear" w:color="auto" w:fill="auto"/>
          </w:tcPr>
          <w:p w14:paraId="3B759B1A" w14:textId="20F8CEA5" w:rsidR="00BB70A6" w:rsidRPr="00D70D7C" w:rsidRDefault="00BB70A6" w:rsidP="0089179A">
            <w:pPr>
              <w:spacing w:after="60"/>
              <w:jc w:val="center"/>
              <w:rPr>
                <w:b/>
                <w:sz w:val="18"/>
                <w:szCs w:val="18"/>
              </w:rPr>
            </w:pPr>
            <w:r w:rsidRPr="00D70D7C">
              <w:rPr>
                <w:b/>
                <w:sz w:val="18"/>
                <w:szCs w:val="18"/>
              </w:rPr>
              <w:t>2021</w:t>
            </w:r>
          </w:p>
        </w:tc>
        <w:tc>
          <w:tcPr>
            <w:tcW w:w="1654" w:type="dxa"/>
            <w:shd w:val="clear" w:color="auto" w:fill="auto"/>
          </w:tcPr>
          <w:p w14:paraId="29CC03CC" w14:textId="0B750048" w:rsidR="00BB70A6" w:rsidRPr="00D70D7C" w:rsidRDefault="00BB70A6" w:rsidP="0089179A">
            <w:pPr>
              <w:spacing w:after="60"/>
              <w:jc w:val="center"/>
              <w:rPr>
                <w:b/>
                <w:sz w:val="18"/>
                <w:szCs w:val="18"/>
              </w:rPr>
            </w:pPr>
            <w:r w:rsidRPr="00D70D7C">
              <w:rPr>
                <w:b/>
                <w:sz w:val="18"/>
                <w:szCs w:val="18"/>
              </w:rPr>
              <w:t>2022</w:t>
            </w:r>
          </w:p>
        </w:tc>
        <w:tc>
          <w:tcPr>
            <w:tcW w:w="1654" w:type="dxa"/>
            <w:shd w:val="clear" w:color="auto" w:fill="auto"/>
          </w:tcPr>
          <w:p w14:paraId="12BA6A4D" w14:textId="4117A983" w:rsidR="00BB70A6" w:rsidRPr="00D70D7C" w:rsidRDefault="00BB70A6" w:rsidP="0089179A">
            <w:pPr>
              <w:spacing w:after="60"/>
              <w:jc w:val="center"/>
              <w:rPr>
                <w:b/>
                <w:sz w:val="18"/>
                <w:szCs w:val="18"/>
              </w:rPr>
            </w:pPr>
            <w:r w:rsidRPr="00D70D7C">
              <w:rPr>
                <w:b/>
                <w:sz w:val="18"/>
                <w:szCs w:val="18"/>
              </w:rPr>
              <w:t>2023</w:t>
            </w:r>
          </w:p>
        </w:tc>
        <w:tc>
          <w:tcPr>
            <w:tcW w:w="1843" w:type="dxa"/>
            <w:shd w:val="clear" w:color="auto" w:fill="auto"/>
          </w:tcPr>
          <w:p w14:paraId="148CC080" w14:textId="25E4CDE7" w:rsidR="00BB70A6" w:rsidRPr="00D70D7C" w:rsidRDefault="00BB70A6" w:rsidP="0089179A">
            <w:pPr>
              <w:spacing w:after="60"/>
              <w:jc w:val="center"/>
              <w:rPr>
                <w:b/>
                <w:sz w:val="18"/>
                <w:szCs w:val="18"/>
              </w:rPr>
            </w:pPr>
            <w:r w:rsidRPr="00D70D7C">
              <w:rPr>
                <w:b/>
                <w:sz w:val="18"/>
                <w:szCs w:val="18"/>
              </w:rPr>
              <w:t>Total</w:t>
            </w:r>
          </w:p>
        </w:tc>
      </w:tr>
      <w:tr w:rsidR="00BB70A6" w:rsidRPr="00D70D7C" w14:paraId="3C31BF11" w14:textId="77777777" w:rsidTr="00D70D7C">
        <w:trPr>
          <w:trHeight w:val="240"/>
          <w:jc w:val="center"/>
        </w:trPr>
        <w:tc>
          <w:tcPr>
            <w:tcW w:w="1040" w:type="dxa"/>
            <w:vMerge w:val="restart"/>
            <w:shd w:val="clear" w:color="auto" w:fill="auto"/>
          </w:tcPr>
          <w:p w14:paraId="7F558FA2" w14:textId="77777777" w:rsidR="00BB70A6" w:rsidRPr="00D70D7C" w:rsidRDefault="00BB70A6" w:rsidP="0089179A">
            <w:pPr>
              <w:spacing w:after="60"/>
              <w:jc w:val="center"/>
              <w:rPr>
                <w:sz w:val="18"/>
                <w:szCs w:val="18"/>
              </w:rPr>
            </w:pPr>
            <w:r w:rsidRPr="00D70D7C">
              <w:rPr>
                <w:sz w:val="18"/>
                <w:szCs w:val="18"/>
              </w:rPr>
              <w:t>Banque mondiale</w:t>
            </w:r>
          </w:p>
        </w:tc>
        <w:tc>
          <w:tcPr>
            <w:tcW w:w="2878" w:type="dxa"/>
            <w:shd w:val="clear" w:color="auto" w:fill="auto"/>
          </w:tcPr>
          <w:p w14:paraId="107433C3" w14:textId="77777777" w:rsidR="00BB70A6" w:rsidRPr="00D70D7C" w:rsidRDefault="00BB70A6" w:rsidP="0089179A">
            <w:pPr>
              <w:spacing w:after="60"/>
              <w:jc w:val="left"/>
              <w:rPr>
                <w:sz w:val="18"/>
                <w:szCs w:val="18"/>
              </w:rPr>
            </w:pPr>
            <w:r w:rsidRPr="00D70D7C">
              <w:rPr>
                <w:sz w:val="18"/>
                <w:szCs w:val="18"/>
              </w:rPr>
              <w:t>Élimination des SAO (tonnes PAO)</w:t>
            </w:r>
          </w:p>
        </w:tc>
        <w:tc>
          <w:tcPr>
            <w:tcW w:w="1653" w:type="dxa"/>
            <w:shd w:val="clear" w:color="auto" w:fill="auto"/>
          </w:tcPr>
          <w:p w14:paraId="54F287B2" w14:textId="4749DEA2" w:rsidR="00BB70A6" w:rsidRPr="00D70D7C" w:rsidRDefault="00BB70A6" w:rsidP="0089179A">
            <w:pPr>
              <w:spacing w:after="60"/>
              <w:jc w:val="right"/>
              <w:rPr>
                <w:sz w:val="18"/>
                <w:szCs w:val="18"/>
              </w:rPr>
            </w:pPr>
            <w:r w:rsidRPr="00D70D7C">
              <w:rPr>
                <w:sz w:val="18"/>
                <w:szCs w:val="18"/>
              </w:rPr>
              <w:t>33,93</w:t>
            </w:r>
          </w:p>
        </w:tc>
        <w:tc>
          <w:tcPr>
            <w:tcW w:w="1654" w:type="dxa"/>
            <w:shd w:val="clear" w:color="auto" w:fill="auto"/>
          </w:tcPr>
          <w:p w14:paraId="774C98EB" w14:textId="4706E5DF" w:rsidR="00BB70A6" w:rsidRPr="00D70D7C" w:rsidRDefault="00BB70A6" w:rsidP="0089179A">
            <w:pPr>
              <w:spacing w:after="60"/>
              <w:jc w:val="right"/>
              <w:rPr>
                <w:sz w:val="18"/>
                <w:szCs w:val="18"/>
              </w:rPr>
            </w:pPr>
            <w:r w:rsidRPr="00D70D7C">
              <w:rPr>
                <w:sz w:val="18"/>
                <w:szCs w:val="18"/>
              </w:rPr>
              <w:t>39,42</w:t>
            </w:r>
          </w:p>
        </w:tc>
        <w:tc>
          <w:tcPr>
            <w:tcW w:w="1654" w:type="dxa"/>
            <w:shd w:val="clear" w:color="auto" w:fill="auto"/>
          </w:tcPr>
          <w:p w14:paraId="509366BB" w14:textId="0743839C" w:rsidR="00BB70A6" w:rsidRPr="00D70D7C" w:rsidRDefault="00BB70A6" w:rsidP="0089179A">
            <w:pPr>
              <w:spacing w:after="60"/>
              <w:jc w:val="right"/>
              <w:rPr>
                <w:sz w:val="18"/>
                <w:szCs w:val="18"/>
              </w:rPr>
            </w:pPr>
            <w:r w:rsidRPr="00D70D7C">
              <w:rPr>
                <w:sz w:val="18"/>
                <w:szCs w:val="18"/>
              </w:rPr>
              <w:t>26,28</w:t>
            </w:r>
          </w:p>
        </w:tc>
        <w:tc>
          <w:tcPr>
            <w:tcW w:w="1843" w:type="dxa"/>
            <w:shd w:val="clear" w:color="auto" w:fill="auto"/>
          </w:tcPr>
          <w:p w14:paraId="41D8FB69" w14:textId="0C920129" w:rsidR="00BB70A6" w:rsidRPr="00D70D7C" w:rsidRDefault="00BB70A6" w:rsidP="002F0834">
            <w:pPr>
              <w:spacing w:after="60"/>
              <w:jc w:val="right"/>
              <w:rPr>
                <w:sz w:val="18"/>
                <w:szCs w:val="18"/>
              </w:rPr>
            </w:pPr>
            <w:r w:rsidRPr="00D70D7C">
              <w:rPr>
                <w:sz w:val="18"/>
                <w:szCs w:val="18"/>
              </w:rPr>
              <w:fldChar w:fldCharType="begin"/>
            </w:r>
            <w:r w:rsidRPr="00D70D7C">
              <w:rPr>
                <w:sz w:val="18"/>
                <w:szCs w:val="18"/>
              </w:rPr>
              <w:instrText xml:space="preserve"> =SUM(LEFT) </w:instrText>
            </w:r>
            <w:r w:rsidRPr="00D70D7C">
              <w:rPr>
                <w:sz w:val="18"/>
                <w:szCs w:val="18"/>
              </w:rPr>
              <w:fldChar w:fldCharType="separate"/>
            </w:r>
            <w:r w:rsidRPr="00D70D7C">
              <w:rPr>
                <w:sz w:val="18"/>
                <w:szCs w:val="18"/>
              </w:rPr>
              <w:t>99</w:t>
            </w:r>
            <w:r w:rsidR="002F0834">
              <w:rPr>
                <w:sz w:val="18"/>
                <w:szCs w:val="18"/>
              </w:rPr>
              <w:t>,</w:t>
            </w:r>
            <w:r w:rsidRPr="00D70D7C">
              <w:rPr>
                <w:sz w:val="18"/>
                <w:szCs w:val="18"/>
              </w:rPr>
              <w:t>63</w:t>
            </w:r>
            <w:r w:rsidRPr="00D70D7C">
              <w:rPr>
                <w:sz w:val="18"/>
                <w:szCs w:val="18"/>
              </w:rPr>
              <w:fldChar w:fldCharType="end"/>
            </w:r>
          </w:p>
        </w:tc>
      </w:tr>
      <w:tr w:rsidR="00BB70A6" w:rsidRPr="00D70D7C" w14:paraId="55FB9D06" w14:textId="77777777" w:rsidTr="00D70D7C">
        <w:trPr>
          <w:trHeight w:val="240"/>
          <w:jc w:val="center"/>
        </w:trPr>
        <w:tc>
          <w:tcPr>
            <w:tcW w:w="1040" w:type="dxa"/>
            <w:vMerge/>
            <w:shd w:val="clear" w:color="auto" w:fill="auto"/>
          </w:tcPr>
          <w:p w14:paraId="5B7BB36F" w14:textId="77777777" w:rsidR="00BB70A6" w:rsidRPr="00D70D7C" w:rsidRDefault="00BB70A6" w:rsidP="0089179A">
            <w:pPr>
              <w:spacing w:after="60"/>
              <w:jc w:val="center"/>
              <w:rPr>
                <w:sz w:val="18"/>
                <w:szCs w:val="18"/>
              </w:rPr>
            </w:pPr>
          </w:p>
        </w:tc>
        <w:tc>
          <w:tcPr>
            <w:tcW w:w="2878" w:type="dxa"/>
            <w:shd w:val="clear" w:color="auto" w:fill="auto"/>
          </w:tcPr>
          <w:p w14:paraId="339F955F" w14:textId="219F039F" w:rsidR="00BB70A6" w:rsidRPr="00D70D7C" w:rsidRDefault="00BB70A6" w:rsidP="0089179A">
            <w:pPr>
              <w:spacing w:after="60"/>
              <w:jc w:val="left"/>
              <w:rPr>
                <w:sz w:val="18"/>
                <w:szCs w:val="18"/>
              </w:rPr>
            </w:pPr>
            <w:r w:rsidRPr="00D70D7C">
              <w:rPr>
                <w:sz w:val="18"/>
                <w:szCs w:val="18"/>
              </w:rPr>
              <w:t>Financement ($ US)</w:t>
            </w:r>
          </w:p>
        </w:tc>
        <w:tc>
          <w:tcPr>
            <w:tcW w:w="1653" w:type="dxa"/>
            <w:shd w:val="clear" w:color="auto" w:fill="auto"/>
          </w:tcPr>
          <w:p w14:paraId="0C323482" w14:textId="7439B222" w:rsidR="00BB70A6" w:rsidRPr="00D70D7C" w:rsidRDefault="00BB70A6" w:rsidP="0089179A">
            <w:pPr>
              <w:spacing w:after="60"/>
              <w:jc w:val="right"/>
              <w:rPr>
                <w:sz w:val="18"/>
                <w:szCs w:val="18"/>
              </w:rPr>
            </w:pPr>
            <w:r w:rsidRPr="00D70D7C">
              <w:rPr>
                <w:sz w:val="18"/>
                <w:szCs w:val="18"/>
              </w:rPr>
              <w:t>4 045 945</w:t>
            </w:r>
          </w:p>
        </w:tc>
        <w:tc>
          <w:tcPr>
            <w:tcW w:w="1654" w:type="dxa"/>
            <w:shd w:val="clear" w:color="auto" w:fill="auto"/>
          </w:tcPr>
          <w:p w14:paraId="7D150E47" w14:textId="7A0AD0F4" w:rsidR="00BB70A6" w:rsidRPr="00D70D7C" w:rsidRDefault="00BB70A6" w:rsidP="0089179A">
            <w:pPr>
              <w:spacing w:after="60"/>
              <w:jc w:val="right"/>
              <w:rPr>
                <w:sz w:val="18"/>
                <w:szCs w:val="18"/>
              </w:rPr>
            </w:pPr>
            <w:r w:rsidRPr="00D70D7C">
              <w:rPr>
                <w:sz w:val="18"/>
                <w:szCs w:val="18"/>
              </w:rPr>
              <w:t>4 700 992</w:t>
            </w:r>
          </w:p>
        </w:tc>
        <w:tc>
          <w:tcPr>
            <w:tcW w:w="1654" w:type="dxa"/>
            <w:shd w:val="clear" w:color="auto" w:fill="auto"/>
          </w:tcPr>
          <w:p w14:paraId="2BD1BCB2" w14:textId="5BE6C22C" w:rsidR="00BB70A6" w:rsidRPr="00D70D7C" w:rsidRDefault="00BB70A6" w:rsidP="0089179A">
            <w:pPr>
              <w:spacing w:after="60"/>
              <w:jc w:val="right"/>
              <w:rPr>
                <w:sz w:val="18"/>
                <w:szCs w:val="18"/>
              </w:rPr>
            </w:pPr>
            <w:r w:rsidRPr="00D70D7C">
              <w:rPr>
                <w:sz w:val="18"/>
                <w:szCs w:val="18"/>
              </w:rPr>
              <w:t>3 133 995</w:t>
            </w:r>
          </w:p>
        </w:tc>
        <w:tc>
          <w:tcPr>
            <w:tcW w:w="1843" w:type="dxa"/>
            <w:shd w:val="clear" w:color="auto" w:fill="auto"/>
          </w:tcPr>
          <w:p w14:paraId="2840B8BB" w14:textId="67D24E13" w:rsidR="00BB70A6" w:rsidRPr="00D70D7C" w:rsidRDefault="00BB70A6" w:rsidP="0089179A">
            <w:pPr>
              <w:spacing w:after="60"/>
              <w:jc w:val="right"/>
              <w:rPr>
                <w:sz w:val="18"/>
                <w:szCs w:val="18"/>
              </w:rPr>
            </w:pPr>
            <w:r w:rsidRPr="00D70D7C">
              <w:rPr>
                <w:sz w:val="18"/>
                <w:szCs w:val="18"/>
              </w:rPr>
              <w:fldChar w:fldCharType="begin"/>
            </w:r>
            <w:r w:rsidRPr="00D70D7C">
              <w:rPr>
                <w:sz w:val="18"/>
                <w:szCs w:val="18"/>
              </w:rPr>
              <w:instrText xml:space="preserve"> =SUM(left) </w:instrText>
            </w:r>
            <w:r w:rsidRPr="00D70D7C">
              <w:rPr>
                <w:sz w:val="18"/>
                <w:szCs w:val="18"/>
              </w:rPr>
              <w:fldChar w:fldCharType="separate"/>
            </w:r>
            <w:r w:rsidR="002F0834">
              <w:rPr>
                <w:sz w:val="18"/>
                <w:szCs w:val="18"/>
              </w:rPr>
              <w:t xml:space="preserve">11 880 </w:t>
            </w:r>
            <w:r w:rsidRPr="00D70D7C">
              <w:rPr>
                <w:sz w:val="18"/>
                <w:szCs w:val="18"/>
              </w:rPr>
              <w:t>932</w:t>
            </w:r>
            <w:r w:rsidRPr="00D70D7C">
              <w:rPr>
                <w:sz w:val="18"/>
                <w:szCs w:val="18"/>
              </w:rPr>
              <w:fldChar w:fldCharType="end"/>
            </w:r>
          </w:p>
        </w:tc>
      </w:tr>
      <w:tr w:rsidR="00BB70A6" w:rsidRPr="00D70D7C" w14:paraId="0170351B" w14:textId="77777777" w:rsidTr="00D70D7C">
        <w:trPr>
          <w:trHeight w:val="240"/>
          <w:jc w:val="center"/>
        </w:trPr>
        <w:tc>
          <w:tcPr>
            <w:tcW w:w="1040" w:type="dxa"/>
            <w:vMerge w:val="restart"/>
            <w:shd w:val="clear" w:color="auto" w:fill="auto"/>
          </w:tcPr>
          <w:p w14:paraId="30C3C6C6" w14:textId="77777777" w:rsidR="00BB70A6" w:rsidRPr="00D70D7C" w:rsidRDefault="00BB70A6" w:rsidP="0089179A">
            <w:pPr>
              <w:spacing w:after="60"/>
              <w:jc w:val="center"/>
              <w:rPr>
                <w:sz w:val="18"/>
                <w:szCs w:val="18"/>
              </w:rPr>
            </w:pPr>
            <w:r w:rsidRPr="00D70D7C">
              <w:rPr>
                <w:sz w:val="18"/>
                <w:szCs w:val="18"/>
              </w:rPr>
              <w:t>Japon</w:t>
            </w:r>
          </w:p>
        </w:tc>
        <w:tc>
          <w:tcPr>
            <w:tcW w:w="2878" w:type="dxa"/>
            <w:shd w:val="clear" w:color="auto" w:fill="auto"/>
          </w:tcPr>
          <w:p w14:paraId="61AD5A5E" w14:textId="77777777" w:rsidR="00BB70A6" w:rsidRPr="00D70D7C" w:rsidRDefault="00BB70A6" w:rsidP="0089179A">
            <w:pPr>
              <w:spacing w:after="60"/>
              <w:jc w:val="left"/>
              <w:rPr>
                <w:sz w:val="18"/>
                <w:szCs w:val="18"/>
              </w:rPr>
            </w:pPr>
            <w:r w:rsidRPr="00D70D7C">
              <w:rPr>
                <w:sz w:val="18"/>
                <w:szCs w:val="18"/>
              </w:rPr>
              <w:t>Élimination des SAO (tonnes PAO)</w:t>
            </w:r>
          </w:p>
        </w:tc>
        <w:tc>
          <w:tcPr>
            <w:tcW w:w="1653" w:type="dxa"/>
            <w:shd w:val="clear" w:color="auto" w:fill="auto"/>
          </w:tcPr>
          <w:p w14:paraId="5270AA14" w14:textId="3C67DC86" w:rsidR="00BB70A6" w:rsidRPr="00D70D7C" w:rsidRDefault="00BB70A6" w:rsidP="0089179A">
            <w:pPr>
              <w:spacing w:after="60"/>
              <w:jc w:val="right"/>
              <w:rPr>
                <w:sz w:val="18"/>
                <w:szCs w:val="18"/>
              </w:rPr>
            </w:pPr>
            <w:r w:rsidRPr="00D70D7C">
              <w:rPr>
                <w:sz w:val="18"/>
                <w:szCs w:val="18"/>
              </w:rPr>
              <w:t>0,24</w:t>
            </w:r>
          </w:p>
        </w:tc>
        <w:tc>
          <w:tcPr>
            <w:tcW w:w="1654" w:type="dxa"/>
            <w:shd w:val="clear" w:color="auto" w:fill="auto"/>
          </w:tcPr>
          <w:p w14:paraId="4739AA9D" w14:textId="77777777" w:rsidR="00BB70A6" w:rsidRPr="00D70D7C" w:rsidRDefault="00BB70A6" w:rsidP="0089179A">
            <w:pPr>
              <w:spacing w:after="60"/>
              <w:jc w:val="right"/>
              <w:rPr>
                <w:sz w:val="18"/>
                <w:szCs w:val="18"/>
              </w:rPr>
            </w:pPr>
            <w:r w:rsidRPr="00D70D7C">
              <w:rPr>
                <w:sz w:val="18"/>
                <w:szCs w:val="18"/>
              </w:rPr>
              <w:t>0</w:t>
            </w:r>
          </w:p>
        </w:tc>
        <w:tc>
          <w:tcPr>
            <w:tcW w:w="1654" w:type="dxa"/>
            <w:shd w:val="clear" w:color="auto" w:fill="auto"/>
          </w:tcPr>
          <w:p w14:paraId="0A5331B7" w14:textId="77777777" w:rsidR="00BB70A6" w:rsidRPr="00D70D7C" w:rsidRDefault="00BB70A6" w:rsidP="0089179A">
            <w:pPr>
              <w:spacing w:after="60"/>
              <w:jc w:val="right"/>
              <w:rPr>
                <w:sz w:val="18"/>
                <w:szCs w:val="18"/>
              </w:rPr>
            </w:pPr>
            <w:r w:rsidRPr="00D70D7C">
              <w:rPr>
                <w:sz w:val="18"/>
                <w:szCs w:val="18"/>
              </w:rPr>
              <w:t>0</w:t>
            </w:r>
          </w:p>
        </w:tc>
        <w:tc>
          <w:tcPr>
            <w:tcW w:w="1843" w:type="dxa"/>
            <w:shd w:val="clear" w:color="auto" w:fill="auto"/>
          </w:tcPr>
          <w:p w14:paraId="34A6E371" w14:textId="45950D97" w:rsidR="00BB70A6" w:rsidRPr="00D70D7C" w:rsidRDefault="00BB70A6" w:rsidP="0089179A">
            <w:pPr>
              <w:spacing w:after="60"/>
              <w:jc w:val="right"/>
              <w:rPr>
                <w:sz w:val="18"/>
                <w:szCs w:val="18"/>
              </w:rPr>
            </w:pPr>
            <w:r w:rsidRPr="00D70D7C">
              <w:rPr>
                <w:sz w:val="18"/>
                <w:szCs w:val="18"/>
              </w:rPr>
              <w:t>0,24</w:t>
            </w:r>
          </w:p>
        </w:tc>
      </w:tr>
      <w:tr w:rsidR="00BB70A6" w:rsidRPr="00D70D7C" w14:paraId="527889D7" w14:textId="77777777" w:rsidTr="00D70D7C">
        <w:trPr>
          <w:trHeight w:val="240"/>
          <w:jc w:val="center"/>
        </w:trPr>
        <w:tc>
          <w:tcPr>
            <w:tcW w:w="1040" w:type="dxa"/>
            <w:vMerge/>
            <w:shd w:val="clear" w:color="auto" w:fill="auto"/>
          </w:tcPr>
          <w:p w14:paraId="48B1F21F" w14:textId="77777777" w:rsidR="00BB70A6" w:rsidRPr="00D70D7C" w:rsidRDefault="00BB70A6" w:rsidP="0089179A">
            <w:pPr>
              <w:spacing w:after="60"/>
              <w:jc w:val="center"/>
              <w:rPr>
                <w:sz w:val="18"/>
                <w:szCs w:val="18"/>
              </w:rPr>
            </w:pPr>
          </w:p>
        </w:tc>
        <w:tc>
          <w:tcPr>
            <w:tcW w:w="2878" w:type="dxa"/>
            <w:shd w:val="clear" w:color="auto" w:fill="auto"/>
          </w:tcPr>
          <w:p w14:paraId="6DA27AA2" w14:textId="6F0492D5" w:rsidR="00BB70A6" w:rsidRPr="00D70D7C" w:rsidRDefault="00BB70A6" w:rsidP="0089179A">
            <w:pPr>
              <w:spacing w:after="60"/>
              <w:jc w:val="left"/>
              <w:rPr>
                <w:sz w:val="18"/>
                <w:szCs w:val="18"/>
              </w:rPr>
            </w:pPr>
            <w:r w:rsidRPr="00D70D7C">
              <w:rPr>
                <w:sz w:val="18"/>
                <w:szCs w:val="18"/>
              </w:rPr>
              <w:t>Financement ($ US)</w:t>
            </w:r>
          </w:p>
        </w:tc>
        <w:tc>
          <w:tcPr>
            <w:tcW w:w="1653" w:type="dxa"/>
            <w:shd w:val="clear" w:color="auto" w:fill="auto"/>
          </w:tcPr>
          <w:p w14:paraId="0D478953" w14:textId="31780337" w:rsidR="00BB70A6" w:rsidRPr="00D70D7C" w:rsidRDefault="00BB70A6" w:rsidP="0089179A">
            <w:pPr>
              <w:spacing w:after="60"/>
              <w:jc w:val="right"/>
              <w:rPr>
                <w:sz w:val="18"/>
                <w:szCs w:val="18"/>
              </w:rPr>
            </w:pPr>
            <w:r w:rsidRPr="00D70D7C">
              <w:rPr>
                <w:sz w:val="18"/>
                <w:szCs w:val="18"/>
              </w:rPr>
              <w:t>29 832</w:t>
            </w:r>
          </w:p>
        </w:tc>
        <w:tc>
          <w:tcPr>
            <w:tcW w:w="1654" w:type="dxa"/>
            <w:shd w:val="clear" w:color="auto" w:fill="auto"/>
          </w:tcPr>
          <w:p w14:paraId="0C6BDAFF" w14:textId="77777777" w:rsidR="00BB70A6" w:rsidRPr="00D70D7C" w:rsidRDefault="00BB70A6" w:rsidP="0089179A">
            <w:pPr>
              <w:spacing w:after="60"/>
              <w:jc w:val="right"/>
              <w:rPr>
                <w:sz w:val="18"/>
                <w:szCs w:val="18"/>
              </w:rPr>
            </w:pPr>
            <w:r w:rsidRPr="00D70D7C">
              <w:rPr>
                <w:sz w:val="18"/>
                <w:szCs w:val="18"/>
              </w:rPr>
              <w:t>0</w:t>
            </w:r>
          </w:p>
        </w:tc>
        <w:tc>
          <w:tcPr>
            <w:tcW w:w="1654" w:type="dxa"/>
            <w:shd w:val="clear" w:color="auto" w:fill="auto"/>
          </w:tcPr>
          <w:p w14:paraId="20BD11B3" w14:textId="77777777" w:rsidR="00BB70A6" w:rsidRPr="00D70D7C" w:rsidRDefault="00BB70A6" w:rsidP="0089179A">
            <w:pPr>
              <w:spacing w:after="60"/>
              <w:jc w:val="right"/>
              <w:rPr>
                <w:sz w:val="18"/>
                <w:szCs w:val="18"/>
              </w:rPr>
            </w:pPr>
            <w:r w:rsidRPr="00D70D7C">
              <w:rPr>
                <w:sz w:val="18"/>
                <w:szCs w:val="18"/>
              </w:rPr>
              <w:t>0</w:t>
            </w:r>
          </w:p>
        </w:tc>
        <w:tc>
          <w:tcPr>
            <w:tcW w:w="1843" w:type="dxa"/>
            <w:shd w:val="clear" w:color="auto" w:fill="auto"/>
          </w:tcPr>
          <w:p w14:paraId="105CC830" w14:textId="2B6C1AF0" w:rsidR="00BB70A6" w:rsidRPr="00D70D7C" w:rsidRDefault="00BB70A6" w:rsidP="0089179A">
            <w:pPr>
              <w:spacing w:after="60"/>
              <w:jc w:val="right"/>
              <w:rPr>
                <w:sz w:val="18"/>
                <w:szCs w:val="18"/>
              </w:rPr>
            </w:pPr>
            <w:r w:rsidRPr="00D70D7C">
              <w:rPr>
                <w:sz w:val="18"/>
                <w:szCs w:val="18"/>
              </w:rPr>
              <w:fldChar w:fldCharType="begin"/>
            </w:r>
            <w:r w:rsidRPr="00D70D7C">
              <w:rPr>
                <w:sz w:val="18"/>
                <w:szCs w:val="18"/>
              </w:rPr>
              <w:instrText xml:space="preserve"> =SUM(left) </w:instrText>
            </w:r>
            <w:r w:rsidRPr="00D70D7C">
              <w:rPr>
                <w:sz w:val="18"/>
                <w:szCs w:val="18"/>
              </w:rPr>
              <w:fldChar w:fldCharType="separate"/>
            </w:r>
            <w:r w:rsidR="002F0834">
              <w:rPr>
                <w:sz w:val="18"/>
                <w:szCs w:val="18"/>
              </w:rPr>
              <w:t xml:space="preserve">29 </w:t>
            </w:r>
            <w:r w:rsidRPr="00D70D7C">
              <w:rPr>
                <w:sz w:val="18"/>
                <w:szCs w:val="18"/>
              </w:rPr>
              <w:t>832</w:t>
            </w:r>
            <w:r w:rsidRPr="00D70D7C">
              <w:rPr>
                <w:sz w:val="18"/>
                <w:szCs w:val="18"/>
              </w:rPr>
              <w:fldChar w:fldCharType="end"/>
            </w:r>
          </w:p>
        </w:tc>
      </w:tr>
    </w:tbl>
    <w:p w14:paraId="754CE3FB" w14:textId="77777777" w:rsidR="00D45250" w:rsidRPr="00D70D7C" w:rsidRDefault="00D45250" w:rsidP="00D45250">
      <w:pPr>
        <w:spacing w:after="60"/>
        <w:jc w:val="center"/>
        <w:rPr>
          <w:sz w:val="18"/>
          <w:szCs w:val="18"/>
        </w:rPr>
      </w:pPr>
    </w:p>
    <w:tbl>
      <w:tblPr>
        <w:tblStyle w:val="TableGrid"/>
        <w:tblW w:w="10907" w:type="dxa"/>
        <w:jc w:val="center"/>
        <w:tblLayout w:type="fixed"/>
        <w:tblLook w:val="04A0" w:firstRow="1" w:lastRow="0" w:firstColumn="1" w:lastColumn="0" w:noHBand="0" w:noVBand="1"/>
      </w:tblPr>
      <w:tblGrid>
        <w:gridCol w:w="1126"/>
        <w:gridCol w:w="1034"/>
        <w:gridCol w:w="1376"/>
        <w:gridCol w:w="992"/>
        <w:gridCol w:w="992"/>
        <w:gridCol w:w="992"/>
        <w:gridCol w:w="1134"/>
        <w:gridCol w:w="944"/>
        <w:gridCol w:w="1162"/>
        <w:gridCol w:w="1155"/>
      </w:tblGrid>
      <w:tr w:rsidR="00D45250" w:rsidRPr="00D70D7C" w14:paraId="478DF3A3" w14:textId="77777777" w:rsidTr="00D70D7C">
        <w:trPr>
          <w:jc w:val="center"/>
        </w:trPr>
        <w:tc>
          <w:tcPr>
            <w:tcW w:w="3536" w:type="dxa"/>
            <w:gridSpan w:val="3"/>
            <w:shd w:val="clear" w:color="auto" w:fill="auto"/>
          </w:tcPr>
          <w:p w14:paraId="21D2FD16" w14:textId="77777777" w:rsidR="00D45250" w:rsidRPr="00D70D7C" w:rsidRDefault="00D45250" w:rsidP="0089179A">
            <w:pPr>
              <w:spacing w:after="60"/>
              <w:jc w:val="left"/>
              <w:rPr>
                <w:b/>
                <w:sz w:val="18"/>
                <w:szCs w:val="18"/>
              </w:rPr>
            </w:pPr>
            <w:r w:rsidRPr="00D70D7C">
              <w:rPr>
                <w:b/>
                <w:sz w:val="18"/>
                <w:szCs w:val="18"/>
              </w:rPr>
              <w:t>(VI) DONNÉES DU PROJET</w:t>
            </w:r>
          </w:p>
        </w:tc>
        <w:tc>
          <w:tcPr>
            <w:tcW w:w="992" w:type="dxa"/>
            <w:shd w:val="clear" w:color="auto" w:fill="auto"/>
          </w:tcPr>
          <w:p w14:paraId="3643F3DC" w14:textId="77777777" w:rsidR="00D45250" w:rsidRPr="00D70D7C" w:rsidRDefault="00D45250" w:rsidP="0089179A">
            <w:pPr>
              <w:spacing w:after="60"/>
              <w:jc w:val="center"/>
              <w:rPr>
                <w:b/>
                <w:sz w:val="18"/>
                <w:szCs w:val="18"/>
              </w:rPr>
            </w:pPr>
            <w:r w:rsidRPr="00D70D7C">
              <w:rPr>
                <w:b/>
                <w:sz w:val="18"/>
                <w:szCs w:val="18"/>
              </w:rPr>
              <w:t>2016*</w:t>
            </w:r>
          </w:p>
        </w:tc>
        <w:tc>
          <w:tcPr>
            <w:tcW w:w="992" w:type="dxa"/>
            <w:shd w:val="clear" w:color="auto" w:fill="auto"/>
          </w:tcPr>
          <w:p w14:paraId="67EF019B" w14:textId="77777777" w:rsidR="00D45250" w:rsidRPr="00D70D7C" w:rsidRDefault="00D45250" w:rsidP="0089179A">
            <w:pPr>
              <w:spacing w:after="60"/>
              <w:jc w:val="center"/>
              <w:rPr>
                <w:b/>
                <w:sz w:val="18"/>
                <w:szCs w:val="18"/>
              </w:rPr>
            </w:pPr>
            <w:r w:rsidRPr="00D70D7C">
              <w:rPr>
                <w:b/>
                <w:sz w:val="18"/>
                <w:szCs w:val="18"/>
              </w:rPr>
              <w:t>2017</w:t>
            </w:r>
          </w:p>
        </w:tc>
        <w:tc>
          <w:tcPr>
            <w:tcW w:w="992" w:type="dxa"/>
            <w:shd w:val="clear" w:color="auto" w:fill="auto"/>
          </w:tcPr>
          <w:p w14:paraId="571D8A79" w14:textId="77777777" w:rsidR="00D45250" w:rsidRPr="00D70D7C" w:rsidRDefault="00D45250" w:rsidP="0089179A">
            <w:pPr>
              <w:spacing w:after="60"/>
              <w:jc w:val="center"/>
              <w:rPr>
                <w:b/>
                <w:sz w:val="18"/>
                <w:szCs w:val="18"/>
              </w:rPr>
            </w:pPr>
            <w:r w:rsidRPr="00D70D7C">
              <w:rPr>
                <w:b/>
                <w:sz w:val="18"/>
                <w:szCs w:val="18"/>
              </w:rPr>
              <w:t>2018</w:t>
            </w:r>
          </w:p>
        </w:tc>
        <w:tc>
          <w:tcPr>
            <w:tcW w:w="1134" w:type="dxa"/>
            <w:shd w:val="clear" w:color="auto" w:fill="auto"/>
          </w:tcPr>
          <w:p w14:paraId="235624C4" w14:textId="07A51A37" w:rsidR="00D45250" w:rsidRPr="00D70D7C" w:rsidRDefault="00D45250" w:rsidP="0089179A">
            <w:pPr>
              <w:spacing w:after="60"/>
              <w:jc w:val="center"/>
              <w:rPr>
                <w:b/>
                <w:sz w:val="18"/>
                <w:szCs w:val="18"/>
              </w:rPr>
            </w:pPr>
            <w:r w:rsidRPr="00D70D7C">
              <w:rPr>
                <w:b/>
                <w:sz w:val="18"/>
                <w:szCs w:val="18"/>
              </w:rPr>
              <w:t>2019</w:t>
            </w:r>
          </w:p>
        </w:tc>
        <w:tc>
          <w:tcPr>
            <w:tcW w:w="944" w:type="dxa"/>
            <w:shd w:val="clear" w:color="auto" w:fill="auto"/>
          </w:tcPr>
          <w:p w14:paraId="3ACD40C1" w14:textId="77777777" w:rsidR="00D45250" w:rsidRPr="00D70D7C" w:rsidRDefault="00D45250" w:rsidP="0089179A">
            <w:pPr>
              <w:spacing w:after="60"/>
              <w:jc w:val="center"/>
              <w:rPr>
                <w:b/>
                <w:sz w:val="18"/>
                <w:szCs w:val="18"/>
              </w:rPr>
            </w:pPr>
            <w:r w:rsidRPr="00D70D7C">
              <w:rPr>
                <w:b/>
                <w:sz w:val="18"/>
                <w:szCs w:val="18"/>
              </w:rPr>
              <w:t>2020</w:t>
            </w:r>
          </w:p>
        </w:tc>
        <w:tc>
          <w:tcPr>
            <w:tcW w:w="1162" w:type="dxa"/>
            <w:shd w:val="clear" w:color="auto" w:fill="auto"/>
          </w:tcPr>
          <w:p w14:paraId="6F3A05E0" w14:textId="173C89E8" w:rsidR="00D45250" w:rsidRPr="00D70D7C" w:rsidRDefault="00D45250" w:rsidP="0089179A">
            <w:pPr>
              <w:spacing w:after="60"/>
              <w:jc w:val="center"/>
              <w:rPr>
                <w:b/>
                <w:sz w:val="18"/>
                <w:szCs w:val="18"/>
              </w:rPr>
            </w:pPr>
            <w:r w:rsidRPr="00D70D7C">
              <w:rPr>
                <w:b/>
                <w:sz w:val="18"/>
                <w:szCs w:val="18"/>
              </w:rPr>
              <w:t>2021</w:t>
            </w:r>
          </w:p>
        </w:tc>
        <w:tc>
          <w:tcPr>
            <w:tcW w:w="1155" w:type="dxa"/>
            <w:shd w:val="clear" w:color="auto" w:fill="auto"/>
          </w:tcPr>
          <w:p w14:paraId="20005372" w14:textId="77777777" w:rsidR="00D45250" w:rsidRPr="00D70D7C" w:rsidRDefault="00D45250" w:rsidP="0089179A">
            <w:pPr>
              <w:spacing w:after="60"/>
              <w:jc w:val="center"/>
              <w:rPr>
                <w:b/>
                <w:sz w:val="18"/>
                <w:szCs w:val="18"/>
              </w:rPr>
            </w:pPr>
            <w:r w:rsidRPr="00D70D7C">
              <w:rPr>
                <w:b/>
                <w:sz w:val="18"/>
                <w:szCs w:val="18"/>
              </w:rPr>
              <w:t>Total</w:t>
            </w:r>
          </w:p>
        </w:tc>
      </w:tr>
      <w:tr w:rsidR="00D45250" w:rsidRPr="00D70D7C" w14:paraId="51DC30AA" w14:textId="77777777" w:rsidTr="00D70D7C">
        <w:trPr>
          <w:jc w:val="center"/>
        </w:trPr>
        <w:tc>
          <w:tcPr>
            <w:tcW w:w="3536" w:type="dxa"/>
            <w:gridSpan w:val="3"/>
            <w:shd w:val="clear" w:color="auto" w:fill="auto"/>
          </w:tcPr>
          <w:p w14:paraId="2BC88909" w14:textId="77777777" w:rsidR="00D45250" w:rsidRPr="00D70D7C" w:rsidRDefault="00D45250" w:rsidP="0089179A">
            <w:pPr>
              <w:spacing w:after="60"/>
              <w:jc w:val="left"/>
              <w:rPr>
                <w:sz w:val="18"/>
                <w:szCs w:val="18"/>
              </w:rPr>
            </w:pPr>
            <w:r w:rsidRPr="00D70D7C">
              <w:rPr>
                <w:sz w:val="18"/>
                <w:szCs w:val="18"/>
              </w:rPr>
              <w:t>Limites de consommation en vertu du Protocole de Montréal</w:t>
            </w:r>
          </w:p>
        </w:tc>
        <w:tc>
          <w:tcPr>
            <w:tcW w:w="992" w:type="dxa"/>
            <w:shd w:val="clear" w:color="auto" w:fill="auto"/>
          </w:tcPr>
          <w:p w14:paraId="473DE96C" w14:textId="77777777" w:rsidR="00D45250" w:rsidRPr="00D70D7C" w:rsidRDefault="00D45250" w:rsidP="0089179A">
            <w:pPr>
              <w:jc w:val="right"/>
              <w:rPr>
                <w:color w:val="000000"/>
                <w:sz w:val="18"/>
                <w:szCs w:val="18"/>
              </w:rPr>
            </w:pPr>
            <w:r w:rsidRPr="00D70D7C">
              <w:rPr>
                <w:color w:val="000000"/>
                <w:sz w:val="18"/>
                <w:szCs w:val="18"/>
              </w:rPr>
              <w:t>199,08</w:t>
            </w:r>
          </w:p>
        </w:tc>
        <w:tc>
          <w:tcPr>
            <w:tcW w:w="992" w:type="dxa"/>
            <w:shd w:val="clear" w:color="auto" w:fill="auto"/>
          </w:tcPr>
          <w:p w14:paraId="2D30B531" w14:textId="77777777" w:rsidR="00D45250" w:rsidRPr="00D70D7C" w:rsidRDefault="00D45250" w:rsidP="0089179A">
            <w:pPr>
              <w:jc w:val="right"/>
              <w:rPr>
                <w:color w:val="000000"/>
                <w:sz w:val="18"/>
                <w:szCs w:val="18"/>
              </w:rPr>
            </w:pPr>
            <w:r w:rsidRPr="00D70D7C">
              <w:rPr>
                <w:color w:val="000000"/>
                <w:sz w:val="18"/>
                <w:szCs w:val="18"/>
              </w:rPr>
              <w:t>199,08</w:t>
            </w:r>
          </w:p>
        </w:tc>
        <w:tc>
          <w:tcPr>
            <w:tcW w:w="992" w:type="dxa"/>
            <w:shd w:val="clear" w:color="auto" w:fill="auto"/>
          </w:tcPr>
          <w:p w14:paraId="40A3F44A" w14:textId="77777777" w:rsidR="00D45250" w:rsidRPr="00D70D7C" w:rsidRDefault="00D45250" w:rsidP="0089179A">
            <w:pPr>
              <w:jc w:val="right"/>
              <w:rPr>
                <w:color w:val="000000"/>
                <w:sz w:val="18"/>
                <w:szCs w:val="18"/>
              </w:rPr>
            </w:pPr>
            <w:r w:rsidRPr="00D70D7C">
              <w:rPr>
                <w:color w:val="000000"/>
                <w:sz w:val="18"/>
                <w:szCs w:val="18"/>
              </w:rPr>
              <w:t>199,08</w:t>
            </w:r>
          </w:p>
        </w:tc>
        <w:tc>
          <w:tcPr>
            <w:tcW w:w="1134" w:type="dxa"/>
            <w:shd w:val="clear" w:color="auto" w:fill="auto"/>
          </w:tcPr>
          <w:p w14:paraId="6CDF8C67" w14:textId="77777777" w:rsidR="00D45250" w:rsidRPr="00D70D7C" w:rsidRDefault="00D45250" w:rsidP="0089179A">
            <w:pPr>
              <w:jc w:val="right"/>
              <w:rPr>
                <w:color w:val="000000"/>
                <w:sz w:val="18"/>
                <w:szCs w:val="18"/>
              </w:rPr>
            </w:pPr>
            <w:r w:rsidRPr="00D70D7C">
              <w:rPr>
                <w:color w:val="000000"/>
                <w:sz w:val="18"/>
                <w:szCs w:val="18"/>
              </w:rPr>
              <w:t>199,08</w:t>
            </w:r>
          </w:p>
        </w:tc>
        <w:tc>
          <w:tcPr>
            <w:tcW w:w="944" w:type="dxa"/>
            <w:shd w:val="clear" w:color="auto" w:fill="auto"/>
          </w:tcPr>
          <w:p w14:paraId="571A3D3C" w14:textId="77777777" w:rsidR="00D45250" w:rsidRPr="00D70D7C" w:rsidRDefault="00D45250" w:rsidP="0089179A">
            <w:pPr>
              <w:jc w:val="right"/>
              <w:rPr>
                <w:color w:val="000000"/>
                <w:sz w:val="18"/>
                <w:szCs w:val="18"/>
              </w:rPr>
            </w:pPr>
            <w:r w:rsidRPr="00D70D7C">
              <w:rPr>
                <w:color w:val="000000"/>
                <w:sz w:val="18"/>
                <w:szCs w:val="18"/>
              </w:rPr>
              <w:t>143,78</w:t>
            </w:r>
          </w:p>
        </w:tc>
        <w:tc>
          <w:tcPr>
            <w:tcW w:w="1162" w:type="dxa"/>
            <w:shd w:val="clear" w:color="auto" w:fill="auto"/>
          </w:tcPr>
          <w:p w14:paraId="24ABFD57" w14:textId="77777777" w:rsidR="00D45250" w:rsidRPr="00D70D7C" w:rsidRDefault="00D45250" w:rsidP="0089179A">
            <w:pPr>
              <w:jc w:val="right"/>
              <w:rPr>
                <w:color w:val="000000"/>
                <w:sz w:val="18"/>
                <w:szCs w:val="18"/>
              </w:rPr>
            </w:pPr>
            <w:r w:rsidRPr="00D70D7C">
              <w:rPr>
                <w:color w:val="000000"/>
                <w:sz w:val="18"/>
                <w:szCs w:val="18"/>
              </w:rPr>
              <w:t>143,78</w:t>
            </w:r>
          </w:p>
        </w:tc>
        <w:tc>
          <w:tcPr>
            <w:tcW w:w="1155" w:type="dxa"/>
            <w:shd w:val="clear" w:color="auto" w:fill="auto"/>
          </w:tcPr>
          <w:p w14:paraId="7522C493" w14:textId="77777777" w:rsidR="00D45250" w:rsidRPr="00D70D7C" w:rsidRDefault="00D45250" w:rsidP="0089179A">
            <w:pPr>
              <w:spacing w:after="60"/>
              <w:jc w:val="center"/>
              <w:rPr>
                <w:sz w:val="18"/>
                <w:szCs w:val="18"/>
              </w:rPr>
            </w:pPr>
            <w:r w:rsidRPr="00D70D7C">
              <w:rPr>
                <w:sz w:val="18"/>
                <w:szCs w:val="18"/>
              </w:rPr>
              <w:t>s. o.</w:t>
            </w:r>
          </w:p>
        </w:tc>
      </w:tr>
      <w:tr w:rsidR="00D45250" w:rsidRPr="00D70D7C" w14:paraId="3FC54244" w14:textId="77777777" w:rsidTr="00D70D7C">
        <w:trPr>
          <w:jc w:val="center"/>
        </w:trPr>
        <w:tc>
          <w:tcPr>
            <w:tcW w:w="3536" w:type="dxa"/>
            <w:gridSpan w:val="3"/>
            <w:shd w:val="clear" w:color="auto" w:fill="auto"/>
          </w:tcPr>
          <w:p w14:paraId="0743CDF1" w14:textId="4D11B3CB" w:rsidR="00D45250" w:rsidRPr="00D70D7C" w:rsidRDefault="00D45250" w:rsidP="0089179A">
            <w:pPr>
              <w:spacing w:after="60"/>
              <w:jc w:val="left"/>
              <w:rPr>
                <w:sz w:val="18"/>
                <w:szCs w:val="18"/>
              </w:rPr>
            </w:pPr>
            <w:r w:rsidRPr="00D70D7C">
              <w:rPr>
                <w:sz w:val="18"/>
                <w:szCs w:val="18"/>
              </w:rPr>
              <w:t>Consommation maximale autorisée (tonnes PAO)</w:t>
            </w:r>
          </w:p>
        </w:tc>
        <w:tc>
          <w:tcPr>
            <w:tcW w:w="992" w:type="dxa"/>
            <w:shd w:val="clear" w:color="auto" w:fill="auto"/>
          </w:tcPr>
          <w:p w14:paraId="4F404468" w14:textId="77777777" w:rsidR="00D45250" w:rsidRPr="00D70D7C" w:rsidRDefault="00D45250" w:rsidP="0089179A">
            <w:pPr>
              <w:jc w:val="right"/>
              <w:rPr>
                <w:color w:val="000000"/>
                <w:sz w:val="18"/>
                <w:szCs w:val="18"/>
              </w:rPr>
            </w:pPr>
            <w:r w:rsidRPr="00D70D7C">
              <w:rPr>
                <w:color w:val="000000"/>
                <w:sz w:val="18"/>
                <w:szCs w:val="18"/>
              </w:rPr>
              <w:t>199,08</w:t>
            </w:r>
          </w:p>
        </w:tc>
        <w:tc>
          <w:tcPr>
            <w:tcW w:w="992" w:type="dxa"/>
            <w:shd w:val="clear" w:color="auto" w:fill="auto"/>
          </w:tcPr>
          <w:p w14:paraId="6F8D29E9" w14:textId="77777777" w:rsidR="00D45250" w:rsidRPr="00D70D7C" w:rsidRDefault="00D45250" w:rsidP="0089179A">
            <w:pPr>
              <w:jc w:val="right"/>
              <w:rPr>
                <w:color w:val="000000"/>
                <w:sz w:val="18"/>
                <w:szCs w:val="18"/>
              </w:rPr>
            </w:pPr>
            <w:r w:rsidRPr="00D70D7C">
              <w:rPr>
                <w:color w:val="000000"/>
                <w:sz w:val="18"/>
                <w:szCs w:val="18"/>
              </w:rPr>
              <w:t>199,08</w:t>
            </w:r>
          </w:p>
        </w:tc>
        <w:tc>
          <w:tcPr>
            <w:tcW w:w="992" w:type="dxa"/>
            <w:shd w:val="clear" w:color="auto" w:fill="auto"/>
          </w:tcPr>
          <w:p w14:paraId="158DD193" w14:textId="77777777" w:rsidR="00D45250" w:rsidRPr="00D70D7C" w:rsidRDefault="00D45250" w:rsidP="0089179A">
            <w:pPr>
              <w:jc w:val="right"/>
              <w:rPr>
                <w:color w:val="000000"/>
                <w:sz w:val="18"/>
                <w:szCs w:val="18"/>
              </w:rPr>
            </w:pPr>
            <w:r w:rsidRPr="00D70D7C">
              <w:rPr>
                <w:color w:val="000000"/>
                <w:sz w:val="18"/>
                <w:szCs w:val="18"/>
              </w:rPr>
              <w:t>199,08</w:t>
            </w:r>
          </w:p>
        </w:tc>
        <w:tc>
          <w:tcPr>
            <w:tcW w:w="1134" w:type="dxa"/>
            <w:shd w:val="clear" w:color="auto" w:fill="auto"/>
          </w:tcPr>
          <w:p w14:paraId="7CADA6AD" w14:textId="77777777" w:rsidR="00D45250" w:rsidRPr="00D70D7C" w:rsidRDefault="00D45250" w:rsidP="0089179A">
            <w:pPr>
              <w:jc w:val="right"/>
              <w:rPr>
                <w:color w:val="000000"/>
                <w:sz w:val="18"/>
                <w:szCs w:val="18"/>
              </w:rPr>
            </w:pPr>
            <w:r w:rsidRPr="00D70D7C">
              <w:rPr>
                <w:color w:val="000000"/>
                <w:sz w:val="18"/>
                <w:szCs w:val="18"/>
              </w:rPr>
              <w:t>199,08</w:t>
            </w:r>
          </w:p>
        </w:tc>
        <w:tc>
          <w:tcPr>
            <w:tcW w:w="944" w:type="dxa"/>
            <w:shd w:val="clear" w:color="auto" w:fill="auto"/>
          </w:tcPr>
          <w:p w14:paraId="2CE0367B" w14:textId="77777777" w:rsidR="00D45250" w:rsidRPr="00D70D7C" w:rsidRDefault="00D45250" w:rsidP="0089179A">
            <w:pPr>
              <w:jc w:val="right"/>
              <w:rPr>
                <w:color w:val="000000"/>
                <w:sz w:val="18"/>
                <w:szCs w:val="18"/>
              </w:rPr>
            </w:pPr>
            <w:r w:rsidRPr="00D70D7C">
              <w:rPr>
                <w:color w:val="000000"/>
                <w:sz w:val="18"/>
                <w:szCs w:val="18"/>
              </w:rPr>
              <w:t>143,78</w:t>
            </w:r>
          </w:p>
        </w:tc>
        <w:tc>
          <w:tcPr>
            <w:tcW w:w="1162" w:type="dxa"/>
            <w:shd w:val="clear" w:color="auto" w:fill="auto"/>
          </w:tcPr>
          <w:p w14:paraId="3096DB6F" w14:textId="77777777" w:rsidR="00D45250" w:rsidRPr="00D70D7C" w:rsidRDefault="00D45250" w:rsidP="0089179A">
            <w:pPr>
              <w:jc w:val="right"/>
              <w:rPr>
                <w:color w:val="000000"/>
                <w:sz w:val="18"/>
                <w:szCs w:val="18"/>
              </w:rPr>
            </w:pPr>
            <w:r w:rsidRPr="00D70D7C">
              <w:rPr>
                <w:color w:val="000000"/>
                <w:sz w:val="18"/>
                <w:szCs w:val="18"/>
              </w:rPr>
              <w:t>143,78</w:t>
            </w:r>
          </w:p>
        </w:tc>
        <w:tc>
          <w:tcPr>
            <w:tcW w:w="1155" w:type="dxa"/>
            <w:shd w:val="clear" w:color="auto" w:fill="auto"/>
          </w:tcPr>
          <w:p w14:paraId="266D077E" w14:textId="77777777" w:rsidR="00D45250" w:rsidRPr="00D70D7C" w:rsidRDefault="00D45250" w:rsidP="0089179A">
            <w:pPr>
              <w:spacing w:after="60"/>
              <w:jc w:val="center"/>
              <w:rPr>
                <w:sz w:val="18"/>
                <w:szCs w:val="18"/>
              </w:rPr>
            </w:pPr>
            <w:r w:rsidRPr="00D70D7C">
              <w:rPr>
                <w:sz w:val="18"/>
                <w:szCs w:val="18"/>
              </w:rPr>
              <w:t>s. o.</w:t>
            </w:r>
          </w:p>
        </w:tc>
      </w:tr>
      <w:tr w:rsidR="00D45250" w:rsidRPr="00D70D7C" w14:paraId="23C8F2A4" w14:textId="77777777" w:rsidTr="00D70D7C">
        <w:trPr>
          <w:jc w:val="center"/>
        </w:trPr>
        <w:tc>
          <w:tcPr>
            <w:tcW w:w="1126" w:type="dxa"/>
            <w:vMerge w:val="restart"/>
            <w:shd w:val="clear" w:color="auto" w:fill="auto"/>
          </w:tcPr>
          <w:p w14:paraId="0D8C0E36" w14:textId="1D5B2B04" w:rsidR="00D45250" w:rsidRPr="00D70D7C" w:rsidRDefault="00D45250" w:rsidP="0089179A">
            <w:pPr>
              <w:spacing w:after="60"/>
              <w:jc w:val="left"/>
              <w:rPr>
                <w:sz w:val="18"/>
                <w:szCs w:val="18"/>
              </w:rPr>
            </w:pPr>
            <w:r w:rsidRPr="00D70D7C">
              <w:rPr>
                <w:sz w:val="18"/>
                <w:szCs w:val="18"/>
              </w:rPr>
              <w:t>Financement convenu ($ US)</w:t>
            </w:r>
          </w:p>
        </w:tc>
        <w:tc>
          <w:tcPr>
            <w:tcW w:w="1034" w:type="dxa"/>
            <w:vMerge w:val="restart"/>
            <w:shd w:val="clear" w:color="auto" w:fill="auto"/>
          </w:tcPr>
          <w:p w14:paraId="5109E97C" w14:textId="77777777" w:rsidR="00D45250" w:rsidRPr="00D70D7C" w:rsidRDefault="00D45250" w:rsidP="0089179A">
            <w:pPr>
              <w:spacing w:after="60"/>
              <w:jc w:val="center"/>
              <w:rPr>
                <w:sz w:val="18"/>
                <w:szCs w:val="18"/>
              </w:rPr>
            </w:pPr>
            <w:r w:rsidRPr="00D70D7C">
              <w:rPr>
                <w:sz w:val="18"/>
                <w:szCs w:val="18"/>
              </w:rPr>
              <w:t>Banque mondiale</w:t>
            </w:r>
          </w:p>
        </w:tc>
        <w:tc>
          <w:tcPr>
            <w:tcW w:w="1376" w:type="dxa"/>
            <w:shd w:val="clear" w:color="auto" w:fill="auto"/>
          </w:tcPr>
          <w:p w14:paraId="044F18E9" w14:textId="77777777" w:rsidR="00D45250" w:rsidRPr="00D70D7C" w:rsidRDefault="00D45250" w:rsidP="0089179A">
            <w:pPr>
              <w:spacing w:after="60"/>
              <w:jc w:val="left"/>
              <w:rPr>
                <w:sz w:val="18"/>
                <w:szCs w:val="18"/>
              </w:rPr>
            </w:pPr>
            <w:r w:rsidRPr="00D70D7C">
              <w:rPr>
                <w:sz w:val="18"/>
                <w:szCs w:val="18"/>
              </w:rPr>
              <w:t>Coûts du projet</w:t>
            </w:r>
          </w:p>
        </w:tc>
        <w:tc>
          <w:tcPr>
            <w:tcW w:w="992" w:type="dxa"/>
            <w:shd w:val="clear" w:color="auto" w:fill="auto"/>
          </w:tcPr>
          <w:p w14:paraId="697B5478" w14:textId="77777777" w:rsidR="00D45250" w:rsidRPr="00D70D7C" w:rsidRDefault="00D45250" w:rsidP="0089179A">
            <w:pPr>
              <w:spacing w:after="60"/>
              <w:jc w:val="right"/>
              <w:rPr>
                <w:sz w:val="18"/>
                <w:szCs w:val="18"/>
              </w:rPr>
            </w:pPr>
            <w:r w:rsidRPr="00D70D7C">
              <w:rPr>
                <w:sz w:val="18"/>
                <w:szCs w:val="18"/>
              </w:rPr>
              <w:t>302 737</w:t>
            </w:r>
          </w:p>
        </w:tc>
        <w:tc>
          <w:tcPr>
            <w:tcW w:w="992" w:type="dxa"/>
            <w:shd w:val="clear" w:color="auto" w:fill="auto"/>
          </w:tcPr>
          <w:p w14:paraId="3B6477C8" w14:textId="77777777" w:rsidR="00D45250" w:rsidRPr="00D70D7C" w:rsidRDefault="00D45250" w:rsidP="0089179A">
            <w:pPr>
              <w:spacing w:after="60"/>
              <w:jc w:val="right"/>
              <w:rPr>
                <w:sz w:val="18"/>
                <w:szCs w:val="18"/>
              </w:rPr>
            </w:pPr>
            <w:r w:rsidRPr="00D70D7C">
              <w:rPr>
                <w:sz w:val="18"/>
                <w:szCs w:val="18"/>
              </w:rPr>
              <w:t>2 179 193</w:t>
            </w:r>
          </w:p>
        </w:tc>
        <w:tc>
          <w:tcPr>
            <w:tcW w:w="992" w:type="dxa"/>
            <w:shd w:val="clear" w:color="auto" w:fill="auto"/>
          </w:tcPr>
          <w:p w14:paraId="1853F49F" w14:textId="77777777" w:rsidR="00D45250" w:rsidRPr="00D70D7C" w:rsidRDefault="00D45250" w:rsidP="0089179A">
            <w:pPr>
              <w:spacing w:after="60"/>
              <w:jc w:val="right"/>
              <w:rPr>
                <w:sz w:val="18"/>
                <w:szCs w:val="18"/>
              </w:rPr>
            </w:pPr>
            <w:r w:rsidRPr="00D70D7C">
              <w:rPr>
                <w:sz w:val="18"/>
                <w:szCs w:val="18"/>
              </w:rPr>
              <w:t>3 781 257</w:t>
            </w:r>
          </w:p>
        </w:tc>
        <w:tc>
          <w:tcPr>
            <w:tcW w:w="1134" w:type="dxa"/>
            <w:shd w:val="clear" w:color="auto" w:fill="auto"/>
          </w:tcPr>
          <w:p w14:paraId="67DC3DBE" w14:textId="77777777" w:rsidR="00D45250" w:rsidRPr="00D70D7C" w:rsidRDefault="00D45250" w:rsidP="0089179A">
            <w:pPr>
              <w:spacing w:after="60"/>
              <w:jc w:val="right"/>
              <w:rPr>
                <w:sz w:val="18"/>
                <w:szCs w:val="18"/>
              </w:rPr>
            </w:pPr>
            <w:r w:rsidRPr="00D70D7C">
              <w:rPr>
                <w:sz w:val="18"/>
                <w:szCs w:val="18"/>
              </w:rPr>
              <w:t>4 393 450</w:t>
            </w:r>
          </w:p>
        </w:tc>
        <w:tc>
          <w:tcPr>
            <w:tcW w:w="944" w:type="dxa"/>
            <w:shd w:val="clear" w:color="auto" w:fill="auto"/>
          </w:tcPr>
          <w:p w14:paraId="073994E4" w14:textId="77777777" w:rsidR="00D45250" w:rsidRPr="00D70D7C" w:rsidRDefault="00D45250" w:rsidP="0089179A">
            <w:pPr>
              <w:spacing w:after="60"/>
              <w:jc w:val="right"/>
              <w:rPr>
                <w:sz w:val="18"/>
                <w:szCs w:val="18"/>
              </w:rPr>
            </w:pPr>
            <w:r w:rsidRPr="00D70D7C">
              <w:rPr>
                <w:sz w:val="18"/>
                <w:szCs w:val="18"/>
              </w:rPr>
              <w:t>2 928 967</w:t>
            </w:r>
          </w:p>
        </w:tc>
        <w:tc>
          <w:tcPr>
            <w:tcW w:w="1162" w:type="dxa"/>
            <w:shd w:val="clear" w:color="auto" w:fill="auto"/>
          </w:tcPr>
          <w:p w14:paraId="4711B3C3" w14:textId="77777777" w:rsidR="00D45250" w:rsidRPr="00D70D7C" w:rsidRDefault="00D45250" w:rsidP="0089179A">
            <w:pPr>
              <w:spacing w:after="60"/>
              <w:jc w:val="right"/>
              <w:rPr>
                <w:sz w:val="18"/>
                <w:szCs w:val="18"/>
              </w:rPr>
            </w:pPr>
            <w:r w:rsidRPr="00D70D7C">
              <w:rPr>
                <w:sz w:val="18"/>
                <w:szCs w:val="18"/>
              </w:rPr>
              <w:t>732 242</w:t>
            </w:r>
          </w:p>
        </w:tc>
        <w:tc>
          <w:tcPr>
            <w:tcW w:w="1155" w:type="dxa"/>
            <w:shd w:val="clear" w:color="auto" w:fill="auto"/>
          </w:tcPr>
          <w:p w14:paraId="0D2A1DE1" w14:textId="77777777" w:rsidR="00D45250" w:rsidRPr="00D70D7C" w:rsidRDefault="00D45250" w:rsidP="0089179A">
            <w:pPr>
              <w:spacing w:after="60"/>
              <w:jc w:val="right"/>
              <w:rPr>
                <w:sz w:val="18"/>
                <w:szCs w:val="18"/>
              </w:rPr>
            </w:pPr>
            <w:r w:rsidRPr="00D70D7C">
              <w:rPr>
                <w:sz w:val="18"/>
                <w:szCs w:val="18"/>
              </w:rPr>
              <w:t>14 317 846</w:t>
            </w:r>
          </w:p>
        </w:tc>
      </w:tr>
      <w:tr w:rsidR="00D45250" w:rsidRPr="00D70D7C" w14:paraId="68DFDB5C" w14:textId="77777777" w:rsidTr="00D70D7C">
        <w:trPr>
          <w:jc w:val="center"/>
        </w:trPr>
        <w:tc>
          <w:tcPr>
            <w:tcW w:w="1126" w:type="dxa"/>
            <w:vMerge/>
            <w:shd w:val="clear" w:color="auto" w:fill="auto"/>
          </w:tcPr>
          <w:p w14:paraId="6F11565E" w14:textId="77777777" w:rsidR="00D45250" w:rsidRPr="00D70D7C" w:rsidRDefault="00D45250" w:rsidP="0089179A">
            <w:pPr>
              <w:spacing w:after="60"/>
              <w:jc w:val="center"/>
              <w:rPr>
                <w:sz w:val="18"/>
                <w:szCs w:val="18"/>
              </w:rPr>
            </w:pPr>
          </w:p>
        </w:tc>
        <w:tc>
          <w:tcPr>
            <w:tcW w:w="1034" w:type="dxa"/>
            <w:vMerge/>
            <w:shd w:val="clear" w:color="auto" w:fill="auto"/>
          </w:tcPr>
          <w:p w14:paraId="072B375B" w14:textId="77777777" w:rsidR="00D45250" w:rsidRPr="00D70D7C" w:rsidRDefault="00D45250" w:rsidP="0089179A">
            <w:pPr>
              <w:spacing w:after="60"/>
              <w:jc w:val="center"/>
              <w:rPr>
                <w:sz w:val="18"/>
                <w:szCs w:val="18"/>
              </w:rPr>
            </w:pPr>
          </w:p>
        </w:tc>
        <w:tc>
          <w:tcPr>
            <w:tcW w:w="1376" w:type="dxa"/>
            <w:shd w:val="clear" w:color="auto" w:fill="auto"/>
          </w:tcPr>
          <w:p w14:paraId="1FF7646B" w14:textId="77777777" w:rsidR="00D45250" w:rsidRPr="00D70D7C" w:rsidRDefault="00D45250" w:rsidP="0089179A">
            <w:pPr>
              <w:spacing w:after="60"/>
              <w:jc w:val="left"/>
              <w:rPr>
                <w:sz w:val="18"/>
                <w:szCs w:val="18"/>
              </w:rPr>
            </w:pPr>
            <w:r w:rsidRPr="00D70D7C">
              <w:rPr>
                <w:sz w:val="18"/>
                <w:szCs w:val="18"/>
              </w:rPr>
              <w:t>Coûts d’appui</w:t>
            </w:r>
          </w:p>
        </w:tc>
        <w:tc>
          <w:tcPr>
            <w:tcW w:w="992" w:type="dxa"/>
            <w:shd w:val="clear" w:color="auto" w:fill="auto"/>
          </w:tcPr>
          <w:p w14:paraId="70D425D9" w14:textId="77777777" w:rsidR="00D45250" w:rsidRPr="00D70D7C" w:rsidRDefault="00D45250" w:rsidP="0089179A">
            <w:pPr>
              <w:spacing w:after="60"/>
              <w:jc w:val="right"/>
              <w:rPr>
                <w:sz w:val="18"/>
                <w:szCs w:val="18"/>
              </w:rPr>
            </w:pPr>
            <w:r w:rsidRPr="00D70D7C">
              <w:rPr>
                <w:sz w:val="18"/>
                <w:szCs w:val="18"/>
              </w:rPr>
              <w:t>21 192</w:t>
            </w:r>
          </w:p>
        </w:tc>
        <w:tc>
          <w:tcPr>
            <w:tcW w:w="992" w:type="dxa"/>
            <w:shd w:val="clear" w:color="auto" w:fill="auto"/>
          </w:tcPr>
          <w:p w14:paraId="15BCF2E4" w14:textId="77777777" w:rsidR="00D45250" w:rsidRPr="00D70D7C" w:rsidRDefault="00D45250" w:rsidP="0089179A">
            <w:pPr>
              <w:spacing w:after="60"/>
              <w:jc w:val="right"/>
              <w:rPr>
                <w:sz w:val="18"/>
                <w:szCs w:val="18"/>
              </w:rPr>
            </w:pPr>
            <w:r w:rsidRPr="00D70D7C">
              <w:rPr>
                <w:sz w:val="18"/>
                <w:szCs w:val="18"/>
              </w:rPr>
              <w:t>152 544</w:t>
            </w:r>
          </w:p>
        </w:tc>
        <w:tc>
          <w:tcPr>
            <w:tcW w:w="992" w:type="dxa"/>
            <w:shd w:val="clear" w:color="auto" w:fill="auto"/>
          </w:tcPr>
          <w:p w14:paraId="0CBECE74" w14:textId="77777777" w:rsidR="00D45250" w:rsidRPr="00D70D7C" w:rsidRDefault="00D45250" w:rsidP="0089179A">
            <w:pPr>
              <w:spacing w:after="60"/>
              <w:jc w:val="right"/>
              <w:rPr>
                <w:sz w:val="18"/>
                <w:szCs w:val="18"/>
              </w:rPr>
            </w:pPr>
            <w:r w:rsidRPr="00D70D7C">
              <w:rPr>
                <w:sz w:val="18"/>
                <w:szCs w:val="18"/>
              </w:rPr>
              <w:t>264 688</w:t>
            </w:r>
          </w:p>
        </w:tc>
        <w:tc>
          <w:tcPr>
            <w:tcW w:w="1134" w:type="dxa"/>
            <w:shd w:val="clear" w:color="auto" w:fill="auto"/>
          </w:tcPr>
          <w:p w14:paraId="0F02DF68" w14:textId="77777777" w:rsidR="00D45250" w:rsidRPr="00D70D7C" w:rsidRDefault="00D45250" w:rsidP="0089179A">
            <w:pPr>
              <w:spacing w:after="60"/>
              <w:jc w:val="right"/>
              <w:rPr>
                <w:sz w:val="18"/>
                <w:szCs w:val="18"/>
              </w:rPr>
            </w:pPr>
            <w:r w:rsidRPr="00D70D7C">
              <w:rPr>
                <w:sz w:val="18"/>
                <w:szCs w:val="18"/>
              </w:rPr>
              <w:t>307 542</w:t>
            </w:r>
          </w:p>
        </w:tc>
        <w:tc>
          <w:tcPr>
            <w:tcW w:w="944" w:type="dxa"/>
            <w:shd w:val="clear" w:color="auto" w:fill="auto"/>
          </w:tcPr>
          <w:p w14:paraId="7C415326" w14:textId="77777777" w:rsidR="00D45250" w:rsidRPr="00D70D7C" w:rsidRDefault="00D45250" w:rsidP="0089179A">
            <w:pPr>
              <w:spacing w:after="60"/>
              <w:jc w:val="right"/>
              <w:rPr>
                <w:sz w:val="18"/>
                <w:szCs w:val="18"/>
              </w:rPr>
            </w:pPr>
            <w:r w:rsidRPr="00D70D7C">
              <w:rPr>
                <w:sz w:val="18"/>
                <w:szCs w:val="18"/>
              </w:rPr>
              <w:t>205 028</w:t>
            </w:r>
          </w:p>
        </w:tc>
        <w:tc>
          <w:tcPr>
            <w:tcW w:w="1162" w:type="dxa"/>
            <w:shd w:val="clear" w:color="auto" w:fill="auto"/>
          </w:tcPr>
          <w:p w14:paraId="711FC5BF" w14:textId="77777777" w:rsidR="00D45250" w:rsidRPr="00D70D7C" w:rsidRDefault="00D45250" w:rsidP="0089179A">
            <w:pPr>
              <w:spacing w:after="60"/>
              <w:jc w:val="right"/>
              <w:rPr>
                <w:sz w:val="18"/>
                <w:szCs w:val="18"/>
              </w:rPr>
            </w:pPr>
            <w:r w:rsidRPr="00D70D7C">
              <w:rPr>
                <w:sz w:val="18"/>
                <w:szCs w:val="18"/>
              </w:rPr>
              <w:t>51 257</w:t>
            </w:r>
          </w:p>
        </w:tc>
        <w:tc>
          <w:tcPr>
            <w:tcW w:w="1155" w:type="dxa"/>
            <w:shd w:val="clear" w:color="auto" w:fill="auto"/>
          </w:tcPr>
          <w:p w14:paraId="6AF234C8" w14:textId="77777777" w:rsidR="00D45250" w:rsidRPr="00D70D7C" w:rsidRDefault="00D45250" w:rsidP="0089179A">
            <w:pPr>
              <w:spacing w:after="60"/>
              <w:jc w:val="right"/>
              <w:rPr>
                <w:sz w:val="18"/>
                <w:szCs w:val="18"/>
              </w:rPr>
            </w:pPr>
            <w:r w:rsidRPr="00D70D7C">
              <w:rPr>
                <w:sz w:val="18"/>
                <w:szCs w:val="18"/>
              </w:rPr>
              <w:t>1 002 249</w:t>
            </w:r>
          </w:p>
        </w:tc>
      </w:tr>
      <w:tr w:rsidR="00D45250" w:rsidRPr="00D70D7C" w14:paraId="5F68604F" w14:textId="77777777" w:rsidTr="00D70D7C">
        <w:trPr>
          <w:jc w:val="center"/>
        </w:trPr>
        <w:tc>
          <w:tcPr>
            <w:tcW w:w="1126" w:type="dxa"/>
            <w:vMerge/>
            <w:shd w:val="clear" w:color="auto" w:fill="auto"/>
          </w:tcPr>
          <w:p w14:paraId="6EEF3841" w14:textId="77777777" w:rsidR="00D45250" w:rsidRPr="00D70D7C" w:rsidRDefault="00D45250" w:rsidP="0089179A">
            <w:pPr>
              <w:spacing w:after="60"/>
              <w:jc w:val="center"/>
              <w:rPr>
                <w:sz w:val="18"/>
                <w:szCs w:val="18"/>
              </w:rPr>
            </w:pPr>
          </w:p>
        </w:tc>
        <w:tc>
          <w:tcPr>
            <w:tcW w:w="1034" w:type="dxa"/>
            <w:vMerge w:val="restart"/>
            <w:shd w:val="clear" w:color="auto" w:fill="auto"/>
          </w:tcPr>
          <w:p w14:paraId="6A4DFBAA" w14:textId="77777777" w:rsidR="00D45250" w:rsidRPr="00D70D7C" w:rsidRDefault="00D45250" w:rsidP="0089179A">
            <w:pPr>
              <w:spacing w:after="60"/>
              <w:jc w:val="center"/>
              <w:rPr>
                <w:sz w:val="18"/>
                <w:szCs w:val="18"/>
              </w:rPr>
            </w:pPr>
            <w:r w:rsidRPr="00D70D7C">
              <w:rPr>
                <w:sz w:val="18"/>
                <w:szCs w:val="18"/>
              </w:rPr>
              <w:t>Japon</w:t>
            </w:r>
          </w:p>
        </w:tc>
        <w:tc>
          <w:tcPr>
            <w:tcW w:w="1376" w:type="dxa"/>
            <w:shd w:val="clear" w:color="auto" w:fill="auto"/>
          </w:tcPr>
          <w:p w14:paraId="4CBC91E2" w14:textId="77777777" w:rsidR="00D45250" w:rsidRPr="00D70D7C" w:rsidRDefault="00D45250" w:rsidP="0089179A">
            <w:pPr>
              <w:spacing w:after="60"/>
              <w:jc w:val="left"/>
              <w:rPr>
                <w:sz w:val="18"/>
                <w:szCs w:val="18"/>
              </w:rPr>
            </w:pPr>
            <w:r w:rsidRPr="00D70D7C">
              <w:rPr>
                <w:sz w:val="18"/>
                <w:szCs w:val="18"/>
              </w:rPr>
              <w:t>Coûts du projet</w:t>
            </w:r>
          </w:p>
        </w:tc>
        <w:tc>
          <w:tcPr>
            <w:tcW w:w="992" w:type="dxa"/>
            <w:shd w:val="clear" w:color="auto" w:fill="auto"/>
          </w:tcPr>
          <w:p w14:paraId="79355EDE" w14:textId="77777777" w:rsidR="00D45250" w:rsidRPr="00D70D7C" w:rsidRDefault="00D45250" w:rsidP="0089179A">
            <w:pPr>
              <w:spacing w:after="60"/>
              <w:jc w:val="right"/>
              <w:rPr>
                <w:sz w:val="18"/>
                <w:szCs w:val="18"/>
              </w:rPr>
            </w:pPr>
            <w:r w:rsidRPr="00D70D7C">
              <w:rPr>
                <w:sz w:val="18"/>
                <w:szCs w:val="18"/>
              </w:rPr>
              <w:t>43 250</w:t>
            </w:r>
          </w:p>
        </w:tc>
        <w:tc>
          <w:tcPr>
            <w:tcW w:w="992" w:type="dxa"/>
            <w:shd w:val="clear" w:color="auto" w:fill="auto"/>
          </w:tcPr>
          <w:p w14:paraId="0F856DB4" w14:textId="77777777" w:rsidR="00D45250" w:rsidRPr="00D70D7C" w:rsidRDefault="00D45250" w:rsidP="0089179A">
            <w:pPr>
              <w:spacing w:after="60"/>
              <w:jc w:val="right"/>
              <w:rPr>
                <w:sz w:val="18"/>
                <w:szCs w:val="18"/>
              </w:rPr>
            </w:pPr>
            <w:r w:rsidRPr="00D70D7C">
              <w:rPr>
                <w:sz w:val="18"/>
                <w:szCs w:val="18"/>
              </w:rPr>
              <w:t>163 980</w:t>
            </w:r>
          </w:p>
        </w:tc>
        <w:tc>
          <w:tcPr>
            <w:tcW w:w="992" w:type="dxa"/>
            <w:shd w:val="clear" w:color="auto" w:fill="auto"/>
          </w:tcPr>
          <w:p w14:paraId="0CCE3A08" w14:textId="77777777" w:rsidR="00D45250" w:rsidRPr="00D70D7C" w:rsidRDefault="00D45250" w:rsidP="0089179A">
            <w:pPr>
              <w:spacing w:after="60"/>
              <w:jc w:val="right"/>
              <w:rPr>
                <w:sz w:val="18"/>
                <w:szCs w:val="18"/>
              </w:rPr>
            </w:pPr>
            <w:r w:rsidRPr="00D70D7C">
              <w:rPr>
                <w:sz w:val="18"/>
                <w:szCs w:val="18"/>
              </w:rPr>
              <w:t>26 400</w:t>
            </w:r>
          </w:p>
        </w:tc>
        <w:tc>
          <w:tcPr>
            <w:tcW w:w="1134" w:type="dxa"/>
            <w:shd w:val="clear" w:color="auto" w:fill="auto"/>
          </w:tcPr>
          <w:p w14:paraId="5E94FBC1" w14:textId="67883EB5" w:rsidR="00D45250" w:rsidRPr="00D70D7C" w:rsidRDefault="00070DE0" w:rsidP="0089179A">
            <w:pPr>
              <w:spacing w:after="60"/>
              <w:jc w:val="right"/>
              <w:rPr>
                <w:sz w:val="18"/>
                <w:szCs w:val="18"/>
              </w:rPr>
            </w:pPr>
            <w:r w:rsidRPr="00D70D7C">
              <w:rPr>
                <w:sz w:val="18"/>
                <w:szCs w:val="18"/>
              </w:rPr>
              <w:t>0</w:t>
            </w:r>
          </w:p>
        </w:tc>
        <w:tc>
          <w:tcPr>
            <w:tcW w:w="944" w:type="dxa"/>
            <w:shd w:val="clear" w:color="auto" w:fill="auto"/>
          </w:tcPr>
          <w:p w14:paraId="148AF375" w14:textId="0CB3757C" w:rsidR="00D45250" w:rsidRPr="00D70D7C" w:rsidRDefault="00070DE0" w:rsidP="0089179A">
            <w:pPr>
              <w:spacing w:after="60"/>
              <w:jc w:val="right"/>
              <w:rPr>
                <w:sz w:val="18"/>
                <w:szCs w:val="18"/>
              </w:rPr>
            </w:pPr>
            <w:r w:rsidRPr="00D70D7C">
              <w:rPr>
                <w:sz w:val="18"/>
                <w:szCs w:val="18"/>
              </w:rPr>
              <w:t>0</w:t>
            </w:r>
          </w:p>
        </w:tc>
        <w:tc>
          <w:tcPr>
            <w:tcW w:w="1162" w:type="dxa"/>
            <w:shd w:val="clear" w:color="auto" w:fill="auto"/>
          </w:tcPr>
          <w:p w14:paraId="31AA88E6" w14:textId="5BF465A9" w:rsidR="00D45250" w:rsidRPr="00D70D7C" w:rsidRDefault="00070DE0" w:rsidP="0089179A">
            <w:pPr>
              <w:spacing w:after="60"/>
              <w:jc w:val="right"/>
              <w:rPr>
                <w:sz w:val="18"/>
                <w:szCs w:val="18"/>
              </w:rPr>
            </w:pPr>
            <w:r w:rsidRPr="00D70D7C">
              <w:rPr>
                <w:sz w:val="18"/>
                <w:szCs w:val="18"/>
              </w:rPr>
              <w:t>0</w:t>
            </w:r>
          </w:p>
        </w:tc>
        <w:tc>
          <w:tcPr>
            <w:tcW w:w="1155" w:type="dxa"/>
            <w:shd w:val="clear" w:color="auto" w:fill="auto"/>
          </w:tcPr>
          <w:p w14:paraId="7652BEA3" w14:textId="77777777" w:rsidR="00D45250" w:rsidRPr="00D70D7C" w:rsidRDefault="00D45250" w:rsidP="0089179A">
            <w:pPr>
              <w:spacing w:after="60"/>
              <w:jc w:val="right"/>
              <w:rPr>
                <w:sz w:val="18"/>
                <w:szCs w:val="18"/>
              </w:rPr>
            </w:pPr>
            <w:r w:rsidRPr="00D70D7C">
              <w:rPr>
                <w:sz w:val="18"/>
                <w:szCs w:val="18"/>
              </w:rPr>
              <w:t>233 630</w:t>
            </w:r>
          </w:p>
        </w:tc>
      </w:tr>
      <w:tr w:rsidR="00D45250" w:rsidRPr="00D70D7C" w14:paraId="5632BD01" w14:textId="77777777" w:rsidTr="00D70D7C">
        <w:trPr>
          <w:jc w:val="center"/>
        </w:trPr>
        <w:tc>
          <w:tcPr>
            <w:tcW w:w="1126" w:type="dxa"/>
            <w:vMerge/>
            <w:shd w:val="clear" w:color="auto" w:fill="auto"/>
          </w:tcPr>
          <w:p w14:paraId="4243A285" w14:textId="77777777" w:rsidR="00D45250" w:rsidRPr="00D70D7C" w:rsidRDefault="00D45250" w:rsidP="0089179A">
            <w:pPr>
              <w:spacing w:after="60"/>
              <w:jc w:val="center"/>
              <w:rPr>
                <w:sz w:val="18"/>
                <w:szCs w:val="18"/>
              </w:rPr>
            </w:pPr>
          </w:p>
        </w:tc>
        <w:tc>
          <w:tcPr>
            <w:tcW w:w="1034" w:type="dxa"/>
            <w:vMerge/>
            <w:shd w:val="clear" w:color="auto" w:fill="auto"/>
          </w:tcPr>
          <w:p w14:paraId="37BEB0C4" w14:textId="77777777" w:rsidR="00D45250" w:rsidRPr="00D70D7C" w:rsidRDefault="00D45250" w:rsidP="0089179A">
            <w:pPr>
              <w:spacing w:after="60"/>
              <w:jc w:val="center"/>
              <w:rPr>
                <w:sz w:val="18"/>
                <w:szCs w:val="18"/>
              </w:rPr>
            </w:pPr>
          </w:p>
        </w:tc>
        <w:tc>
          <w:tcPr>
            <w:tcW w:w="1376" w:type="dxa"/>
            <w:shd w:val="clear" w:color="auto" w:fill="auto"/>
          </w:tcPr>
          <w:p w14:paraId="299030FC" w14:textId="77777777" w:rsidR="00D45250" w:rsidRPr="00D70D7C" w:rsidRDefault="00D45250" w:rsidP="0089179A">
            <w:pPr>
              <w:spacing w:after="60"/>
              <w:jc w:val="left"/>
              <w:rPr>
                <w:sz w:val="18"/>
                <w:szCs w:val="18"/>
              </w:rPr>
            </w:pPr>
            <w:r w:rsidRPr="00D70D7C">
              <w:rPr>
                <w:sz w:val="18"/>
                <w:szCs w:val="18"/>
              </w:rPr>
              <w:t>Coûts d’appui</w:t>
            </w:r>
          </w:p>
        </w:tc>
        <w:tc>
          <w:tcPr>
            <w:tcW w:w="992" w:type="dxa"/>
            <w:shd w:val="clear" w:color="auto" w:fill="auto"/>
          </w:tcPr>
          <w:p w14:paraId="1BB40EF6" w14:textId="77777777" w:rsidR="00D45250" w:rsidRPr="00D70D7C" w:rsidRDefault="00D45250" w:rsidP="0089179A">
            <w:pPr>
              <w:spacing w:after="60"/>
              <w:jc w:val="right"/>
              <w:rPr>
                <w:sz w:val="18"/>
                <w:szCs w:val="18"/>
              </w:rPr>
            </w:pPr>
            <w:r w:rsidRPr="00D70D7C">
              <w:rPr>
                <w:sz w:val="18"/>
                <w:szCs w:val="18"/>
              </w:rPr>
              <w:t>5 623</w:t>
            </w:r>
          </w:p>
        </w:tc>
        <w:tc>
          <w:tcPr>
            <w:tcW w:w="992" w:type="dxa"/>
            <w:shd w:val="clear" w:color="auto" w:fill="auto"/>
          </w:tcPr>
          <w:p w14:paraId="65AEBDEB" w14:textId="77777777" w:rsidR="00D45250" w:rsidRPr="00D70D7C" w:rsidRDefault="00D45250" w:rsidP="0089179A">
            <w:pPr>
              <w:spacing w:after="60"/>
              <w:jc w:val="right"/>
              <w:rPr>
                <w:sz w:val="18"/>
                <w:szCs w:val="18"/>
              </w:rPr>
            </w:pPr>
            <w:r w:rsidRPr="00D70D7C">
              <w:rPr>
                <w:sz w:val="18"/>
                <w:szCs w:val="18"/>
              </w:rPr>
              <w:t>21 317</w:t>
            </w:r>
          </w:p>
        </w:tc>
        <w:tc>
          <w:tcPr>
            <w:tcW w:w="992" w:type="dxa"/>
            <w:shd w:val="clear" w:color="auto" w:fill="auto"/>
          </w:tcPr>
          <w:p w14:paraId="7BB8D64E" w14:textId="77777777" w:rsidR="00D45250" w:rsidRPr="00D70D7C" w:rsidRDefault="00D45250" w:rsidP="0089179A">
            <w:pPr>
              <w:spacing w:after="60"/>
              <w:jc w:val="right"/>
              <w:rPr>
                <w:sz w:val="18"/>
                <w:szCs w:val="18"/>
              </w:rPr>
            </w:pPr>
            <w:r w:rsidRPr="00D70D7C">
              <w:rPr>
                <w:sz w:val="18"/>
                <w:szCs w:val="18"/>
              </w:rPr>
              <w:t>3 432</w:t>
            </w:r>
          </w:p>
        </w:tc>
        <w:tc>
          <w:tcPr>
            <w:tcW w:w="1134" w:type="dxa"/>
            <w:shd w:val="clear" w:color="auto" w:fill="auto"/>
          </w:tcPr>
          <w:p w14:paraId="7D026ACA" w14:textId="70DA95D8" w:rsidR="00D45250" w:rsidRPr="00D70D7C" w:rsidRDefault="00070DE0" w:rsidP="0089179A">
            <w:pPr>
              <w:spacing w:after="60"/>
              <w:jc w:val="right"/>
              <w:rPr>
                <w:sz w:val="18"/>
                <w:szCs w:val="18"/>
              </w:rPr>
            </w:pPr>
            <w:r w:rsidRPr="00D70D7C">
              <w:rPr>
                <w:sz w:val="18"/>
                <w:szCs w:val="18"/>
              </w:rPr>
              <w:t>0</w:t>
            </w:r>
          </w:p>
        </w:tc>
        <w:tc>
          <w:tcPr>
            <w:tcW w:w="944" w:type="dxa"/>
            <w:shd w:val="clear" w:color="auto" w:fill="auto"/>
          </w:tcPr>
          <w:p w14:paraId="60C7BC58" w14:textId="5BAECCD1" w:rsidR="00D45250" w:rsidRPr="00D70D7C" w:rsidRDefault="00070DE0" w:rsidP="0089179A">
            <w:pPr>
              <w:spacing w:after="60"/>
              <w:jc w:val="right"/>
              <w:rPr>
                <w:sz w:val="18"/>
                <w:szCs w:val="18"/>
              </w:rPr>
            </w:pPr>
            <w:r w:rsidRPr="00D70D7C">
              <w:rPr>
                <w:sz w:val="18"/>
                <w:szCs w:val="18"/>
              </w:rPr>
              <w:t>0</w:t>
            </w:r>
          </w:p>
        </w:tc>
        <w:tc>
          <w:tcPr>
            <w:tcW w:w="1162" w:type="dxa"/>
            <w:shd w:val="clear" w:color="auto" w:fill="auto"/>
          </w:tcPr>
          <w:p w14:paraId="69916AA3" w14:textId="49ECE846" w:rsidR="00D45250" w:rsidRPr="00D70D7C" w:rsidRDefault="00070DE0" w:rsidP="0089179A">
            <w:pPr>
              <w:spacing w:after="60"/>
              <w:jc w:val="right"/>
              <w:rPr>
                <w:sz w:val="18"/>
                <w:szCs w:val="18"/>
              </w:rPr>
            </w:pPr>
            <w:r w:rsidRPr="00D70D7C">
              <w:rPr>
                <w:sz w:val="18"/>
                <w:szCs w:val="18"/>
              </w:rPr>
              <w:t>0</w:t>
            </w:r>
          </w:p>
        </w:tc>
        <w:tc>
          <w:tcPr>
            <w:tcW w:w="1155" w:type="dxa"/>
            <w:shd w:val="clear" w:color="auto" w:fill="auto"/>
          </w:tcPr>
          <w:p w14:paraId="0AB4D3EC" w14:textId="77777777" w:rsidR="00D45250" w:rsidRPr="00D70D7C" w:rsidRDefault="00D45250" w:rsidP="0089179A">
            <w:pPr>
              <w:spacing w:after="60"/>
              <w:jc w:val="right"/>
              <w:rPr>
                <w:sz w:val="18"/>
                <w:szCs w:val="18"/>
              </w:rPr>
            </w:pPr>
            <w:r w:rsidRPr="00D70D7C">
              <w:rPr>
                <w:sz w:val="18"/>
                <w:szCs w:val="18"/>
              </w:rPr>
              <w:t>30 372</w:t>
            </w:r>
          </w:p>
        </w:tc>
      </w:tr>
      <w:tr w:rsidR="00CC3A7B" w:rsidRPr="00D70D7C" w14:paraId="6E42084C" w14:textId="77777777" w:rsidTr="00D70D7C">
        <w:trPr>
          <w:jc w:val="center"/>
        </w:trPr>
        <w:tc>
          <w:tcPr>
            <w:tcW w:w="2160" w:type="dxa"/>
            <w:gridSpan w:val="2"/>
            <w:vMerge w:val="restart"/>
            <w:shd w:val="clear" w:color="auto" w:fill="auto"/>
          </w:tcPr>
          <w:p w14:paraId="7389B902" w14:textId="5C1ED2E9" w:rsidR="00CC3A7B" w:rsidRPr="00D70D7C" w:rsidRDefault="00CC3A7B" w:rsidP="00CC3A7B">
            <w:pPr>
              <w:spacing w:after="60"/>
              <w:jc w:val="left"/>
              <w:rPr>
                <w:sz w:val="18"/>
                <w:szCs w:val="18"/>
              </w:rPr>
            </w:pPr>
            <w:r w:rsidRPr="00D70D7C">
              <w:rPr>
                <w:sz w:val="18"/>
                <w:szCs w:val="18"/>
              </w:rPr>
              <w:t xml:space="preserve">Fonds approuvés par </w:t>
            </w:r>
            <w:proofErr w:type="spellStart"/>
            <w:r w:rsidRPr="00D70D7C">
              <w:rPr>
                <w:sz w:val="18"/>
                <w:szCs w:val="18"/>
              </w:rPr>
              <w:t>ExCom</w:t>
            </w:r>
            <w:proofErr w:type="spellEnd"/>
            <w:r w:rsidRPr="00D70D7C">
              <w:rPr>
                <w:sz w:val="18"/>
                <w:szCs w:val="18"/>
              </w:rPr>
              <w:t xml:space="preserve"> ($ US)</w:t>
            </w:r>
          </w:p>
        </w:tc>
        <w:tc>
          <w:tcPr>
            <w:tcW w:w="1376" w:type="dxa"/>
            <w:shd w:val="clear" w:color="auto" w:fill="auto"/>
          </w:tcPr>
          <w:p w14:paraId="058B8647" w14:textId="77777777" w:rsidR="00CC3A7B" w:rsidRPr="00D70D7C" w:rsidRDefault="00CC3A7B" w:rsidP="00CC3A7B">
            <w:pPr>
              <w:spacing w:after="60"/>
              <w:jc w:val="left"/>
              <w:rPr>
                <w:sz w:val="18"/>
                <w:szCs w:val="18"/>
              </w:rPr>
            </w:pPr>
            <w:r w:rsidRPr="00D70D7C">
              <w:rPr>
                <w:sz w:val="18"/>
                <w:szCs w:val="18"/>
              </w:rPr>
              <w:t>Coûts du projet</w:t>
            </w:r>
          </w:p>
        </w:tc>
        <w:tc>
          <w:tcPr>
            <w:tcW w:w="992" w:type="dxa"/>
            <w:shd w:val="clear" w:color="auto" w:fill="auto"/>
          </w:tcPr>
          <w:p w14:paraId="54AB11B5" w14:textId="77777777" w:rsidR="00CC3A7B" w:rsidRPr="00D70D7C" w:rsidRDefault="00CC3A7B" w:rsidP="00CC3A7B">
            <w:pPr>
              <w:spacing w:after="60"/>
              <w:jc w:val="right"/>
              <w:rPr>
                <w:sz w:val="18"/>
                <w:szCs w:val="18"/>
              </w:rPr>
            </w:pPr>
            <w:r w:rsidRPr="00D70D7C">
              <w:rPr>
                <w:sz w:val="18"/>
                <w:szCs w:val="18"/>
              </w:rPr>
              <w:t>345 987</w:t>
            </w:r>
          </w:p>
        </w:tc>
        <w:tc>
          <w:tcPr>
            <w:tcW w:w="992" w:type="dxa"/>
            <w:shd w:val="clear" w:color="auto" w:fill="auto"/>
          </w:tcPr>
          <w:p w14:paraId="41D32445" w14:textId="77777777" w:rsidR="00CC3A7B" w:rsidRPr="00D70D7C" w:rsidRDefault="00CC3A7B" w:rsidP="00CC3A7B">
            <w:pPr>
              <w:spacing w:after="60"/>
              <w:jc w:val="right"/>
              <w:rPr>
                <w:sz w:val="18"/>
                <w:szCs w:val="18"/>
              </w:rPr>
            </w:pPr>
          </w:p>
        </w:tc>
        <w:tc>
          <w:tcPr>
            <w:tcW w:w="992" w:type="dxa"/>
            <w:shd w:val="clear" w:color="auto" w:fill="auto"/>
          </w:tcPr>
          <w:p w14:paraId="5C234AE6" w14:textId="77777777" w:rsidR="00CC3A7B" w:rsidRPr="00D70D7C" w:rsidRDefault="00CC3A7B" w:rsidP="00CC3A7B">
            <w:pPr>
              <w:spacing w:after="60"/>
              <w:jc w:val="right"/>
              <w:rPr>
                <w:sz w:val="18"/>
                <w:szCs w:val="18"/>
              </w:rPr>
            </w:pPr>
          </w:p>
        </w:tc>
        <w:tc>
          <w:tcPr>
            <w:tcW w:w="1134" w:type="dxa"/>
            <w:shd w:val="clear" w:color="auto" w:fill="auto"/>
          </w:tcPr>
          <w:p w14:paraId="50FD3F9B" w14:textId="6F266DA8" w:rsidR="00CC3A7B" w:rsidRPr="00D70D7C" w:rsidRDefault="00CC3A7B" w:rsidP="00CC3A7B">
            <w:pPr>
              <w:spacing w:after="60"/>
              <w:jc w:val="right"/>
              <w:rPr>
                <w:sz w:val="18"/>
                <w:szCs w:val="18"/>
              </w:rPr>
            </w:pPr>
            <w:r w:rsidRPr="00D70D7C">
              <w:rPr>
                <w:sz w:val="18"/>
                <w:szCs w:val="18"/>
              </w:rPr>
              <w:t>2 343 173</w:t>
            </w:r>
            <w:r w:rsidRPr="00D70D7C">
              <w:rPr>
                <w:b/>
                <w:sz w:val="18"/>
                <w:szCs w:val="18"/>
              </w:rPr>
              <w:t>**</w:t>
            </w:r>
          </w:p>
        </w:tc>
        <w:tc>
          <w:tcPr>
            <w:tcW w:w="944" w:type="dxa"/>
            <w:shd w:val="clear" w:color="auto" w:fill="auto"/>
          </w:tcPr>
          <w:p w14:paraId="1E7E0649" w14:textId="77777777" w:rsidR="00CC3A7B" w:rsidRPr="00D70D7C" w:rsidRDefault="00CC3A7B" w:rsidP="00CC3A7B">
            <w:pPr>
              <w:spacing w:after="60"/>
              <w:jc w:val="right"/>
              <w:rPr>
                <w:sz w:val="18"/>
                <w:szCs w:val="18"/>
              </w:rPr>
            </w:pPr>
          </w:p>
        </w:tc>
        <w:tc>
          <w:tcPr>
            <w:tcW w:w="1162" w:type="dxa"/>
            <w:shd w:val="clear" w:color="auto" w:fill="auto"/>
          </w:tcPr>
          <w:p w14:paraId="63C3E45A" w14:textId="7C557747" w:rsidR="00CC3A7B" w:rsidRPr="00D70D7C" w:rsidRDefault="00CC3A7B" w:rsidP="00CC3A7B">
            <w:pPr>
              <w:spacing w:after="60"/>
              <w:jc w:val="right"/>
              <w:rPr>
                <w:sz w:val="18"/>
                <w:szCs w:val="18"/>
              </w:rPr>
            </w:pPr>
          </w:p>
        </w:tc>
        <w:tc>
          <w:tcPr>
            <w:tcW w:w="1155" w:type="dxa"/>
            <w:shd w:val="clear" w:color="auto" w:fill="auto"/>
          </w:tcPr>
          <w:p w14:paraId="6D1C359F" w14:textId="0333C334" w:rsidR="00CC3A7B" w:rsidRPr="00D70D7C" w:rsidRDefault="00AF202D" w:rsidP="00CC3A7B">
            <w:pPr>
              <w:spacing w:after="60"/>
              <w:jc w:val="right"/>
              <w:rPr>
                <w:sz w:val="18"/>
                <w:szCs w:val="18"/>
              </w:rPr>
            </w:pPr>
            <w:r w:rsidRPr="00D70D7C">
              <w:rPr>
                <w:sz w:val="18"/>
                <w:szCs w:val="18"/>
              </w:rPr>
              <w:t>2 689 160</w:t>
            </w:r>
          </w:p>
        </w:tc>
      </w:tr>
      <w:tr w:rsidR="00CC3A7B" w:rsidRPr="00D70D7C" w14:paraId="1D8AC2DB" w14:textId="77777777" w:rsidTr="00D70D7C">
        <w:trPr>
          <w:jc w:val="center"/>
        </w:trPr>
        <w:tc>
          <w:tcPr>
            <w:tcW w:w="2160" w:type="dxa"/>
            <w:gridSpan w:val="2"/>
            <w:vMerge/>
            <w:shd w:val="clear" w:color="auto" w:fill="auto"/>
          </w:tcPr>
          <w:p w14:paraId="76454F68" w14:textId="77777777" w:rsidR="00CC3A7B" w:rsidRPr="00D70D7C" w:rsidRDefault="00CC3A7B" w:rsidP="00CC3A7B">
            <w:pPr>
              <w:spacing w:after="60"/>
              <w:jc w:val="center"/>
              <w:rPr>
                <w:sz w:val="18"/>
                <w:szCs w:val="18"/>
              </w:rPr>
            </w:pPr>
          </w:p>
        </w:tc>
        <w:tc>
          <w:tcPr>
            <w:tcW w:w="1376" w:type="dxa"/>
            <w:shd w:val="clear" w:color="auto" w:fill="auto"/>
          </w:tcPr>
          <w:p w14:paraId="5C04361A" w14:textId="77777777" w:rsidR="00CC3A7B" w:rsidRPr="00D70D7C" w:rsidRDefault="00CC3A7B" w:rsidP="00CC3A7B">
            <w:pPr>
              <w:spacing w:after="60"/>
              <w:jc w:val="left"/>
              <w:rPr>
                <w:sz w:val="18"/>
                <w:szCs w:val="18"/>
              </w:rPr>
            </w:pPr>
            <w:r w:rsidRPr="00D70D7C">
              <w:rPr>
                <w:sz w:val="18"/>
                <w:szCs w:val="18"/>
              </w:rPr>
              <w:t>Coûts d’appui</w:t>
            </w:r>
          </w:p>
        </w:tc>
        <w:tc>
          <w:tcPr>
            <w:tcW w:w="992" w:type="dxa"/>
            <w:shd w:val="clear" w:color="auto" w:fill="auto"/>
          </w:tcPr>
          <w:p w14:paraId="289C5DE3" w14:textId="77777777" w:rsidR="00CC3A7B" w:rsidRPr="00D70D7C" w:rsidRDefault="00CC3A7B" w:rsidP="00CC3A7B">
            <w:pPr>
              <w:spacing w:after="60"/>
              <w:jc w:val="right"/>
              <w:rPr>
                <w:sz w:val="18"/>
                <w:szCs w:val="18"/>
              </w:rPr>
            </w:pPr>
            <w:r w:rsidRPr="00D70D7C">
              <w:rPr>
                <w:sz w:val="18"/>
                <w:szCs w:val="18"/>
              </w:rPr>
              <w:t>26 814</w:t>
            </w:r>
          </w:p>
        </w:tc>
        <w:tc>
          <w:tcPr>
            <w:tcW w:w="992" w:type="dxa"/>
            <w:shd w:val="clear" w:color="auto" w:fill="auto"/>
          </w:tcPr>
          <w:p w14:paraId="11CA8A29" w14:textId="77777777" w:rsidR="00CC3A7B" w:rsidRPr="00D70D7C" w:rsidRDefault="00CC3A7B" w:rsidP="00CC3A7B">
            <w:pPr>
              <w:spacing w:after="60"/>
              <w:jc w:val="right"/>
              <w:rPr>
                <w:sz w:val="18"/>
                <w:szCs w:val="18"/>
              </w:rPr>
            </w:pPr>
          </w:p>
        </w:tc>
        <w:tc>
          <w:tcPr>
            <w:tcW w:w="992" w:type="dxa"/>
            <w:shd w:val="clear" w:color="auto" w:fill="auto"/>
          </w:tcPr>
          <w:p w14:paraId="2222FF51" w14:textId="77777777" w:rsidR="00CC3A7B" w:rsidRPr="00D70D7C" w:rsidRDefault="00CC3A7B" w:rsidP="00CC3A7B">
            <w:pPr>
              <w:spacing w:after="60"/>
              <w:jc w:val="right"/>
              <w:rPr>
                <w:sz w:val="18"/>
                <w:szCs w:val="18"/>
              </w:rPr>
            </w:pPr>
          </w:p>
        </w:tc>
        <w:tc>
          <w:tcPr>
            <w:tcW w:w="1134" w:type="dxa"/>
            <w:shd w:val="clear" w:color="auto" w:fill="auto"/>
          </w:tcPr>
          <w:p w14:paraId="33A997A6" w14:textId="3049AAF6" w:rsidR="00CC3A7B" w:rsidRPr="00D70D7C" w:rsidRDefault="00CC3A7B" w:rsidP="00CC3A7B">
            <w:pPr>
              <w:spacing w:after="60"/>
              <w:jc w:val="right"/>
              <w:rPr>
                <w:sz w:val="18"/>
                <w:szCs w:val="18"/>
              </w:rPr>
            </w:pPr>
            <w:r w:rsidRPr="00D70D7C">
              <w:rPr>
                <w:sz w:val="18"/>
                <w:szCs w:val="18"/>
              </w:rPr>
              <w:t>173 861</w:t>
            </w:r>
            <w:r w:rsidRPr="00D70D7C">
              <w:rPr>
                <w:b/>
                <w:sz w:val="18"/>
                <w:szCs w:val="18"/>
              </w:rPr>
              <w:t>**</w:t>
            </w:r>
          </w:p>
        </w:tc>
        <w:tc>
          <w:tcPr>
            <w:tcW w:w="944" w:type="dxa"/>
            <w:shd w:val="clear" w:color="auto" w:fill="auto"/>
          </w:tcPr>
          <w:p w14:paraId="0C2B9140" w14:textId="77777777" w:rsidR="00CC3A7B" w:rsidRPr="00D70D7C" w:rsidRDefault="00CC3A7B" w:rsidP="00CC3A7B">
            <w:pPr>
              <w:spacing w:after="60"/>
              <w:jc w:val="right"/>
              <w:rPr>
                <w:sz w:val="18"/>
                <w:szCs w:val="18"/>
              </w:rPr>
            </w:pPr>
          </w:p>
        </w:tc>
        <w:tc>
          <w:tcPr>
            <w:tcW w:w="1162" w:type="dxa"/>
            <w:shd w:val="clear" w:color="auto" w:fill="auto"/>
          </w:tcPr>
          <w:p w14:paraId="7E7004D6" w14:textId="77777777" w:rsidR="00CC3A7B" w:rsidRPr="00D70D7C" w:rsidRDefault="00CC3A7B" w:rsidP="00CC3A7B">
            <w:pPr>
              <w:spacing w:after="60"/>
              <w:jc w:val="right"/>
              <w:rPr>
                <w:sz w:val="18"/>
                <w:szCs w:val="18"/>
              </w:rPr>
            </w:pPr>
          </w:p>
        </w:tc>
        <w:tc>
          <w:tcPr>
            <w:tcW w:w="1155" w:type="dxa"/>
            <w:shd w:val="clear" w:color="auto" w:fill="auto"/>
          </w:tcPr>
          <w:p w14:paraId="2A76759D" w14:textId="08D3F733" w:rsidR="00CC3A7B" w:rsidRPr="00D70D7C" w:rsidRDefault="00AF202D" w:rsidP="00CC3A7B">
            <w:pPr>
              <w:spacing w:after="60"/>
              <w:jc w:val="right"/>
              <w:rPr>
                <w:sz w:val="18"/>
                <w:szCs w:val="18"/>
              </w:rPr>
            </w:pPr>
            <w:r w:rsidRPr="00D70D7C">
              <w:rPr>
                <w:sz w:val="18"/>
                <w:szCs w:val="18"/>
              </w:rPr>
              <w:t>200 675</w:t>
            </w:r>
          </w:p>
        </w:tc>
      </w:tr>
      <w:tr w:rsidR="00CC3A7B" w:rsidRPr="00D70D7C" w14:paraId="72074C17" w14:textId="77777777" w:rsidTr="00D70D7C">
        <w:trPr>
          <w:jc w:val="center"/>
        </w:trPr>
        <w:tc>
          <w:tcPr>
            <w:tcW w:w="2160" w:type="dxa"/>
            <w:gridSpan w:val="2"/>
            <w:vMerge w:val="restart"/>
            <w:shd w:val="clear" w:color="auto" w:fill="auto"/>
          </w:tcPr>
          <w:p w14:paraId="6F621596" w14:textId="5924364F" w:rsidR="00CC3A7B" w:rsidRPr="00D70D7C" w:rsidRDefault="00CC3A7B" w:rsidP="00CC3A7B">
            <w:pPr>
              <w:spacing w:after="60"/>
              <w:jc w:val="left"/>
              <w:rPr>
                <w:sz w:val="18"/>
                <w:szCs w:val="18"/>
              </w:rPr>
            </w:pPr>
            <w:r w:rsidRPr="00D70D7C">
              <w:rPr>
                <w:sz w:val="18"/>
                <w:szCs w:val="18"/>
              </w:rPr>
              <w:t>Total des fonds demandés pour approbation à cette réunion ($ US)</w:t>
            </w:r>
          </w:p>
        </w:tc>
        <w:tc>
          <w:tcPr>
            <w:tcW w:w="1376" w:type="dxa"/>
            <w:shd w:val="clear" w:color="auto" w:fill="auto"/>
          </w:tcPr>
          <w:p w14:paraId="20E30704" w14:textId="77777777" w:rsidR="00CC3A7B" w:rsidRPr="00D70D7C" w:rsidRDefault="00CC3A7B" w:rsidP="00CC3A7B">
            <w:pPr>
              <w:spacing w:after="60"/>
              <w:jc w:val="left"/>
              <w:rPr>
                <w:sz w:val="18"/>
                <w:szCs w:val="18"/>
              </w:rPr>
            </w:pPr>
            <w:r w:rsidRPr="00D70D7C">
              <w:rPr>
                <w:sz w:val="18"/>
                <w:szCs w:val="18"/>
              </w:rPr>
              <w:t>Coûts du projet</w:t>
            </w:r>
          </w:p>
        </w:tc>
        <w:tc>
          <w:tcPr>
            <w:tcW w:w="992" w:type="dxa"/>
            <w:shd w:val="clear" w:color="auto" w:fill="auto"/>
          </w:tcPr>
          <w:p w14:paraId="4090F11B" w14:textId="77777777" w:rsidR="00CC3A7B" w:rsidRPr="00D70D7C" w:rsidRDefault="00CC3A7B" w:rsidP="00CC3A7B">
            <w:pPr>
              <w:spacing w:after="60"/>
              <w:jc w:val="right"/>
              <w:rPr>
                <w:sz w:val="18"/>
                <w:szCs w:val="18"/>
              </w:rPr>
            </w:pPr>
          </w:p>
        </w:tc>
        <w:tc>
          <w:tcPr>
            <w:tcW w:w="992" w:type="dxa"/>
            <w:shd w:val="clear" w:color="auto" w:fill="auto"/>
          </w:tcPr>
          <w:p w14:paraId="137E6BAF" w14:textId="77777777" w:rsidR="00CC3A7B" w:rsidRPr="00D70D7C" w:rsidRDefault="00CC3A7B" w:rsidP="00CC3A7B">
            <w:pPr>
              <w:spacing w:after="60"/>
              <w:jc w:val="right"/>
              <w:rPr>
                <w:sz w:val="18"/>
                <w:szCs w:val="18"/>
              </w:rPr>
            </w:pPr>
          </w:p>
        </w:tc>
        <w:tc>
          <w:tcPr>
            <w:tcW w:w="992" w:type="dxa"/>
            <w:shd w:val="clear" w:color="auto" w:fill="auto"/>
          </w:tcPr>
          <w:p w14:paraId="73F5C800" w14:textId="77777777" w:rsidR="00CC3A7B" w:rsidRPr="00D70D7C" w:rsidRDefault="00CC3A7B" w:rsidP="00CC3A7B">
            <w:pPr>
              <w:jc w:val="right"/>
              <w:rPr>
                <w:color w:val="000000"/>
                <w:sz w:val="18"/>
                <w:szCs w:val="18"/>
              </w:rPr>
            </w:pPr>
          </w:p>
        </w:tc>
        <w:tc>
          <w:tcPr>
            <w:tcW w:w="1134" w:type="dxa"/>
            <w:shd w:val="clear" w:color="auto" w:fill="auto"/>
          </w:tcPr>
          <w:p w14:paraId="3706A761" w14:textId="0BF7055A" w:rsidR="00CC3A7B" w:rsidRPr="00D70D7C" w:rsidRDefault="00CC3A7B" w:rsidP="00CC3A7B">
            <w:pPr>
              <w:spacing w:after="60"/>
              <w:jc w:val="right"/>
              <w:rPr>
                <w:sz w:val="18"/>
                <w:szCs w:val="18"/>
              </w:rPr>
            </w:pPr>
          </w:p>
        </w:tc>
        <w:tc>
          <w:tcPr>
            <w:tcW w:w="944" w:type="dxa"/>
            <w:shd w:val="clear" w:color="auto" w:fill="auto"/>
          </w:tcPr>
          <w:p w14:paraId="155005FD" w14:textId="77777777" w:rsidR="00CC3A7B" w:rsidRPr="00D70D7C" w:rsidRDefault="00CC3A7B" w:rsidP="00CC3A7B">
            <w:pPr>
              <w:spacing w:after="60"/>
              <w:jc w:val="right"/>
              <w:rPr>
                <w:sz w:val="18"/>
                <w:szCs w:val="18"/>
              </w:rPr>
            </w:pPr>
          </w:p>
        </w:tc>
        <w:tc>
          <w:tcPr>
            <w:tcW w:w="1162" w:type="dxa"/>
            <w:shd w:val="clear" w:color="auto" w:fill="auto"/>
          </w:tcPr>
          <w:p w14:paraId="3A0274E8" w14:textId="15306C9F" w:rsidR="00CC3A7B" w:rsidRPr="00D70D7C" w:rsidRDefault="00AF202D" w:rsidP="00CC3A7B">
            <w:pPr>
              <w:spacing w:after="60"/>
              <w:jc w:val="right"/>
              <w:rPr>
                <w:sz w:val="18"/>
                <w:szCs w:val="18"/>
              </w:rPr>
            </w:pPr>
            <w:r w:rsidRPr="00D70D7C">
              <w:rPr>
                <w:sz w:val="18"/>
                <w:szCs w:val="18"/>
              </w:rPr>
              <w:t>3 807 657</w:t>
            </w:r>
            <w:r w:rsidRPr="00D70D7C">
              <w:rPr>
                <w:b/>
                <w:sz w:val="18"/>
                <w:szCs w:val="18"/>
              </w:rPr>
              <w:t>**</w:t>
            </w:r>
          </w:p>
        </w:tc>
        <w:tc>
          <w:tcPr>
            <w:tcW w:w="1155" w:type="dxa"/>
            <w:shd w:val="clear" w:color="auto" w:fill="auto"/>
          </w:tcPr>
          <w:p w14:paraId="0B4BB264" w14:textId="242DBAC0" w:rsidR="00CC3A7B" w:rsidRPr="00D70D7C" w:rsidRDefault="00AF202D" w:rsidP="00CC3A7B">
            <w:pPr>
              <w:spacing w:after="60"/>
              <w:jc w:val="right"/>
              <w:rPr>
                <w:sz w:val="18"/>
                <w:szCs w:val="18"/>
              </w:rPr>
            </w:pPr>
            <w:r w:rsidRPr="00D70D7C">
              <w:rPr>
                <w:sz w:val="18"/>
                <w:szCs w:val="18"/>
              </w:rPr>
              <w:t>3 807 657</w:t>
            </w:r>
          </w:p>
        </w:tc>
      </w:tr>
      <w:tr w:rsidR="00AF202D" w:rsidRPr="00D70D7C" w14:paraId="2A9A2A68" w14:textId="77777777" w:rsidTr="00D70D7C">
        <w:trPr>
          <w:jc w:val="center"/>
        </w:trPr>
        <w:tc>
          <w:tcPr>
            <w:tcW w:w="2160" w:type="dxa"/>
            <w:gridSpan w:val="2"/>
            <w:vMerge/>
            <w:shd w:val="clear" w:color="auto" w:fill="auto"/>
          </w:tcPr>
          <w:p w14:paraId="1CFEFD2D" w14:textId="77777777" w:rsidR="00AF202D" w:rsidRPr="00D70D7C" w:rsidRDefault="00AF202D" w:rsidP="00AF202D">
            <w:pPr>
              <w:spacing w:after="60"/>
              <w:jc w:val="center"/>
              <w:rPr>
                <w:sz w:val="18"/>
                <w:szCs w:val="18"/>
              </w:rPr>
            </w:pPr>
          </w:p>
        </w:tc>
        <w:tc>
          <w:tcPr>
            <w:tcW w:w="1376" w:type="dxa"/>
            <w:shd w:val="clear" w:color="auto" w:fill="auto"/>
          </w:tcPr>
          <w:p w14:paraId="7D4373B2" w14:textId="77777777" w:rsidR="00AF202D" w:rsidRPr="00D70D7C" w:rsidRDefault="00AF202D" w:rsidP="00AF202D">
            <w:pPr>
              <w:spacing w:after="60"/>
              <w:jc w:val="left"/>
              <w:rPr>
                <w:sz w:val="18"/>
                <w:szCs w:val="18"/>
              </w:rPr>
            </w:pPr>
            <w:r w:rsidRPr="00D70D7C">
              <w:rPr>
                <w:sz w:val="18"/>
                <w:szCs w:val="18"/>
              </w:rPr>
              <w:t>Coûts d’appui</w:t>
            </w:r>
          </w:p>
        </w:tc>
        <w:tc>
          <w:tcPr>
            <w:tcW w:w="992" w:type="dxa"/>
            <w:shd w:val="clear" w:color="auto" w:fill="auto"/>
          </w:tcPr>
          <w:p w14:paraId="1FBA7764" w14:textId="77777777" w:rsidR="00AF202D" w:rsidRPr="00D70D7C" w:rsidRDefault="00AF202D" w:rsidP="00AF202D">
            <w:pPr>
              <w:spacing w:after="60"/>
              <w:jc w:val="right"/>
              <w:rPr>
                <w:sz w:val="18"/>
                <w:szCs w:val="18"/>
              </w:rPr>
            </w:pPr>
          </w:p>
        </w:tc>
        <w:tc>
          <w:tcPr>
            <w:tcW w:w="992" w:type="dxa"/>
            <w:shd w:val="clear" w:color="auto" w:fill="auto"/>
          </w:tcPr>
          <w:p w14:paraId="4F82F764" w14:textId="77777777" w:rsidR="00AF202D" w:rsidRPr="00D70D7C" w:rsidRDefault="00AF202D" w:rsidP="00AF202D">
            <w:pPr>
              <w:spacing w:after="60"/>
              <w:jc w:val="right"/>
              <w:rPr>
                <w:sz w:val="18"/>
                <w:szCs w:val="18"/>
              </w:rPr>
            </w:pPr>
          </w:p>
        </w:tc>
        <w:tc>
          <w:tcPr>
            <w:tcW w:w="992" w:type="dxa"/>
            <w:shd w:val="clear" w:color="auto" w:fill="auto"/>
          </w:tcPr>
          <w:p w14:paraId="6E599CC7" w14:textId="77777777" w:rsidR="00AF202D" w:rsidRPr="00D70D7C" w:rsidRDefault="00AF202D" w:rsidP="00AF202D">
            <w:pPr>
              <w:jc w:val="right"/>
              <w:rPr>
                <w:color w:val="000000"/>
                <w:sz w:val="18"/>
                <w:szCs w:val="18"/>
              </w:rPr>
            </w:pPr>
          </w:p>
        </w:tc>
        <w:tc>
          <w:tcPr>
            <w:tcW w:w="1134" w:type="dxa"/>
            <w:shd w:val="clear" w:color="auto" w:fill="auto"/>
          </w:tcPr>
          <w:p w14:paraId="7EE07C3E" w14:textId="1E94F9D5" w:rsidR="00AF202D" w:rsidRPr="00D70D7C" w:rsidRDefault="00AF202D" w:rsidP="00AF202D">
            <w:pPr>
              <w:spacing w:after="60"/>
              <w:jc w:val="right"/>
              <w:rPr>
                <w:sz w:val="18"/>
                <w:szCs w:val="18"/>
              </w:rPr>
            </w:pPr>
          </w:p>
        </w:tc>
        <w:tc>
          <w:tcPr>
            <w:tcW w:w="944" w:type="dxa"/>
            <w:shd w:val="clear" w:color="auto" w:fill="auto"/>
          </w:tcPr>
          <w:p w14:paraId="050B63C4" w14:textId="77777777" w:rsidR="00AF202D" w:rsidRPr="00D70D7C" w:rsidRDefault="00AF202D" w:rsidP="00AF202D">
            <w:pPr>
              <w:spacing w:after="60"/>
              <w:jc w:val="right"/>
              <w:rPr>
                <w:sz w:val="18"/>
                <w:szCs w:val="18"/>
              </w:rPr>
            </w:pPr>
          </w:p>
        </w:tc>
        <w:tc>
          <w:tcPr>
            <w:tcW w:w="1162" w:type="dxa"/>
            <w:shd w:val="clear" w:color="auto" w:fill="auto"/>
          </w:tcPr>
          <w:p w14:paraId="20FF18D1" w14:textId="7DC3CDA6" w:rsidR="00AF202D" w:rsidRPr="00D70D7C" w:rsidRDefault="00AF202D" w:rsidP="00AF202D">
            <w:pPr>
              <w:spacing w:after="60"/>
              <w:jc w:val="right"/>
              <w:rPr>
                <w:sz w:val="18"/>
                <w:szCs w:val="18"/>
              </w:rPr>
            </w:pPr>
            <w:r w:rsidRPr="00D70D7C">
              <w:rPr>
                <w:sz w:val="18"/>
                <w:szCs w:val="18"/>
              </w:rPr>
              <w:t>268 120</w:t>
            </w:r>
            <w:r w:rsidRPr="00D70D7C">
              <w:rPr>
                <w:b/>
                <w:sz w:val="18"/>
                <w:szCs w:val="18"/>
              </w:rPr>
              <w:t>**</w:t>
            </w:r>
          </w:p>
        </w:tc>
        <w:tc>
          <w:tcPr>
            <w:tcW w:w="1155" w:type="dxa"/>
            <w:shd w:val="clear" w:color="auto" w:fill="auto"/>
          </w:tcPr>
          <w:p w14:paraId="7567CFC2" w14:textId="0B2CD6FE" w:rsidR="00AF202D" w:rsidRPr="00D70D7C" w:rsidRDefault="00AF202D" w:rsidP="00AF202D">
            <w:pPr>
              <w:spacing w:after="60"/>
              <w:jc w:val="right"/>
              <w:rPr>
                <w:sz w:val="18"/>
                <w:szCs w:val="18"/>
              </w:rPr>
            </w:pPr>
            <w:r w:rsidRPr="00D70D7C">
              <w:rPr>
                <w:sz w:val="18"/>
                <w:szCs w:val="18"/>
              </w:rPr>
              <w:t>268 120</w:t>
            </w:r>
          </w:p>
        </w:tc>
      </w:tr>
    </w:tbl>
    <w:p w14:paraId="7759A507" w14:textId="476E0D04" w:rsidR="00D45250" w:rsidRPr="00D70D7C" w:rsidRDefault="00D45250" w:rsidP="009A3B62">
      <w:pPr>
        <w:ind w:left="-567"/>
        <w:jc w:val="left"/>
        <w:rPr>
          <w:sz w:val="16"/>
          <w:szCs w:val="18"/>
        </w:rPr>
      </w:pPr>
      <w:r w:rsidRPr="00D70D7C">
        <w:rPr>
          <w:sz w:val="16"/>
          <w:szCs w:val="18"/>
        </w:rPr>
        <w:t xml:space="preserve">* Financement mis à jour pour refléter le retour de 93 358 $ US, plus les coûts d’appui d’agence de 6 535 $ US pour la Banque mondiale en raison d’un changement de technologie chez </w:t>
      </w:r>
      <w:proofErr w:type="spellStart"/>
      <w:r w:rsidRPr="00D70D7C">
        <w:rPr>
          <w:sz w:val="16"/>
          <w:szCs w:val="18"/>
        </w:rPr>
        <w:t>Midea</w:t>
      </w:r>
      <w:proofErr w:type="spellEnd"/>
      <w:r w:rsidRPr="00D70D7C">
        <w:rPr>
          <w:sz w:val="16"/>
          <w:szCs w:val="18"/>
        </w:rPr>
        <w:t xml:space="preserve"> Consumer Electric (Viet Nam), du R-290 au HFC-32 (décision 82/37(b)).</w:t>
      </w:r>
    </w:p>
    <w:p w14:paraId="451D0829" w14:textId="32B5E47B" w:rsidR="00D45250" w:rsidRPr="00D70D7C" w:rsidRDefault="00D45250" w:rsidP="009A3B62">
      <w:pPr>
        <w:ind w:left="-567"/>
        <w:jc w:val="left"/>
        <w:rPr>
          <w:sz w:val="16"/>
          <w:szCs w:val="18"/>
        </w:rPr>
      </w:pPr>
      <w:r w:rsidRPr="00D70D7C">
        <w:rPr>
          <w:sz w:val="16"/>
          <w:szCs w:val="18"/>
        </w:rPr>
        <w:t>** La deuxième tranche devait être présentée en 2017 et la troisième, en 2018.</w:t>
      </w:r>
    </w:p>
    <w:p w14:paraId="05CEE83C" w14:textId="77777777" w:rsidR="00D45250" w:rsidRPr="00D70D7C" w:rsidRDefault="00D45250" w:rsidP="00D45250">
      <w:pPr>
        <w:spacing w:after="60"/>
        <w:jc w:val="center"/>
        <w:rPr>
          <w:sz w:val="18"/>
          <w:szCs w:val="18"/>
        </w:rPr>
      </w:pPr>
    </w:p>
    <w:tbl>
      <w:tblPr>
        <w:tblStyle w:val="TableGrid"/>
        <w:tblW w:w="10627" w:type="dxa"/>
        <w:jc w:val="center"/>
        <w:tblLook w:val="04A0" w:firstRow="1" w:lastRow="0" w:firstColumn="1" w:lastColumn="0" w:noHBand="0" w:noVBand="1"/>
      </w:tblPr>
      <w:tblGrid>
        <w:gridCol w:w="3000"/>
        <w:gridCol w:w="7627"/>
      </w:tblGrid>
      <w:tr w:rsidR="00D45250" w:rsidRPr="00D70D7C" w14:paraId="5664E167" w14:textId="77777777" w:rsidTr="009A3B62">
        <w:trPr>
          <w:trHeight w:val="240"/>
          <w:jc w:val="center"/>
        </w:trPr>
        <w:tc>
          <w:tcPr>
            <w:tcW w:w="3000" w:type="dxa"/>
            <w:shd w:val="clear" w:color="auto" w:fill="auto"/>
          </w:tcPr>
          <w:p w14:paraId="6DB00961" w14:textId="77777777" w:rsidR="00D45250" w:rsidRPr="00D70D7C" w:rsidRDefault="00D45250" w:rsidP="0089179A">
            <w:pPr>
              <w:spacing w:after="60"/>
              <w:jc w:val="left"/>
              <w:rPr>
                <w:b/>
                <w:sz w:val="18"/>
                <w:szCs w:val="18"/>
              </w:rPr>
            </w:pPr>
            <w:r w:rsidRPr="00D70D7C">
              <w:rPr>
                <w:b/>
                <w:sz w:val="18"/>
                <w:szCs w:val="18"/>
              </w:rPr>
              <w:t>Recommandation du Secrétariat :</w:t>
            </w:r>
          </w:p>
        </w:tc>
        <w:tc>
          <w:tcPr>
            <w:tcW w:w="7627" w:type="dxa"/>
            <w:shd w:val="clear" w:color="auto" w:fill="auto"/>
          </w:tcPr>
          <w:p w14:paraId="1564C84D" w14:textId="77777777" w:rsidR="00D45250" w:rsidRPr="00D70D7C" w:rsidRDefault="00D45250" w:rsidP="0089179A">
            <w:pPr>
              <w:spacing w:after="60"/>
              <w:jc w:val="center"/>
              <w:rPr>
                <w:sz w:val="18"/>
                <w:szCs w:val="18"/>
              </w:rPr>
            </w:pPr>
            <w:r w:rsidRPr="00D70D7C">
              <w:rPr>
                <w:sz w:val="18"/>
                <w:szCs w:val="18"/>
              </w:rPr>
              <w:t>Approbation générale</w:t>
            </w:r>
          </w:p>
        </w:tc>
      </w:tr>
    </w:tbl>
    <w:p w14:paraId="028969EB" w14:textId="77777777" w:rsidR="00D8105A" w:rsidRPr="00E751DF" w:rsidRDefault="00D8105A" w:rsidP="00D8105A">
      <w:pPr>
        <w:jc w:val="center"/>
        <w:rPr>
          <w:b/>
        </w:rPr>
      </w:pPr>
      <w:r>
        <w:rPr>
          <w:b/>
        </w:rPr>
        <w:lastRenderedPageBreak/>
        <w:t>DESCRIPTION DU PROJET</w:t>
      </w:r>
    </w:p>
    <w:p w14:paraId="6CB10FC5" w14:textId="77777777" w:rsidR="00D8105A" w:rsidRPr="00E751DF" w:rsidRDefault="00D8105A" w:rsidP="00D8105A"/>
    <w:p w14:paraId="70F35C9D" w14:textId="6CDBE4E7" w:rsidR="00283833" w:rsidRPr="00E751DF" w:rsidRDefault="00283833" w:rsidP="00283833">
      <w:pPr>
        <w:pStyle w:val="Heading1"/>
      </w:pPr>
      <w:r>
        <w:t>Au nom du gouvernement du Viet Nam, la Banque mondiale, en tant que principale agence d’exécution, a présenté une demande de financement pour la troisième tranche de la phase II du plan de gestion de l’élimination des HCFC (PGEH) d’un montant total de 4 075 777 $ US, soit 3 781 257 $ US, plus les coûts d’appui d’agence de 264 688 $ US pour la Banque mondiale, et de 26 400 $ US, plus les coûts d’appui d’agence de 3 432 $ US pour le Japon.</w:t>
      </w:r>
      <w:r w:rsidRPr="00E751DF">
        <w:rPr>
          <w:rStyle w:val="FootnoteReference"/>
        </w:rPr>
        <w:footnoteReference w:id="2"/>
      </w:r>
      <w:r>
        <w:t xml:space="preserve"> La présentation comprend un rapport périodique sur la mise en œuvre de la deuxième tranche, le rapport de vérification sur la consommation des HCFC pour 2019 et 2020, ainsi que le plan de mise en œuvre de la tranche pour 2021 à 2022.</w:t>
      </w:r>
    </w:p>
    <w:p w14:paraId="4334D424" w14:textId="77777777" w:rsidR="00283833" w:rsidRPr="00E751DF" w:rsidRDefault="00283833" w:rsidP="00283833">
      <w:pPr>
        <w:rPr>
          <w:u w:val="single"/>
        </w:rPr>
      </w:pPr>
      <w:r>
        <w:rPr>
          <w:u w:val="single"/>
        </w:rPr>
        <w:t>Rapport sur la consommation de HCFC</w:t>
      </w:r>
    </w:p>
    <w:p w14:paraId="5CBB5280" w14:textId="77777777" w:rsidR="00283833" w:rsidRPr="00E751DF" w:rsidRDefault="00283833" w:rsidP="00283833"/>
    <w:p w14:paraId="1958E825" w14:textId="17442CFE" w:rsidR="00283833" w:rsidRPr="00E751DF" w:rsidRDefault="00283833" w:rsidP="00283833">
      <w:pPr>
        <w:pStyle w:val="Heading1"/>
      </w:pPr>
      <w:r>
        <w:t>Le gouvernement du Viet Nam a rapporté, en vertu du programme du pays, une consommation de 142,18 tonnes PAO de HCFC en 2020, ce qui est environ 36 </w:t>
      </w:r>
      <w:r w:rsidR="00133C08">
        <w:t>pour cent</w:t>
      </w:r>
      <w:r>
        <w:t xml:space="preserve"> inférieur à la valeur de référence pour la conformité. La consommation de HCFC pour 2016 à 2020 est indiquée dans le tableau 1. </w:t>
      </w:r>
    </w:p>
    <w:p w14:paraId="02CE9FA6" w14:textId="7E0AE3DA" w:rsidR="00283833" w:rsidRPr="00E751DF" w:rsidRDefault="00283833" w:rsidP="00283833">
      <w:pPr>
        <w:rPr>
          <w:b/>
          <w:sz w:val="21"/>
          <w:szCs w:val="21"/>
        </w:rPr>
      </w:pPr>
      <w:r>
        <w:rPr>
          <w:b/>
          <w:sz w:val="21"/>
          <w:szCs w:val="21"/>
        </w:rPr>
        <w:t>Tableau 1. Consommation de HCFC au Viet Nam (2016-2020, données de l’Article 7)</w:t>
      </w:r>
    </w:p>
    <w:tbl>
      <w:tblPr>
        <w:tblW w:w="5000" w:type="pct"/>
        <w:tblLayout w:type="fixed"/>
        <w:tblLook w:val="04A0" w:firstRow="1" w:lastRow="0" w:firstColumn="1" w:lastColumn="0" w:noHBand="0" w:noVBand="1"/>
      </w:tblPr>
      <w:tblGrid>
        <w:gridCol w:w="2156"/>
        <w:gridCol w:w="1199"/>
        <w:gridCol w:w="1199"/>
        <w:gridCol w:w="1199"/>
        <w:gridCol w:w="1199"/>
        <w:gridCol w:w="1199"/>
        <w:gridCol w:w="1199"/>
      </w:tblGrid>
      <w:tr w:rsidR="00283833" w:rsidRPr="00E751DF" w14:paraId="791FC5AA" w14:textId="77777777" w:rsidTr="003C227C">
        <w:trPr>
          <w:tblHeader/>
        </w:trPr>
        <w:tc>
          <w:tcPr>
            <w:tcW w:w="115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BCF4C5D" w14:textId="77777777" w:rsidR="00283833" w:rsidRPr="00E751DF" w:rsidRDefault="00283833" w:rsidP="0089179A">
            <w:pPr>
              <w:widowControl w:val="0"/>
              <w:jc w:val="left"/>
              <w:rPr>
                <w:b/>
                <w:bCs/>
                <w:color w:val="000000"/>
                <w:sz w:val="20"/>
                <w:szCs w:val="20"/>
              </w:rPr>
            </w:pPr>
            <w:r>
              <w:rPr>
                <w:b/>
                <w:bCs/>
                <w:color w:val="000000"/>
                <w:sz w:val="20"/>
                <w:szCs w:val="20"/>
              </w:rPr>
              <w:t>HCFC</w:t>
            </w:r>
          </w:p>
        </w:tc>
        <w:tc>
          <w:tcPr>
            <w:tcW w:w="641" w:type="pct"/>
            <w:tcBorders>
              <w:top w:val="single" w:sz="4" w:space="0" w:color="auto"/>
              <w:left w:val="single" w:sz="4" w:space="0" w:color="auto"/>
              <w:bottom w:val="single" w:sz="4" w:space="0" w:color="auto"/>
              <w:right w:val="single" w:sz="4" w:space="0" w:color="auto"/>
            </w:tcBorders>
          </w:tcPr>
          <w:p w14:paraId="6AB17A4E" w14:textId="77777777" w:rsidR="00283833" w:rsidRPr="00E751DF" w:rsidRDefault="00283833" w:rsidP="0089179A">
            <w:pPr>
              <w:widowControl w:val="0"/>
              <w:jc w:val="center"/>
              <w:rPr>
                <w:b/>
                <w:bCs/>
                <w:color w:val="000000"/>
                <w:sz w:val="20"/>
                <w:szCs w:val="20"/>
              </w:rPr>
            </w:pPr>
            <w:r>
              <w:rPr>
                <w:b/>
                <w:bCs/>
                <w:color w:val="000000"/>
                <w:sz w:val="20"/>
                <w:szCs w:val="20"/>
              </w:rPr>
              <w:t>2016</w:t>
            </w:r>
          </w:p>
        </w:tc>
        <w:tc>
          <w:tcPr>
            <w:tcW w:w="641" w:type="pct"/>
            <w:tcBorders>
              <w:top w:val="single" w:sz="4" w:space="0" w:color="auto"/>
              <w:left w:val="single" w:sz="4" w:space="0" w:color="auto"/>
              <w:bottom w:val="single" w:sz="4" w:space="0" w:color="auto"/>
              <w:right w:val="single" w:sz="4" w:space="0" w:color="auto"/>
            </w:tcBorders>
          </w:tcPr>
          <w:p w14:paraId="35ADF01B" w14:textId="77777777" w:rsidR="00283833" w:rsidRPr="00E751DF" w:rsidRDefault="00283833" w:rsidP="0089179A">
            <w:pPr>
              <w:widowControl w:val="0"/>
              <w:jc w:val="center"/>
              <w:rPr>
                <w:b/>
                <w:bCs/>
                <w:color w:val="000000"/>
                <w:sz w:val="20"/>
                <w:szCs w:val="20"/>
              </w:rPr>
            </w:pPr>
            <w:r>
              <w:rPr>
                <w:b/>
                <w:bCs/>
                <w:color w:val="000000"/>
                <w:sz w:val="20"/>
                <w:szCs w:val="20"/>
              </w:rPr>
              <w:t>2017</w:t>
            </w:r>
          </w:p>
        </w:tc>
        <w:tc>
          <w:tcPr>
            <w:tcW w:w="641" w:type="pct"/>
            <w:tcBorders>
              <w:top w:val="single" w:sz="4" w:space="0" w:color="auto"/>
              <w:left w:val="single" w:sz="4" w:space="0" w:color="auto"/>
              <w:bottom w:val="single" w:sz="4" w:space="0" w:color="auto"/>
              <w:right w:val="single" w:sz="4" w:space="0" w:color="auto"/>
            </w:tcBorders>
          </w:tcPr>
          <w:p w14:paraId="6CE1199E" w14:textId="77777777" w:rsidR="00283833" w:rsidRPr="00E751DF" w:rsidRDefault="00283833" w:rsidP="0089179A">
            <w:pPr>
              <w:widowControl w:val="0"/>
              <w:jc w:val="center"/>
              <w:rPr>
                <w:b/>
                <w:bCs/>
                <w:color w:val="000000"/>
                <w:sz w:val="20"/>
                <w:szCs w:val="20"/>
              </w:rPr>
            </w:pPr>
            <w:r>
              <w:rPr>
                <w:b/>
                <w:bCs/>
                <w:color w:val="000000"/>
                <w:sz w:val="20"/>
                <w:szCs w:val="20"/>
              </w:rPr>
              <w:t>2018</w:t>
            </w:r>
          </w:p>
        </w:tc>
        <w:tc>
          <w:tcPr>
            <w:tcW w:w="641" w:type="pct"/>
            <w:tcBorders>
              <w:top w:val="single" w:sz="4" w:space="0" w:color="auto"/>
              <w:left w:val="single" w:sz="4" w:space="0" w:color="auto"/>
              <w:bottom w:val="single" w:sz="4" w:space="0" w:color="auto"/>
              <w:right w:val="single" w:sz="4" w:space="0" w:color="auto"/>
            </w:tcBorders>
          </w:tcPr>
          <w:p w14:paraId="12A0AC20" w14:textId="77777777" w:rsidR="00283833" w:rsidRPr="00E751DF" w:rsidRDefault="00283833" w:rsidP="0089179A">
            <w:pPr>
              <w:widowControl w:val="0"/>
              <w:jc w:val="center"/>
              <w:rPr>
                <w:b/>
                <w:bCs/>
                <w:color w:val="000000"/>
                <w:sz w:val="20"/>
                <w:szCs w:val="20"/>
              </w:rPr>
            </w:pPr>
            <w:r>
              <w:rPr>
                <w:b/>
                <w:bCs/>
                <w:color w:val="000000"/>
                <w:sz w:val="20"/>
                <w:szCs w:val="20"/>
              </w:rPr>
              <w:t>2019</w:t>
            </w:r>
          </w:p>
        </w:tc>
        <w:tc>
          <w:tcPr>
            <w:tcW w:w="641" w:type="pct"/>
            <w:tcBorders>
              <w:top w:val="single" w:sz="4" w:space="0" w:color="auto"/>
              <w:left w:val="single" w:sz="4" w:space="0" w:color="auto"/>
              <w:bottom w:val="single" w:sz="4" w:space="0" w:color="auto"/>
              <w:right w:val="single" w:sz="4" w:space="0" w:color="auto"/>
            </w:tcBorders>
          </w:tcPr>
          <w:p w14:paraId="38F8067E" w14:textId="77777777" w:rsidR="00283833" w:rsidRPr="00E751DF" w:rsidRDefault="00283833" w:rsidP="0089179A">
            <w:pPr>
              <w:widowControl w:val="0"/>
              <w:jc w:val="center"/>
              <w:rPr>
                <w:b/>
                <w:bCs/>
                <w:color w:val="000000"/>
                <w:sz w:val="20"/>
                <w:szCs w:val="20"/>
              </w:rPr>
            </w:pPr>
            <w:r>
              <w:rPr>
                <w:b/>
                <w:bCs/>
                <w:color w:val="000000"/>
                <w:sz w:val="20"/>
                <w:szCs w:val="20"/>
              </w:rPr>
              <w:t>2020*</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DD276" w14:textId="77777777" w:rsidR="00283833" w:rsidRPr="00E751DF" w:rsidRDefault="00283833" w:rsidP="0089179A">
            <w:pPr>
              <w:widowControl w:val="0"/>
              <w:jc w:val="center"/>
              <w:rPr>
                <w:b/>
                <w:bCs/>
                <w:color w:val="000000"/>
                <w:sz w:val="20"/>
                <w:szCs w:val="20"/>
              </w:rPr>
            </w:pPr>
            <w:r>
              <w:rPr>
                <w:b/>
                <w:bCs/>
                <w:color w:val="000000"/>
                <w:sz w:val="20"/>
                <w:szCs w:val="20"/>
              </w:rPr>
              <w:t>Valeur de référence</w:t>
            </w:r>
          </w:p>
        </w:tc>
      </w:tr>
      <w:tr w:rsidR="00283833" w:rsidRPr="00E751DF" w14:paraId="03328988" w14:textId="77777777" w:rsidTr="003C227C">
        <w:trPr>
          <w:tblHeader/>
        </w:trPr>
        <w:tc>
          <w:tcPr>
            <w:tcW w:w="115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52EF11ED" w14:textId="77777777" w:rsidR="00283833" w:rsidRPr="00E751DF" w:rsidRDefault="00283833" w:rsidP="0089179A">
            <w:pPr>
              <w:widowControl w:val="0"/>
              <w:jc w:val="left"/>
              <w:rPr>
                <w:b/>
                <w:bCs/>
                <w:color w:val="000000"/>
                <w:sz w:val="20"/>
                <w:szCs w:val="20"/>
              </w:rPr>
            </w:pPr>
            <w:r>
              <w:rPr>
                <w:b/>
                <w:bCs/>
                <w:color w:val="000000"/>
                <w:sz w:val="20"/>
                <w:szCs w:val="20"/>
              </w:rPr>
              <w:t>Tonnes métriques</w:t>
            </w:r>
          </w:p>
        </w:tc>
        <w:tc>
          <w:tcPr>
            <w:tcW w:w="641" w:type="pct"/>
            <w:tcBorders>
              <w:top w:val="single" w:sz="4" w:space="0" w:color="auto"/>
              <w:left w:val="single" w:sz="4" w:space="0" w:color="auto"/>
              <w:bottom w:val="single" w:sz="4" w:space="0" w:color="auto"/>
              <w:right w:val="single" w:sz="4" w:space="0" w:color="auto"/>
            </w:tcBorders>
          </w:tcPr>
          <w:p w14:paraId="388FA503" w14:textId="77777777" w:rsidR="00283833" w:rsidRPr="00E751DF" w:rsidRDefault="00283833" w:rsidP="0089179A">
            <w:pPr>
              <w:widowControl w:val="0"/>
              <w:jc w:val="center"/>
              <w:rPr>
                <w:b/>
                <w:bCs/>
                <w:color w:val="000000"/>
                <w:sz w:val="20"/>
                <w:szCs w:val="20"/>
              </w:rPr>
            </w:pPr>
          </w:p>
        </w:tc>
        <w:tc>
          <w:tcPr>
            <w:tcW w:w="641" w:type="pct"/>
            <w:tcBorders>
              <w:top w:val="single" w:sz="4" w:space="0" w:color="auto"/>
              <w:left w:val="single" w:sz="4" w:space="0" w:color="auto"/>
              <w:bottom w:val="single" w:sz="4" w:space="0" w:color="auto"/>
              <w:right w:val="single" w:sz="4" w:space="0" w:color="auto"/>
            </w:tcBorders>
          </w:tcPr>
          <w:p w14:paraId="79BA3DDA" w14:textId="77777777" w:rsidR="00283833" w:rsidRPr="00E751DF" w:rsidRDefault="00283833" w:rsidP="0089179A">
            <w:pPr>
              <w:widowControl w:val="0"/>
              <w:jc w:val="center"/>
              <w:rPr>
                <w:b/>
                <w:bCs/>
                <w:color w:val="000000"/>
                <w:sz w:val="20"/>
                <w:szCs w:val="20"/>
              </w:rPr>
            </w:pPr>
          </w:p>
        </w:tc>
        <w:tc>
          <w:tcPr>
            <w:tcW w:w="641" w:type="pct"/>
            <w:tcBorders>
              <w:top w:val="single" w:sz="4" w:space="0" w:color="auto"/>
              <w:left w:val="single" w:sz="4" w:space="0" w:color="auto"/>
              <w:bottom w:val="single" w:sz="4" w:space="0" w:color="auto"/>
              <w:right w:val="single" w:sz="4" w:space="0" w:color="auto"/>
            </w:tcBorders>
          </w:tcPr>
          <w:p w14:paraId="78E3C542" w14:textId="77777777" w:rsidR="00283833" w:rsidRPr="00E751DF" w:rsidRDefault="00283833" w:rsidP="0089179A">
            <w:pPr>
              <w:widowControl w:val="0"/>
              <w:jc w:val="center"/>
              <w:rPr>
                <w:b/>
                <w:bCs/>
                <w:color w:val="000000"/>
                <w:sz w:val="20"/>
                <w:szCs w:val="20"/>
              </w:rPr>
            </w:pPr>
          </w:p>
        </w:tc>
        <w:tc>
          <w:tcPr>
            <w:tcW w:w="641" w:type="pct"/>
            <w:tcBorders>
              <w:top w:val="single" w:sz="4" w:space="0" w:color="auto"/>
              <w:left w:val="single" w:sz="4" w:space="0" w:color="auto"/>
              <w:bottom w:val="single" w:sz="4" w:space="0" w:color="auto"/>
              <w:right w:val="single" w:sz="4" w:space="0" w:color="auto"/>
            </w:tcBorders>
          </w:tcPr>
          <w:p w14:paraId="551378ED" w14:textId="77777777" w:rsidR="00283833" w:rsidRPr="00E751DF" w:rsidRDefault="00283833" w:rsidP="0089179A">
            <w:pPr>
              <w:widowControl w:val="0"/>
              <w:jc w:val="center"/>
              <w:rPr>
                <w:b/>
                <w:bCs/>
                <w:color w:val="000000"/>
                <w:sz w:val="20"/>
                <w:szCs w:val="20"/>
              </w:rPr>
            </w:pPr>
          </w:p>
        </w:tc>
        <w:tc>
          <w:tcPr>
            <w:tcW w:w="641" w:type="pct"/>
            <w:tcBorders>
              <w:top w:val="single" w:sz="4" w:space="0" w:color="auto"/>
              <w:left w:val="single" w:sz="4" w:space="0" w:color="auto"/>
              <w:bottom w:val="single" w:sz="4" w:space="0" w:color="auto"/>
              <w:right w:val="single" w:sz="4" w:space="0" w:color="auto"/>
            </w:tcBorders>
          </w:tcPr>
          <w:p w14:paraId="6712F0FD" w14:textId="77777777" w:rsidR="00283833" w:rsidRPr="00E751DF" w:rsidRDefault="00283833" w:rsidP="0089179A">
            <w:pPr>
              <w:widowControl w:val="0"/>
              <w:jc w:val="center"/>
              <w:rPr>
                <w:b/>
                <w:bCs/>
                <w:color w:val="000000"/>
                <w:sz w:val="20"/>
                <w:szCs w:val="20"/>
              </w:rPr>
            </w:pP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41265" w14:textId="77777777" w:rsidR="00283833" w:rsidRPr="00E751DF" w:rsidRDefault="00283833" w:rsidP="0089179A">
            <w:pPr>
              <w:widowControl w:val="0"/>
              <w:jc w:val="center"/>
              <w:rPr>
                <w:b/>
                <w:bCs/>
                <w:color w:val="000000"/>
                <w:sz w:val="20"/>
                <w:szCs w:val="20"/>
              </w:rPr>
            </w:pPr>
          </w:p>
        </w:tc>
      </w:tr>
      <w:tr w:rsidR="00283833" w:rsidRPr="00E751DF" w14:paraId="5F0B8DFB" w14:textId="77777777" w:rsidTr="003C227C">
        <w:tc>
          <w:tcPr>
            <w:tcW w:w="11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4D2DBE8" w14:textId="77777777" w:rsidR="00283833" w:rsidRPr="00E751DF" w:rsidRDefault="00283833" w:rsidP="0089179A">
            <w:pPr>
              <w:widowControl w:val="0"/>
              <w:jc w:val="left"/>
              <w:rPr>
                <w:color w:val="000000"/>
                <w:sz w:val="20"/>
                <w:szCs w:val="20"/>
              </w:rPr>
            </w:pPr>
            <w:r>
              <w:rPr>
                <w:color w:val="000000"/>
                <w:sz w:val="20"/>
                <w:szCs w:val="20"/>
              </w:rPr>
              <w:t>HCFC-22</w:t>
            </w:r>
          </w:p>
        </w:tc>
        <w:tc>
          <w:tcPr>
            <w:tcW w:w="641" w:type="pct"/>
            <w:tcBorders>
              <w:top w:val="nil"/>
              <w:left w:val="single" w:sz="4" w:space="0" w:color="auto"/>
              <w:bottom w:val="single" w:sz="4" w:space="0" w:color="auto"/>
              <w:right w:val="single" w:sz="4" w:space="0" w:color="auto"/>
            </w:tcBorders>
            <w:tcMar>
              <w:right w:w="144" w:type="dxa"/>
            </w:tcMar>
            <w:vAlign w:val="bottom"/>
          </w:tcPr>
          <w:p w14:paraId="684B2148" w14:textId="77777777" w:rsidR="00283833" w:rsidRPr="00E751DF" w:rsidRDefault="00283833" w:rsidP="0089179A">
            <w:pPr>
              <w:jc w:val="right"/>
              <w:rPr>
                <w:color w:val="000000"/>
                <w:sz w:val="20"/>
                <w:szCs w:val="20"/>
              </w:rPr>
            </w:pPr>
            <w:r>
              <w:rPr>
                <w:color w:val="000000"/>
                <w:sz w:val="20"/>
                <w:szCs w:val="20"/>
              </w:rPr>
              <w:t>3 522,49</w:t>
            </w:r>
          </w:p>
        </w:tc>
        <w:tc>
          <w:tcPr>
            <w:tcW w:w="641" w:type="pct"/>
            <w:tcBorders>
              <w:top w:val="nil"/>
              <w:left w:val="single" w:sz="4" w:space="0" w:color="auto"/>
              <w:bottom w:val="single" w:sz="4" w:space="0" w:color="auto"/>
              <w:right w:val="single" w:sz="4" w:space="0" w:color="auto"/>
            </w:tcBorders>
            <w:tcMar>
              <w:right w:w="144" w:type="dxa"/>
            </w:tcMar>
            <w:vAlign w:val="bottom"/>
          </w:tcPr>
          <w:p w14:paraId="2548BB5F" w14:textId="77777777" w:rsidR="00283833" w:rsidRPr="00E751DF" w:rsidRDefault="00283833" w:rsidP="0089179A">
            <w:pPr>
              <w:jc w:val="right"/>
              <w:rPr>
                <w:color w:val="000000"/>
                <w:sz w:val="20"/>
                <w:szCs w:val="20"/>
              </w:rPr>
            </w:pPr>
            <w:r>
              <w:rPr>
                <w:color w:val="000000"/>
                <w:sz w:val="20"/>
                <w:szCs w:val="20"/>
              </w:rPr>
              <w:t>3 568,52</w:t>
            </w:r>
          </w:p>
        </w:tc>
        <w:tc>
          <w:tcPr>
            <w:tcW w:w="641" w:type="pct"/>
            <w:tcBorders>
              <w:top w:val="nil"/>
              <w:left w:val="single" w:sz="4" w:space="0" w:color="auto"/>
              <w:bottom w:val="single" w:sz="4" w:space="0" w:color="auto"/>
              <w:right w:val="single" w:sz="4" w:space="0" w:color="auto"/>
            </w:tcBorders>
            <w:tcMar>
              <w:right w:w="144" w:type="dxa"/>
            </w:tcMar>
            <w:vAlign w:val="bottom"/>
          </w:tcPr>
          <w:p w14:paraId="7248FAC8" w14:textId="77777777" w:rsidR="00283833" w:rsidRPr="00E751DF" w:rsidRDefault="00283833" w:rsidP="0089179A">
            <w:pPr>
              <w:jc w:val="right"/>
              <w:rPr>
                <w:color w:val="000000"/>
                <w:sz w:val="20"/>
                <w:szCs w:val="20"/>
              </w:rPr>
            </w:pPr>
            <w:r>
              <w:rPr>
                <w:color w:val="000000"/>
                <w:sz w:val="20"/>
                <w:szCs w:val="20"/>
              </w:rPr>
              <w:t>3 516,23</w:t>
            </w:r>
          </w:p>
        </w:tc>
        <w:tc>
          <w:tcPr>
            <w:tcW w:w="641" w:type="pct"/>
            <w:tcBorders>
              <w:top w:val="nil"/>
              <w:left w:val="single" w:sz="4" w:space="0" w:color="auto"/>
              <w:bottom w:val="single" w:sz="4" w:space="0" w:color="auto"/>
              <w:right w:val="single" w:sz="4" w:space="0" w:color="auto"/>
            </w:tcBorders>
            <w:vAlign w:val="bottom"/>
          </w:tcPr>
          <w:p w14:paraId="74C9D199" w14:textId="77777777" w:rsidR="00283833" w:rsidRPr="00E751DF" w:rsidRDefault="00283833" w:rsidP="0089179A">
            <w:pPr>
              <w:jc w:val="right"/>
              <w:rPr>
                <w:color w:val="000000"/>
                <w:sz w:val="20"/>
                <w:szCs w:val="20"/>
              </w:rPr>
            </w:pPr>
            <w:r>
              <w:rPr>
                <w:color w:val="000000"/>
                <w:sz w:val="20"/>
                <w:szCs w:val="20"/>
              </w:rPr>
              <w:t>3 558,55</w:t>
            </w:r>
          </w:p>
        </w:tc>
        <w:tc>
          <w:tcPr>
            <w:tcW w:w="641" w:type="pct"/>
            <w:tcBorders>
              <w:top w:val="nil"/>
              <w:left w:val="single" w:sz="4" w:space="0" w:color="auto"/>
              <w:bottom w:val="single" w:sz="4" w:space="0" w:color="auto"/>
              <w:right w:val="single" w:sz="4" w:space="0" w:color="auto"/>
            </w:tcBorders>
          </w:tcPr>
          <w:p w14:paraId="7D7AE007" w14:textId="77777777" w:rsidR="00283833" w:rsidRPr="00E751DF" w:rsidRDefault="00283833" w:rsidP="0089179A">
            <w:pPr>
              <w:jc w:val="right"/>
              <w:rPr>
                <w:sz w:val="20"/>
                <w:szCs w:val="20"/>
              </w:rPr>
            </w:pPr>
            <w:r>
              <w:rPr>
                <w:sz w:val="20"/>
                <w:szCs w:val="20"/>
              </w:rPr>
              <w:t>2 585,02</w:t>
            </w:r>
          </w:p>
        </w:tc>
        <w:tc>
          <w:tcPr>
            <w:tcW w:w="641" w:type="pct"/>
            <w:tcBorders>
              <w:top w:val="nil"/>
              <w:left w:val="single" w:sz="4" w:space="0" w:color="auto"/>
              <w:bottom w:val="single" w:sz="4" w:space="0" w:color="auto"/>
              <w:right w:val="single" w:sz="4" w:space="0" w:color="auto"/>
            </w:tcBorders>
            <w:shd w:val="clear" w:color="auto" w:fill="auto"/>
            <w:noWrap/>
            <w:tcMar>
              <w:left w:w="0" w:type="dxa"/>
              <w:right w:w="144" w:type="dxa"/>
            </w:tcMar>
          </w:tcPr>
          <w:p w14:paraId="6DF159B6" w14:textId="77777777" w:rsidR="00283833" w:rsidRPr="00E751DF" w:rsidRDefault="00283833" w:rsidP="0089179A">
            <w:pPr>
              <w:jc w:val="right"/>
              <w:rPr>
                <w:sz w:val="20"/>
                <w:szCs w:val="20"/>
              </w:rPr>
            </w:pPr>
            <w:r>
              <w:rPr>
                <w:sz w:val="20"/>
                <w:szCs w:val="20"/>
              </w:rPr>
              <w:t>3 039,00</w:t>
            </w:r>
          </w:p>
        </w:tc>
      </w:tr>
      <w:tr w:rsidR="00283833" w:rsidRPr="00E751DF" w14:paraId="475E87E7" w14:textId="77777777" w:rsidTr="003C227C">
        <w:tc>
          <w:tcPr>
            <w:tcW w:w="11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952C18E" w14:textId="77777777" w:rsidR="00283833" w:rsidRPr="00E751DF" w:rsidRDefault="00283833" w:rsidP="0089179A">
            <w:pPr>
              <w:widowControl w:val="0"/>
              <w:jc w:val="left"/>
              <w:rPr>
                <w:color w:val="000000"/>
                <w:sz w:val="20"/>
                <w:szCs w:val="20"/>
              </w:rPr>
            </w:pPr>
            <w:r>
              <w:rPr>
                <w:color w:val="000000"/>
                <w:sz w:val="20"/>
                <w:szCs w:val="20"/>
              </w:rPr>
              <w:t>HCFC-123</w:t>
            </w:r>
          </w:p>
        </w:tc>
        <w:tc>
          <w:tcPr>
            <w:tcW w:w="641" w:type="pct"/>
            <w:tcBorders>
              <w:top w:val="nil"/>
              <w:left w:val="single" w:sz="4" w:space="0" w:color="auto"/>
              <w:bottom w:val="single" w:sz="4" w:space="0" w:color="auto"/>
              <w:right w:val="single" w:sz="4" w:space="0" w:color="auto"/>
            </w:tcBorders>
            <w:tcMar>
              <w:right w:w="144" w:type="dxa"/>
            </w:tcMar>
            <w:vAlign w:val="bottom"/>
          </w:tcPr>
          <w:p w14:paraId="56D84997" w14:textId="77777777" w:rsidR="00283833" w:rsidRPr="00E751DF" w:rsidRDefault="00283833" w:rsidP="0089179A">
            <w:pPr>
              <w:jc w:val="right"/>
              <w:rPr>
                <w:color w:val="000000"/>
                <w:sz w:val="20"/>
                <w:szCs w:val="20"/>
              </w:rPr>
            </w:pPr>
            <w:r>
              <w:rPr>
                <w:color w:val="000000"/>
                <w:sz w:val="20"/>
                <w:szCs w:val="20"/>
              </w:rPr>
              <w:t>44,62</w:t>
            </w:r>
          </w:p>
        </w:tc>
        <w:tc>
          <w:tcPr>
            <w:tcW w:w="641" w:type="pct"/>
            <w:tcBorders>
              <w:top w:val="nil"/>
              <w:left w:val="single" w:sz="4" w:space="0" w:color="auto"/>
              <w:bottom w:val="single" w:sz="4" w:space="0" w:color="auto"/>
              <w:right w:val="single" w:sz="4" w:space="0" w:color="auto"/>
            </w:tcBorders>
            <w:tcMar>
              <w:right w:w="144" w:type="dxa"/>
            </w:tcMar>
            <w:vAlign w:val="bottom"/>
          </w:tcPr>
          <w:p w14:paraId="428BFA00" w14:textId="77777777" w:rsidR="00283833" w:rsidRPr="00E751DF" w:rsidRDefault="00283833" w:rsidP="0089179A">
            <w:pPr>
              <w:jc w:val="right"/>
              <w:rPr>
                <w:color w:val="000000"/>
                <w:sz w:val="20"/>
                <w:szCs w:val="20"/>
              </w:rPr>
            </w:pPr>
            <w:r>
              <w:rPr>
                <w:color w:val="000000"/>
                <w:sz w:val="20"/>
                <w:szCs w:val="20"/>
              </w:rPr>
              <w:t>17,17</w:t>
            </w:r>
          </w:p>
        </w:tc>
        <w:tc>
          <w:tcPr>
            <w:tcW w:w="641" w:type="pct"/>
            <w:tcBorders>
              <w:top w:val="nil"/>
              <w:left w:val="single" w:sz="4" w:space="0" w:color="auto"/>
              <w:bottom w:val="single" w:sz="4" w:space="0" w:color="auto"/>
              <w:right w:val="single" w:sz="4" w:space="0" w:color="auto"/>
            </w:tcBorders>
            <w:tcMar>
              <w:right w:w="144" w:type="dxa"/>
            </w:tcMar>
            <w:vAlign w:val="bottom"/>
          </w:tcPr>
          <w:p w14:paraId="0F02AB2B" w14:textId="77777777" w:rsidR="00283833" w:rsidRPr="00E751DF" w:rsidRDefault="00283833" w:rsidP="0089179A">
            <w:pPr>
              <w:jc w:val="right"/>
              <w:rPr>
                <w:color w:val="000000"/>
                <w:sz w:val="20"/>
                <w:szCs w:val="20"/>
              </w:rPr>
            </w:pPr>
            <w:r>
              <w:rPr>
                <w:color w:val="000000"/>
                <w:sz w:val="20"/>
                <w:szCs w:val="20"/>
              </w:rPr>
              <w:t>16,34</w:t>
            </w:r>
          </w:p>
        </w:tc>
        <w:tc>
          <w:tcPr>
            <w:tcW w:w="641" w:type="pct"/>
            <w:tcBorders>
              <w:top w:val="nil"/>
              <w:left w:val="single" w:sz="4" w:space="0" w:color="auto"/>
              <w:bottom w:val="single" w:sz="4" w:space="0" w:color="auto"/>
              <w:right w:val="single" w:sz="4" w:space="0" w:color="auto"/>
            </w:tcBorders>
            <w:vAlign w:val="bottom"/>
          </w:tcPr>
          <w:p w14:paraId="746D49F0" w14:textId="77777777" w:rsidR="00283833" w:rsidRPr="00E751DF" w:rsidRDefault="00283833" w:rsidP="0089179A">
            <w:pPr>
              <w:jc w:val="right"/>
              <w:rPr>
                <w:color w:val="000000"/>
                <w:sz w:val="20"/>
                <w:szCs w:val="20"/>
              </w:rPr>
            </w:pPr>
            <w:r>
              <w:rPr>
                <w:color w:val="000000"/>
                <w:sz w:val="20"/>
                <w:szCs w:val="20"/>
              </w:rPr>
              <w:t>16,34</w:t>
            </w:r>
          </w:p>
        </w:tc>
        <w:tc>
          <w:tcPr>
            <w:tcW w:w="641" w:type="pct"/>
            <w:tcBorders>
              <w:top w:val="nil"/>
              <w:left w:val="single" w:sz="4" w:space="0" w:color="auto"/>
              <w:bottom w:val="single" w:sz="4" w:space="0" w:color="auto"/>
              <w:right w:val="single" w:sz="4" w:space="0" w:color="auto"/>
            </w:tcBorders>
          </w:tcPr>
          <w:p w14:paraId="1FBA7AAB" w14:textId="77777777" w:rsidR="00283833" w:rsidRPr="00E751DF" w:rsidRDefault="00283833" w:rsidP="0089179A">
            <w:pPr>
              <w:jc w:val="right"/>
              <w:rPr>
                <w:sz w:val="20"/>
                <w:szCs w:val="20"/>
              </w:rPr>
            </w:pPr>
            <w:r>
              <w:rPr>
                <w:sz w:val="20"/>
                <w:szCs w:val="20"/>
              </w:rPr>
              <w:t>0,00</w:t>
            </w:r>
          </w:p>
        </w:tc>
        <w:tc>
          <w:tcPr>
            <w:tcW w:w="641" w:type="pct"/>
            <w:tcBorders>
              <w:top w:val="nil"/>
              <w:left w:val="single" w:sz="4" w:space="0" w:color="auto"/>
              <w:bottom w:val="single" w:sz="4" w:space="0" w:color="auto"/>
              <w:right w:val="single" w:sz="4" w:space="0" w:color="auto"/>
            </w:tcBorders>
            <w:shd w:val="clear" w:color="auto" w:fill="auto"/>
            <w:noWrap/>
            <w:tcMar>
              <w:left w:w="0" w:type="dxa"/>
              <w:right w:w="144" w:type="dxa"/>
            </w:tcMar>
          </w:tcPr>
          <w:p w14:paraId="5000BCF9" w14:textId="77777777" w:rsidR="00283833" w:rsidRPr="00E751DF" w:rsidRDefault="00283833" w:rsidP="0089179A">
            <w:pPr>
              <w:jc w:val="right"/>
              <w:rPr>
                <w:sz w:val="20"/>
                <w:szCs w:val="20"/>
              </w:rPr>
            </w:pPr>
            <w:r>
              <w:rPr>
                <w:sz w:val="20"/>
                <w:szCs w:val="20"/>
              </w:rPr>
              <w:t>8,00</w:t>
            </w:r>
          </w:p>
        </w:tc>
      </w:tr>
      <w:tr w:rsidR="00283833" w:rsidRPr="00E751DF" w14:paraId="35F63CB6" w14:textId="77777777" w:rsidTr="003C227C">
        <w:tc>
          <w:tcPr>
            <w:tcW w:w="11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09094E5" w14:textId="77777777" w:rsidR="00283833" w:rsidRPr="00E751DF" w:rsidRDefault="00283833" w:rsidP="0089179A">
            <w:pPr>
              <w:widowControl w:val="0"/>
              <w:jc w:val="left"/>
              <w:rPr>
                <w:color w:val="000000"/>
                <w:sz w:val="20"/>
                <w:szCs w:val="20"/>
              </w:rPr>
            </w:pPr>
            <w:r>
              <w:rPr>
                <w:color w:val="000000"/>
                <w:sz w:val="20"/>
                <w:szCs w:val="20"/>
              </w:rPr>
              <w:t>HCFC-141b</w:t>
            </w:r>
          </w:p>
        </w:tc>
        <w:tc>
          <w:tcPr>
            <w:tcW w:w="641" w:type="pct"/>
            <w:tcBorders>
              <w:top w:val="nil"/>
              <w:left w:val="single" w:sz="4" w:space="0" w:color="auto"/>
              <w:bottom w:val="single" w:sz="4" w:space="0" w:color="auto"/>
              <w:right w:val="single" w:sz="4" w:space="0" w:color="auto"/>
            </w:tcBorders>
            <w:tcMar>
              <w:right w:w="144" w:type="dxa"/>
            </w:tcMar>
            <w:vAlign w:val="center"/>
          </w:tcPr>
          <w:p w14:paraId="15ACBEDB" w14:textId="77777777" w:rsidR="00283833" w:rsidRPr="00E751DF" w:rsidRDefault="00283833" w:rsidP="0089179A">
            <w:pPr>
              <w:jc w:val="right"/>
            </w:pPr>
            <w:r>
              <w:rPr>
                <w:sz w:val="20"/>
                <w:szCs w:val="20"/>
              </w:rPr>
              <w:t>0,00</w:t>
            </w:r>
          </w:p>
        </w:tc>
        <w:tc>
          <w:tcPr>
            <w:tcW w:w="641" w:type="pct"/>
            <w:tcBorders>
              <w:top w:val="nil"/>
              <w:left w:val="single" w:sz="4" w:space="0" w:color="auto"/>
              <w:bottom w:val="single" w:sz="4" w:space="0" w:color="auto"/>
              <w:right w:val="single" w:sz="4" w:space="0" w:color="auto"/>
            </w:tcBorders>
            <w:tcMar>
              <w:right w:w="144" w:type="dxa"/>
            </w:tcMar>
            <w:vAlign w:val="center"/>
          </w:tcPr>
          <w:p w14:paraId="1F228ABD" w14:textId="77777777" w:rsidR="00283833" w:rsidRPr="00E751DF" w:rsidRDefault="00283833" w:rsidP="0089179A">
            <w:pPr>
              <w:jc w:val="right"/>
            </w:pPr>
            <w:r>
              <w:rPr>
                <w:sz w:val="20"/>
                <w:szCs w:val="20"/>
              </w:rPr>
              <w:t>0,00</w:t>
            </w:r>
          </w:p>
        </w:tc>
        <w:tc>
          <w:tcPr>
            <w:tcW w:w="641" w:type="pct"/>
            <w:tcBorders>
              <w:top w:val="nil"/>
              <w:left w:val="single" w:sz="4" w:space="0" w:color="auto"/>
              <w:bottom w:val="single" w:sz="4" w:space="0" w:color="auto"/>
              <w:right w:val="single" w:sz="4" w:space="0" w:color="auto"/>
            </w:tcBorders>
            <w:tcMar>
              <w:right w:w="144" w:type="dxa"/>
            </w:tcMar>
            <w:vAlign w:val="center"/>
          </w:tcPr>
          <w:p w14:paraId="0B312A76" w14:textId="77777777" w:rsidR="00283833" w:rsidRPr="00E751DF" w:rsidRDefault="00283833" w:rsidP="0089179A">
            <w:pPr>
              <w:jc w:val="right"/>
            </w:pPr>
            <w:r>
              <w:rPr>
                <w:sz w:val="20"/>
                <w:szCs w:val="20"/>
              </w:rPr>
              <w:t>0,00</w:t>
            </w:r>
          </w:p>
        </w:tc>
        <w:tc>
          <w:tcPr>
            <w:tcW w:w="641" w:type="pct"/>
            <w:tcBorders>
              <w:top w:val="nil"/>
              <w:left w:val="single" w:sz="4" w:space="0" w:color="auto"/>
              <w:bottom w:val="single" w:sz="4" w:space="0" w:color="auto"/>
              <w:right w:val="single" w:sz="4" w:space="0" w:color="auto"/>
            </w:tcBorders>
            <w:vAlign w:val="bottom"/>
          </w:tcPr>
          <w:p w14:paraId="7836B460" w14:textId="77777777" w:rsidR="00283833" w:rsidRPr="00E751DF" w:rsidRDefault="00283833" w:rsidP="0089179A">
            <w:pPr>
              <w:jc w:val="right"/>
              <w:rPr>
                <w:color w:val="000000"/>
                <w:sz w:val="20"/>
                <w:szCs w:val="20"/>
              </w:rPr>
            </w:pPr>
            <w:r>
              <w:rPr>
                <w:color w:val="000000"/>
                <w:sz w:val="20"/>
                <w:szCs w:val="20"/>
              </w:rPr>
              <w:t>0,00</w:t>
            </w:r>
          </w:p>
        </w:tc>
        <w:tc>
          <w:tcPr>
            <w:tcW w:w="641" w:type="pct"/>
            <w:tcBorders>
              <w:top w:val="nil"/>
              <w:left w:val="single" w:sz="4" w:space="0" w:color="auto"/>
              <w:bottom w:val="single" w:sz="4" w:space="0" w:color="auto"/>
              <w:right w:val="single" w:sz="4" w:space="0" w:color="auto"/>
            </w:tcBorders>
          </w:tcPr>
          <w:p w14:paraId="65B2B9F6" w14:textId="77777777" w:rsidR="00283833" w:rsidRPr="00E751DF" w:rsidRDefault="00283833" w:rsidP="0089179A">
            <w:pPr>
              <w:jc w:val="right"/>
              <w:rPr>
                <w:sz w:val="20"/>
                <w:szCs w:val="20"/>
              </w:rPr>
            </w:pPr>
            <w:r>
              <w:rPr>
                <w:sz w:val="20"/>
                <w:szCs w:val="20"/>
              </w:rPr>
              <w:t>0,00</w:t>
            </w:r>
          </w:p>
        </w:tc>
        <w:tc>
          <w:tcPr>
            <w:tcW w:w="641" w:type="pct"/>
            <w:tcBorders>
              <w:top w:val="nil"/>
              <w:left w:val="single" w:sz="4" w:space="0" w:color="auto"/>
              <w:bottom w:val="single" w:sz="4" w:space="0" w:color="auto"/>
              <w:right w:val="single" w:sz="4" w:space="0" w:color="auto"/>
            </w:tcBorders>
            <w:shd w:val="clear" w:color="auto" w:fill="auto"/>
            <w:noWrap/>
            <w:tcMar>
              <w:left w:w="0" w:type="dxa"/>
              <w:right w:w="144" w:type="dxa"/>
            </w:tcMar>
          </w:tcPr>
          <w:p w14:paraId="14951293" w14:textId="77777777" w:rsidR="00283833" w:rsidRPr="00E751DF" w:rsidRDefault="00283833" w:rsidP="0089179A">
            <w:pPr>
              <w:jc w:val="right"/>
              <w:rPr>
                <w:sz w:val="20"/>
                <w:szCs w:val="20"/>
              </w:rPr>
            </w:pPr>
            <w:r>
              <w:rPr>
                <w:sz w:val="20"/>
                <w:szCs w:val="20"/>
              </w:rPr>
              <w:t>490,00</w:t>
            </w:r>
          </w:p>
        </w:tc>
      </w:tr>
      <w:tr w:rsidR="00283833" w:rsidRPr="00E751DF" w14:paraId="79B515F6" w14:textId="77777777" w:rsidTr="003C227C">
        <w:tc>
          <w:tcPr>
            <w:tcW w:w="11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283EB82" w14:textId="77777777" w:rsidR="00283833" w:rsidRPr="00E751DF" w:rsidRDefault="00283833" w:rsidP="0089179A">
            <w:pPr>
              <w:widowControl w:val="0"/>
              <w:jc w:val="left"/>
              <w:rPr>
                <w:color w:val="000000"/>
                <w:sz w:val="20"/>
                <w:szCs w:val="20"/>
              </w:rPr>
            </w:pPr>
            <w:r>
              <w:rPr>
                <w:color w:val="000000"/>
                <w:sz w:val="20"/>
                <w:szCs w:val="20"/>
              </w:rPr>
              <w:t>HCFC-225</w:t>
            </w:r>
          </w:p>
        </w:tc>
        <w:tc>
          <w:tcPr>
            <w:tcW w:w="641" w:type="pct"/>
            <w:tcBorders>
              <w:top w:val="nil"/>
              <w:left w:val="single" w:sz="4" w:space="0" w:color="auto"/>
              <w:bottom w:val="single" w:sz="4" w:space="0" w:color="auto"/>
              <w:right w:val="single" w:sz="4" w:space="0" w:color="auto"/>
            </w:tcBorders>
            <w:tcMar>
              <w:right w:w="144" w:type="dxa"/>
            </w:tcMar>
            <w:vAlign w:val="bottom"/>
          </w:tcPr>
          <w:p w14:paraId="59EEA873" w14:textId="77777777" w:rsidR="00283833" w:rsidRPr="00E751DF" w:rsidRDefault="00283833" w:rsidP="0089179A">
            <w:pPr>
              <w:jc w:val="right"/>
              <w:rPr>
                <w:color w:val="000000"/>
                <w:sz w:val="20"/>
                <w:szCs w:val="20"/>
              </w:rPr>
            </w:pPr>
            <w:r>
              <w:rPr>
                <w:color w:val="000000"/>
                <w:sz w:val="20"/>
                <w:szCs w:val="20"/>
              </w:rPr>
              <w:t>16,00</w:t>
            </w:r>
          </w:p>
        </w:tc>
        <w:tc>
          <w:tcPr>
            <w:tcW w:w="641" w:type="pct"/>
            <w:tcBorders>
              <w:top w:val="nil"/>
              <w:left w:val="single" w:sz="4" w:space="0" w:color="auto"/>
              <w:bottom w:val="single" w:sz="4" w:space="0" w:color="auto"/>
              <w:right w:val="single" w:sz="4" w:space="0" w:color="auto"/>
            </w:tcBorders>
            <w:tcMar>
              <w:right w:w="144" w:type="dxa"/>
            </w:tcMar>
            <w:vAlign w:val="bottom"/>
          </w:tcPr>
          <w:p w14:paraId="33C135E5" w14:textId="77777777" w:rsidR="00283833" w:rsidRPr="00E751DF" w:rsidRDefault="00283833" w:rsidP="0089179A">
            <w:pPr>
              <w:jc w:val="right"/>
              <w:rPr>
                <w:color w:val="000000"/>
                <w:sz w:val="20"/>
                <w:szCs w:val="20"/>
              </w:rPr>
            </w:pPr>
            <w:r>
              <w:rPr>
                <w:color w:val="000000"/>
                <w:sz w:val="20"/>
                <w:szCs w:val="20"/>
              </w:rPr>
              <w:t>13,90</w:t>
            </w:r>
          </w:p>
        </w:tc>
        <w:tc>
          <w:tcPr>
            <w:tcW w:w="641" w:type="pct"/>
            <w:tcBorders>
              <w:top w:val="nil"/>
              <w:left w:val="single" w:sz="4" w:space="0" w:color="auto"/>
              <w:bottom w:val="single" w:sz="4" w:space="0" w:color="auto"/>
              <w:right w:val="single" w:sz="4" w:space="0" w:color="auto"/>
            </w:tcBorders>
            <w:tcMar>
              <w:right w:w="144" w:type="dxa"/>
            </w:tcMar>
            <w:vAlign w:val="bottom"/>
          </w:tcPr>
          <w:p w14:paraId="163D5E2C" w14:textId="77777777" w:rsidR="00283833" w:rsidRPr="00E751DF" w:rsidRDefault="00283833" w:rsidP="0089179A">
            <w:pPr>
              <w:jc w:val="right"/>
              <w:rPr>
                <w:color w:val="000000"/>
                <w:sz w:val="20"/>
                <w:szCs w:val="20"/>
              </w:rPr>
            </w:pPr>
            <w:r>
              <w:rPr>
                <w:color w:val="000000"/>
                <w:sz w:val="20"/>
                <w:szCs w:val="20"/>
              </w:rPr>
              <w:t>26,87</w:t>
            </w:r>
          </w:p>
        </w:tc>
        <w:tc>
          <w:tcPr>
            <w:tcW w:w="641" w:type="pct"/>
            <w:tcBorders>
              <w:top w:val="nil"/>
              <w:left w:val="single" w:sz="4" w:space="0" w:color="auto"/>
              <w:bottom w:val="single" w:sz="4" w:space="0" w:color="auto"/>
              <w:right w:val="single" w:sz="4" w:space="0" w:color="auto"/>
            </w:tcBorders>
            <w:vAlign w:val="bottom"/>
          </w:tcPr>
          <w:p w14:paraId="4B527881" w14:textId="77777777" w:rsidR="00283833" w:rsidRPr="00E751DF" w:rsidRDefault="00283833" w:rsidP="0089179A">
            <w:pPr>
              <w:jc w:val="right"/>
              <w:rPr>
                <w:color w:val="000000"/>
                <w:sz w:val="20"/>
                <w:szCs w:val="20"/>
              </w:rPr>
            </w:pPr>
            <w:r>
              <w:rPr>
                <w:color w:val="000000"/>
                <w:sz w:val="20"/>
                <w:szCs w:val="20"/>
              </w:rPr>
              <w:t>21,46</w:t>
            </w:r>
          </w:p>
        </w:tc>
        <w:tc>
          <w:tcPr>
            <w:tcW w:w="641" w:type="pct"/>
            <w:tcBorders>
              <w:top w:val="nil"/>
              <w:left w:val="single" w:sz="4" w:space="0" w:color="auto"/>
              <w:bottom w:val="single" w:sz="4" w:space="0" w:color="auto"/>
              <w:right w:val="single" w:sz="4" w:space="0" w:color="auto"/>
            </w:tcBorders>
          </w:tcPr>
          <w:p w14:paraId="35E5C162" w14:textId="77777777" w:rsidR="00283833" w:rsidRPr="00E751DF" w:rsidRDefault="00283833" w:rsidP="0089179A">
            <w:pPr>
              <w:jc w:val="right"/>
              <w:rPr>
                <w:sz w:val="20"/>
                <w:szCs w:val="20"/>
              </w:rPr>
            </w:pPr>
            <w:r>
              <w:rPr>
                <w:sz w:val="20"/>
                <w:szCs w:val="20"/>
              </w:rPr>
              <w:t>0,00</w:t>
            </w:r>
          </w:p>
        </w:tc>
        <w:tc>
          <w:tcPr>
            <w:tcW w:w="641" w:type="pct"/>
            <w:tcBorders>
              <w:top w:val="nil"/>
              <w:left w:val="single" w:sz="4" w:space="0" w:color="auto"/>
              <w:bottom w:val="single" w:sz="4" w:space="0" w:color="auto"/>
              <w:right w:val="single" w:sz="4" w:space="0" w:color="auto"/>
            </w:tcBorders>
            <w:shd w:val="clear" w:color="auto" w:fill="auto"/>
            <w:noWrap/>
            <w:tcMar>
              <w:left w:w="0" w:type="dxa"/>
              <w:right w:w="144" w:type="dxa"/>
            </w:tcMar>
          </w:tcPr>
          <w:p w14:paraId="4A38A23F" w14:textId="77777777" w:rsidR="00283833" w:rsidRPr="00E751DF" w:rsidRDefault="00283833" w:rsidP="0089179A">
            <w:pPr>
              <w:jc w:val="right"/>
              <w:rPr>
                <w:sz w:val="20"/>
                <w:szCs w:val="20"/>
              </w:rPr>
            </w:pPr>
            <w:r>
              <w:rPr>
                <w:sz w:val="20"/>
                <w:szCs w:val="20"/>
              </w:rPr>
              <w:t>0,00</w:t>
            </w:r>
          </w:p>
        </w:tc>
      </w:tr>
      <w:tr w:rsidR="00283833" w:rsidRPr="00E751DF" w14:paraId="5635B762" w14:textId="77777777" w:rsidTr="003C227C">
        <w:tc>
          <w:tcPr>
            <w:tcW w:w="1153"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33187EB8" w14:textId="77777777" w:rsidR="00283833" w:rsidRPr="00E751DF" w:rsidRDefault="00283833" w:rsidP="0089179A">
            <w:pPr>
              <w:jc w:val="left"/>
              <w:rPr>
                <w:rFonts w:eastAsiaTheme="minorHAnsi"/>
                <w:b/>
                <w:color w:val="000000"/>
                <w:sz w:val="20"/>
                <w:szCs w:val="20"/>
              </w:rPr>
            </w:pPr>
            <w:r>
              <w:rPr>
                <w:b/>
                <w:color w:val="000000"/>
                <w:sz w:val="20"/>
                <w:szCs w:val="20"/>
              </w:rPr>
              <w:t>Total (</w:t>
            </w:r>
            <w:proofErr w:type="spellStart"/>
            <w:r>
              <w:rPr>
                <w:b/>
                <w:color w:val="000000"/>
                <w:sz w:val="20"/>
                <w:szCs w:val="20"/>
              </w:rPr>
              <w:t>tm</w:t>
            </w:r>
            <w:proofErr w:type="spellEnd"/>
            <w:r>
              <w:rPr>
                <w:b/>
                <w:color w:val="000000"/>
                <w:sz w:val="20"/>
                <w:szCs w:val="20"/>
              </w:rPr>
              <w:t>)</w:t>
            </w:r>
          </w:p>
        </w:tc>
        <w:tc>
          <w:tcPr>
            <w:tcW w:w="641" w:type="pct"/>
            <w:tcBorders>
              <w:top w:val="nil"/>
              <w:left w:val="single" w:sz="4" w:space="0" w:color="auto"/>
              <w:bottom w:val="single" w:sz="4" w:space="0" w:color="auto"/>
              <w:right w:val="single" w:sz="4" w:space="0" w:color="auto"/>
            </w:tcBorders>
            <w:tcMar>
              <w:right w:w="144" w:type="dxa"/>
            </w:tcMar>
            <w:vAlign w:val="bottom"/>
          </w:tcPr>
          <w:p w14:paraId="4DC23887" w14:textId="77777777" w:rsidR="00283833" w:rsidRPr="00E751DF" w:rsidRDefault="00283833" w:rsidP="0089179A">
            <w:pPr>
              <w:jc w:val="right"/>
              <w:rPr>
                <w:b/>
                <w:bCs/>
                <w:color w:val="000000"/>
                <w:sz w:val="20"/>
                <w:szCs w:val="20"/>
              </w:rPr>
            </w:pPr>
            <w:r>
              <w:rPr>
                <w:b/>
                <w:bCs/>
                <w:color w:val="000000"/>
                <w:sz w:val="20"/>
                <w:szCs w:val="20"/>
              </w:rPr>
              <w:t>3 582,84</w:t>
            </w:r>
          </w:p>
        </w:tc>
        <w:tc>
          <w:tcPr>
            <w:tcW w:w="641" w:type="pct"/>
            <w:tcBorders>
              <w:top w:val="nil"/>
              <w:left w:val="single" w:sz="4" w:space="0" w:color="auto"/>
              <w:bottom w:val="single" w:sz="4" w:space="0" w:color="auto"/>
              <w:right w:val="single" w:sz="4" w:space="0" w:color="auto"/>
            </w:tcBorders>
            <w:tcMar>
              <w:right w:w="144" w:type="dxa"/>
            </w:tcMar>
            <w:vAlign w:val="bottom"/>
          </w:tcPr>
          <w:p w14:paraId="2EFF6B29" w14:textId="77777777" w:rsidR="00283833" w:rsidRPr="00E751DF" w:rsidRDefault="00283833" w:rsidP="0089179A">
            <w:pPr>
              <w:jc w:val="right"/>
              <w:rPr>
                <w:b/>
                <w:bCs/>
                <w:color w:val="000000"/>
                <w:sz w:val="20"/>
                <w:szCs w:val="20"/>
              </w:rPr>
            </w:pPr>
            <w:r>
              <w:rPr>
                <w:b/>
                <w:bCs/>
                <w:color w:val="000000"/>
                <w:sz w:val="20"/>
                <w:szCs w:val="20"/>
              </w:rPr>
              <w:t>3 599,59</w:t>
            </w:r>
          </w:p>
        </w:tc>
        <w:tc>
          <w:tcPr>
            <w:tcW w:w="641" w:type="pct"/>
            <w:tcBorders>
              <w:top w:val="nil"/>
              <w:left w:val="single" w:sz="4" w:space="0" w:color="auto"/>
              <w:bottom w:val="single" w:sz="4" w:space="0" w:color="auto"/>
              <w:right w:val="single" w:sz="4" w:space="0" w:color="auto"/>
            </w:tcBorders>
            <w:tcMar>
              <w:right w:w="144" w:type="dxa"/>
            </w:tcMar>
            <w:vAlign w:val="bottom"/>
          </w:tcPr>
          <w:p w14:paraId="17BECEC0" w14:textId="77777777" w:rsidR="00283833" w:rsidRPr="00E751DF" w:rsidRDefault="00283833" w:rsidP="0089179A">
            <w:pPr>
              <w:jc w:val="right"/>
              <w:rPr>
                <w:b/>
                <w:bCs/>
                <w:color w:val="000000"/>
                <w:sz w:val="20"/>
                <w:szCs w:val="20"/>
              </w:rPr>
            </w:pPr>
            <w:r>
              <w:rPr>
                <w:b/>
                <w:bCs/>
                <w:color w:val="000000"/>
                <w:sz w:val="20"/>
                <w:szCs w:val="20"/>
              </w:rPr>
              <w:t>3 599,44</w:t>
            </w:r>
          </w:p>
        </w:tc>
        <w:tc>
          <w:tcPr>
            <w:tcW w:w="641" w:type="pct"/>
            <w:tcBorders>
              <w:top w:val="nil"/>
              <w:left w:val="single" w:sz="4" w:space="0" w:color="auto"/>
              <w:bottom w:val="single" w:sz="4" w:space="0" w:color="auto"/>
              <w:right w:val="single" w:sz="4" w:space="0" w:color="auto"/>
            </w:tcBorders>
            <w:vAlign w:val="bottom"/>
          </w:tcPr>
          <w:p w14:paraId="0E0E60D6" w14:textId="77777777" w:rsidR="00283833" w:rsidRPr="00E751DF" w:rsidRDefault="00283833" w:rsidP="0089179A">
            <w:pPr>
              <w:jc w:val="right"/>
              <w:rPr>
                <w:b/>
                <w:color w:val="000000"/>
                <w:sz w:val="20"/>
                <w:szCs w:val="20"/>
              </w:rPr>
            </w:pPr>
            <w:r>
              <w:rPr>
                <w:b/>
                <w:color w:val="000000"/>
                <w:sz w:val="20"/>
                <w:szCs w:val="20"/>
              </w:rPr>
              <w:t>3 596,36</w:t>
            </w:r>
          </w:p>
        </w:tc>
        <w:tc>
          <w:tcPr>
            <w:tcW w:w="641" w:type="pct"/>
            <w:tcBorders>
              <w:top w:val="nil"/>
              <w:left w:val="single" w:sz="4" w:space="0" w:color="auto"/>
              <w:bottom w:val="single" w:sz="4" w:space="0" w:color="auto"/>
              <w:right w:val="single" w:sz="4" w:space="0" w:color="auto"/>
            </w:tcBorders>
          </w:tcPr>
          <w:p w14:paraId="58A5B759" w14:textId="77777777" w:rsidR="00283833" w:rsidRPr="00E751DF" w:rsidRDefault="00283833" w:rsidP="0089179A">
            <w:pPr>
              <w:widowControl w:val="0"/>
              <w:jc w:val="right"/>
              <w:rPr>
                <w:b/>
                <w:color w:val="000000"/>
                <w:sz w:val="20"/>
                <w:szCs w:val="20"/>
              </w:rPr>
            </w:pPr>
            <w:r>
              <w:rPr>
                <w:b/>
                <w:color w:val="000000"/>
                <w:sz w:val="20"/>
                <w:szCs w:val="20"/>
              </w:rPr>
              <w:t>2 585,02</w:t>
            </w:r>
          </w:p>
        </w:tc>
        <w:tc>
          <w:tcPr>
            <w:tcW w:w="641" w:type="pct"/>
            <w:tcBorders>
              <w:top w:val="nil"/>
              <w:left w:val="single" w:sz="4" w:space="0" w:color="auto"/>
              <w:bottom w:val="single" w:sz="4" w:space="0" w:color="auto"/>
              <w:right w:val="single" w:sz="4" w:space="0" w:color="auto"/>
            </w:tcBorders>
            <w:shd w:val="clear" w:color="auto" w:fill="auto"/>
            <w:noWrap/>
            <w:tcMar>
              <w:left w:w="0" w:type="dxa"/>
              <w:right w:w="144" w:type="dxa"/>
            </w:tcMar>
            <w:vAlign w:val="center"/>
          </w:tcPr>
          <w:p w14:paraId="6877C7B7" w14:textId="77777777" w:rsidR="00283833" w:rsidRPr="00E751DF" w:rsidRDefault="00283833" w:rsidP="0089179A">
            <w:pPr>
              <w:widowControl w:val="0"/>
              <w:jc w:val="right"/>
              <w:rPr>
                <w:b/>
                <w:color w:val="000000"/>
                <w:sz w:val="20"/>
                <w:szCs w:val="20"/>
              </w:rPr>
            </w:pPr>
            <w:r w:rsidRPr="00E751DF">
              <w:rPr>
                <w:b/>
                <w:color w:val="000000"/>
                <w:sz w:val="20"/>
                <w:szCs w:val="20"/>
              </w:rPr>
              <w:fldChar w:fldCharType="begin"/>
            </w:r>
            <w:r w:rsidRPr="00E751DF">
              <w:rPr>
                <w:b/>
                <w:color w:val="000000"/>
                <w:sz w:val="20"/>
                <w:szCs w:val="20"/>
              </w:rPr>
              <w:instrText xml:space="preserve"> =SUM(ABOVE) </w:instrText>
            </w:r>
            <w:r w:rsidRPr="00E751DF">
              <w:rPr>
                <w:b/>
                <w:color w:val="000000"/>
                <w:sz w:val="20"/>
                <w:szCs w:val="20"/>
              </w:rPr>
              <w:fldChar w:fldCharType="separate"/>
            </w:r>
            <w:r w:rsidRPr="00E751DF">
              <w:rPr>
                <w:b/>
                <w:color w:val="000000"/>
                <w:sz w:val="20"/>
                <w:szCs w:val="20"/>
              </w:rPr>
              <w:t>3,537</w:t>
            </w:r>
            <w:r w:rsidRPr="00E751DF">
              <w:rPr>
                <w:b/>
                <w:color w:val="000000"/>
                <w:sz w:val="20"/>
                <w:szCs w:val="20"/>
              </w:rPr>
              <w:fldChar w:fldCharType="end"/>
            </w:r>
            <w:r>
              <w:rPr>
                <w:b/>
                <w:color w:val="000000"/>
                <w:sz w:val="20"/>
                <w:szCs w:val="20"/>
              </w:rPr>
              <w:t>,00</w:t>
            </w:r>
          </w:p>
        </w:tc>
      </w:tr>
      <w:tr w:rsidR="00283833" w:rsidRPr="00E751DF" w14:paraId="24325A4B" w14:textId="77777777" w:rsidTr="003C227C">
        <w:tc>
          <w:tcPr>
            <w:tcW w:w="1153"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65C906C3" w14:textId="02D412D1" w:rsidR="00283833" w:rsidRPr="00E751DF" w:rsidRDefault="00283833" w:rsidP="0089179A">
            <w:pPr>
              <w:jc w:val="left"/>
              <w:rPr>
                <w:b/>
                <w:bCs/>
                <w:color w:val="000000"/>
                <w:sz w:val="20"/>
                <w:szCs w:val="20"/>
              </w:rPr>
            </w:pPr>
            <w:r>
              <w:rPr>
                <w:color w:val="000000"/>
                <w:sz w:val="20"/>
                <w:szCs w:val="20"/>
              </w:rPr>
              <w:t xml:space="preserve">HCFC-141b dans les polyols </w:t>
            </w:r>
            <w:proofErr w:type="spellStart"/>
            <w:r>
              <w:rPr>
                <w:color w:val="000000"/>
                <w:sz w:val="20"/>
                <w:szCs w:val="20"/>
              </w:rPr>
              <w:t>prémélangés</w:t>
            </w:r>
            <w:proofErr w:type="spellEnd"/>
            <w:r>
              <w:rPr>
                <w:color w:val="000000"/>
                <w:sz w:val="20"/>
                <w:szCs w:val="20"/>
              </w:rPr>
              <w:t xml:space="preserve"> importés**</w:t>
            </w:r>
          </w:p>
        </w:tc>
        <w:tc>
          <w:tcPr>
            <w:tcW w:w="641" w:type="pct"/>
            <w:tcBorders>
              <w:top w:val="nil"/>
              <w:left w:val="single" w:sz="4" w:space="0" w:color="auto"/>
              <w:bottom w:val="single" w:sz="4" w:space="0" w:color="auto"/>
              <w:right w:val="single" w:sz="4" w:space="0" w:color="auto"/>
            </w:tcBorders>
            <w:tcMar>
              <w:right w:w="144" w:type="dxa"/>
            </w:tcMar>
          </w:tcPr>
          <w:p w14:paraId="6C1550B6" w14:textId="77777777" w:rsidR="00283833" w:rsidRPr="00E751DF" w:rsidRDefault="00283833" w:rsidP="0089179A">
            <w:pPr>
              <w:jc w:val="right"/>
              <w:rPr>
                <w:sz w:val="20"/>
                <w:szCs w:val="20"/>
              </w:rPr>
            </w:pPr>
            <w:r>
              <w:rPr>
                <w:sz w:val="20"/>
                <w:szCs w:val="20"/>
              </w:rPr>
              <w:t>3 237,55</w:t>
            </w:r>
          </w:p>
        </w:tc>
        <w:tc>
          <w:tcPr>
            <w:tcW w:w="641" w:type="pct"/>
            <w:tcBorders>
              <w:top w:val="nil"/>
              <w:left w:val="single" w:sz="4" w:space="0" w:color="auto"/>
              <w:bottom w:val="single" w:sz="4" w:space="0" w:color="auto"/>
              <w:right w:val="single" w:sz="4" w:space="0" w:color="auto"/>
            </w:tcBorders>
            <w:tcMar>
              <w:right w:w="144" w:type="dxa"/>
            </w:tcMar>
          </w:tcPr>
          <w:p w14:paraId="08C64936" w14:textId="77777777" w:rsidR="00283833" w:rsidRPr="00E751DF" w:rsidRDefault="00283833" w:rsidP="0089179A">
            <w:pPr>
              <w:jc w:val="right"/>
              <w:rPr>
                <w:rFonts w:eastAsiaTheme="minorHAnsi"/>
                <w:color w:val="000000"/>
                <w:sz w:val="20"/>
                <w:szCs w:val="20"/>
              </w:rPr>
            </w:pPr>
            <w:r>
              <w:rPr>
                <w:color w:val="000000"/>
                <w:sz w:val="20"/>
                <w:szCs w:val="20"/>
              </w:rPr>
              <w:t>1 879,00</w:t>
            </w:r>
          </w:p>
        </w:tc>
        <w:tc>
          <w:tcPr>
            <w:tcW w:w="641" w:type="pct"/>
            <w:tcBorders>
              <w:top w:val="nil"/>
              <w:left w:val="single" w:sz="4" w:space="0" w:color="auto"/>
              <w:bottom w:val="single" w:sz="4" w:space="0" w:color="auto"/>
              <w:right w:val="single" w:sz="4" w:space="0" w:color="auto"/>
            </w:tcBorders>
            <w:tcMar>
              <w:right w:w="144" w:type="dxa"/>
            </w:tcMar>
          </w:tcPr>
          <w:p w14:paraId="39F35018" w14:textId="77777777" w:rsidR="00283833" w:rsidRPr="00E751DF" w:rsidRDefault="00283833" w:rsidP="0089179A">
            <w:pPr>
              <w:jc w:val="right"/>
              <w:rPr>
                <w:rFonts w:eastAsiaTheme="minorHAnsi"/>
                <w:color w:val="000000"/>
                <w:sz w:val="20"/>
                <w:szCs w:val="20"/>
              </w:rPr>
            </w:pPr>
            <w:r>
              <w:rPr>
                <w:sz w:val="20"/>
                <w:szCs w:val="20"/>
              </w:rPr>
              <w:t>1 145,50</w:t>
            </w:r>
          </w:p>
        </w:tc>
        <w:tc>
          <w:tcPr>
            <w:tcW w:w="641" w:type="pct"/>
            <w:tcBorders>
              <w:top w:val="nil"/>
              <w:left w:val="single" w:sz="4" w:space="0" w:color="auto"/>
              <w:bottom w:val="single" w:sz="4" w:space="0" w:color="auto"/>
              <w:right w:val="single" w:sz="4" w:space="0" w:color="auto"/>
            </w:tcBorders>
          </w:tcPr>
          <w:p w14:paraId="46547A64" w14:textId="77777777" w:rsidR="00283833" w:rsidRPr="00E751DF" w:rsidRDefault="00283833" w:rsidP="0089179A">
            <w:pPr>
              <w:jc w:val="right"/>
              <w:rPr>
                <w:rFonts w:eastAsiaTheme="minorHAnsi"/>
                <w:color w:val="000000"/>
                <w:sz w:val="20"/>
                <w:szCs w:val="20"/>
              </w:rPr>
            </w:pPr>
            <w:r>
              <w:rPr>
                <w:color w:val="000000"/>
                <w:sz w:val="20"/>
                <w:szCs w:val="20"/>
              </w:rPr>
              <w:t>687,29</w:t>
            </w:r>
          </w:p>
        </w:tc>
        <w:tc>
          <w:tcPr>
            <w:tcW w:w="641" w:type="pct"/>
            <w:tcBorders>
              <w:top w:val="nil"/>
              <w:left w:val="single" w:sz="4" w:space="0" w:color="auto"/>
              <w:bottom w:val="single" w:sz="4" w:space="0" w:color="auto"/>
              <w:right w:val="single" w:sz="4" w:space="0" w:color="auto"/>
            </w:tcBorders>
          </w:tcPr>
          <w:p w14:paraId="31E827B8" w14:textId="4F67A8E2" w:rsidR="00283833" w:rsidRPr="00E751DF" w:rsidRDefault="00EA5EB8" w:rsidP="00EA5EB8">
            <w:pPr>
              <w:jc w:val="right"/>
              <w:rPr>
                <w:rFonts w:eastAsiaTheme="minorHAnsi"/>
                <w:color w:val="000000"/>
                <w:sz w:val="20"/>
                <w:szCs w:val="20"/>
              </w:rPr>
            </w:pPr>
            <w:r>
              <w:rPr>
                <w:color w:val="000000"/>
                <w:sz w:val="20"/>
                <w:szCs w:val="20"/>
              </w:rPr>
              <w:t>147,66</w:t>
            </w:r>
          </w:p>
        </w:tc>
        <w:tc>
          <w:tcPr>
            <w:tcW w:w="641" w:type="pct"/>
            <w:tcBorders>
              <w:top w:val="nil"/>
              <w:left w:val="single" w:sz="4" w:space="0" w:color="auto"/>
              <w:bottom w:val="single" w:sz="4" w:space="0" w:color="auto"/>
              <w:right w:val="single" w:sz="4" w:space="0" w:color="auto"/>
            </w:tcBorders>
            <w:shd w:val="clear" w:color="auto" w:fill="auto"/>
            <w:noWrap/>
            <w:tcMar>
              <w:left w:w="0" w:type="dxa"/>
              <w:right w:w="144" w:type="dxa"/>
            </w:tcMar>
          </w:tcPr>
          <w:p w14:paraId="32488C12" w14:textId="31E24184" w:rsidR="00283833" w:rsidRPr="00E751DF" w:rsidRDefault="00283833" w:rsidP="0089179A">
            <w:pPr>
              <w:jc w:val="right"/>
              <w:rPr>
                <w:sz w:val="20"/>
                <w:szCs w:val="20"/>
              </w:rPr>
            </w:pPr>
            <w:r>
              <w:rPr>
                <w:color w:val="000000"/>
                <w:sz w:val="20"/>
                <w:szCs w:val="20"/>
              </w:rPr>
              <w:t>1 496,36***</w:t>
            </w:r>
          </w:p>
        </w:tc>
      </w:tr>
      <w:tr w:rsidR="00283833" w:rsidRPr="00E751DF" w14:paraId="3ADD5338" w14:textId="77777777" w:rsidTr="003C227C">
        <w:tc>
          <w:tcPr>
            <w:tcW w:w="11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14:paraId="3ABEBB39" w14:textId="77777777" w:rsidR="00283833" w:rsidRPr="00E751DF" w:rsidRDefault="00283833" w:rsidP="0089179A">
            <w:pPr>
              <w:widowControl w:val="0"/>
              <w:jc w:val="left"/>
              <w:rPr>
                <w:b/>
                <w:color w:val="000000"/>
                <w:sz w:val="20"/>
                <w:szCs w:val="20"/>
              </w:rPr>
            </w:pPr>
            <w:r>
              <w:rPr>
                <w:b/>
                <w:bCs/>
                <w:color w:val="000000"/>
                <w:sz w:val="20"/>
                <w:szCs w:val="20"/>
              </w:rPr>
              <w:t>Tonnes PAO</w:t>
            </w:r>
          </w:p>
        </w:tc>
        <w:tc>
          <w:tcPr>
            <w:tcW w:w="641" w:type="pct"/>
            <w:tcBorders>
              <w:top w:val="nil"/>
              <w:left w:val="single" w:sz="4" w:space="0" w:color="auto"/>
              <w:bottom w:val="single" w:sz="4" w:space="0" w:color="auto"/>
              <w:right w:val="single" w:sz="4" w:space="0" w:color="auto"/>
            </w:tcBorders>
            <w:tcMar>
              <w:right w:w="144" w:type="dxa"/>
            </w:tcMar>
          </w:tcPr>
          <w:p w14:paraId="42215A97" w14:textId="77777777" w:rsidR="00283833" w:rsidRPr="00E751DF" w:rsidRDefault="00283833" w:rsidP="0089179A">
            <w:pPr>
              <w:jc w:val="right"/>
              <w:rPr>
                <w:b/>
                <w:sz w:val="20"/>
                <w:szCs w:val="20"/>
              </w:rPr>
            </w:pPr>
          </w:p>
        </w:tc>
        <w:tc>
          <w:tcPr>
            <w:tcW w:w="641" w:type="pct"/>
            <w:tcBorders>
              <w:top w:val="nil"/>
              <w:left w:val="single" w:sz="4" w:space="0" w:color="auto"/>
              <w:bottom w:val="single" w:sz="4" w:space="0" w:color="auto"/>
              <w:right w:val="single" w:sz="4" w:space="0" w:color="auto"/>
            </w:tcBorders>
            <w:tcMar>
              <w:right w:w="144" w:type="dxa"/>
            </w:tcMar>
          </w:tcPr>
          <w:p w14:paraId="149D2761" w14:textId="77777777" w:rsidR="00283833" w:rsidRPr="00E751DF" w:rsidRDefault="00283833" w:rsidP="0089179A">
            <w:pPr>
              <w:jc w:val="right"/>
              <w:rPr>
                <w:b/>
                <w:sz w:val="20"/>
                <w:szCs w:val="20"/>
              </w:rPr>
            </w:pPr>
          </w:p>
        </w:tc>
        <w:tc>
          <w:tcPr>
            <w:tcW w:w="641" w:type="pct"/>
            <w:tcBorders>
              <w:top w:val="nil"/>
              <w:left w:val="single" w:sz="4" w:space="0" w:color="auto"/>
              <w:bottom w:val="single" w:sz="4" w:space="0" w:color="auto"/>
              <w:right w:val="single" w:sz="4" w:space="0" w:color="auto"/>
            </w:tcBorders>
            <w:tcMar>
              <w:right w:w="144" w:type="dxa"/>
            </w:tcMar>
          </w:tcPr>
          <w:p w14:paraId="6BFC6384" w14:textId="77777777" w:rsidR="00283833" w:rsidRPr="00E751DF" w:rsidRDefault="00283833" w:rsidP="0089179A">
            <w:pPr>
              <w:jc w:val="right"/>
              <w:rPr>
                <w:b/>
                <w:sz w:val="20"/>
                <w:szCs w:val="20"/>
              </w:rPr>
            </w:pPr>
          </w:p>
        </w:tc>
        <w:tc>
          <w:tcPr>
            <w:tcW w:w="641" w:type="pct"/>
            <w:tcBorders>
              <w:top w:val="nil"/>
              <w:left w:val="single" w:sz="4" w:space="0" w:color="auto"/>
              <w:bottom w:val="single" w:sz="4" w:space="0" w:color="auto"/>
              <w:right w:val="single" w:sz="4" w:space="0" w:color="auto"/>
            </w:tcBorders>
          </w:tcPr>
          <w:p w14:paraId="4C82B065" w14:textId="77777777" w:rsidR="00283833" w:rsidRPr="00E751DF" w:rsidRDefault="00283833" w:rsidP="0089179A">
            <w:pPr>
              <w:jc w:val="right"/>
              <w:rPr>
                <w:b/>
                <w:sz w:val="20"/>
                <w:szCs w:val="20"/>
              </w:rPr>
            </w:pPr>
          </w:p>
        </w:tc>
        <w:tc>
          <w:tcPr>
            <w:tcW w:w="641" w:type="pct"/>
            <w:tcBorders>
              <w:top w:val="nil"/>
              <w:left w:val="single" w:sz="4" w:space="0" w:color="auto"/>
              <w:bottom w:val="single" w:sz="4" w:space="0" w:color="auto"/>
              <w:right w:val="single" w:sz="4" w:space="0" w:color="auto"/>
            </w:tcBorders>
          </w:tcPr>
          <w:p w14:paraId="4CB5ECD4" w14:textId="77777777" w:rsidR="00283833" w:rsidRPr="00E751DF" w:rsidRDefault="00283833" w:rsidP="0089179A">
            <w:pPr>
              <w:jc w:val="right"/>
              <w:rPr>
                <w:b/>
                <w:sz w:val="20"/>
                <w:szCs w:val="20"/>
              </w:rPr>
            </w:pPr>
          </w:p>
        </w:tc>
        <w:tc>
          <w:tcPr>
            <w:tcW w:w="641" w:type="pct"/>
            <w:tcBorders>
              <w:top w:val="nil"/>
              <w:left w:val="single" w:sz="4" w:space="0" w:color="auto"/>
              <w:bottom w:val="single" w:sz="4" w:space="0" w:color="auto"/>
              <w:right w:val="single" w:sz="4" w:space="0" w:color="auto"/>
            </w:tcBorders>
            <w:shd w:val="clear" w:color="auto" w:fill="auto"/>
            <w:noWrap/>
            <w:tcMar>
              <w:right w:w="144" w:type="dxa"/>
            </w:tcMar>
          </w:tcPr>
          <w:p w14:paraId="7A4B6E8F" w14:textId="77777777" w:rsidR="00283833" w:rsidRPr="00E751DF" w:rsidRDefault="00283833" w:rsidP="0089179A">
            <w:pPr>
              <w:jc w:val="right"/>
              <w:rPr>
                <w:b/>
                <w:sz w:val="20"/>
                <w:szCs w:val="20"/>
              </w:rPr>
            </w:pPr>
          </w:p>
        </w:tc>
      </w:tr>
      <w:tr w:rsidR="00283833" w:rsidRPr="00E751DF" w14:paraId="13637792" w14:textId="77777777" w:rsidTr="003C227C">
        <w:tc>
          <w:tcPr>
            <w:tcW w:w="11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7CE5B24" w14:textId="77777777" w:rsidR="00283833" w:rsidRPr="00E751DF" w:rsidRDefault="00283833" w:rsidP="0089179A">
            <w:pPr>
              <w:keepNext/>
              <w:keepLines/>
              <w:widowControl w:val="0"/>
              <w:jc w:val="left"/>
              <w:rPr>
                <w:color w:val="000000"/>
                <w:sz w:val="20"/>
                <w:szCs w:val="20"/>
              </w:rPr>
            </w:pPr>
            <w:r>
              <w:rPr>
                <w:color w:val="000000"/>
                <w:sz w:val="20"/>
                <w:szCs w:val="20"/>
              </w:rPr>
              <w:t>HCFC-22</w:t>
            </w:r>
          </w:p>
        </w:tc>
        <w:tc>
          <w:tcPr>
            <w:tcW w:w="641" w:type="pct"/>
            <w:tcBorders>
              <w:top w:val="nil"/>
              <w:left w:val="single" w:sz="4" w:space="0" w:color="auto"/>
              <w:bottom w:val="single" w:sz="4" w:space="0" w:color="auto"/>
              <w:right w:val="single" w:sz="4" w:space="0" w:color="auto"/>
            </w:tcBorders>
            <w:tcMar>
              <w:right w:w="144" w:type="dxa"/>
            </w:tcMar>
            <w:vAlign w:val="center"/>
          </w:tcPr>
          <w:p w14:paraId="228B5F14" w14:textId="77777777" w:rsidR="00283833" w:rsidRPr="00E751DF" w:rsidRDefault="00283833" w:rsidP="0089179A">
            <w:pPr>
              <w:jc w:val="right"/>
              <w:rPr>
                <w:color w:val="000000"/>
                <w:sz w:val="20"/>
                <w:szCs w:val="20"/>
              </w:rPr>
            </w:pPr>
            <w:r>
              <w:rPr>
                <w:color w:val="000000"/>
                <w:sz w:val="20"/>
                <w:szCs w:val="20"/>
              </w:rPr>
              <w:t>193,74</w:t>
            </w:r>
          </w:p>
        </w:tc>
        <w:tc>
          <w:tcPr>
            <w:tcW w:w="641" w:type="pct"/>
            <w:tcBorders>
              <w:top w:val="nil"/>
              <w:left w:val="single" w:sz="4" w:space="0" w:color="auto"/>
              <w:bottom w:val="single" w:sz="4" w:space="0" w:color="auto"/>
              <w:right w:val="single" w:sz="4" w:space="0" w:color="auto"/>
            </w:tcBorders>
            <w:tcMar>
              <w:right w:w="144" w:type="dxa"/>
            </w:tcMar>
            <w:vAlign w:val="center"/>
          </w:tcPr>
          <w:p w14:paraId="57CB446D" w14:textId="77777777" w:rsidR="00283833" w:rsidRPr="00E751DF" w:rsidRDefault="00283833" w:rsidP="0089179A">
            <w:pPr>
              <w:jc w:val="right"/>
              <w:rPr>
                <w:color w:val="000000"/>
                <w:sz w:val="20"/>
                <w:szCs w:val="20"/>
              </w:rPr>
            </w:pPr>
            <w:r>
              <w:rPr>
                <w:color w:val="000000"/>
                <w:sz w:val="20"/>
                <w:szCs w:val="20"/>
              </w:rPr>
              <w:t>196,27</w:t>
            </w:r>
          </w:p>
        </w:tc>
        <w:tc>
          <w:tcPr>
            <w:tcW w:w="641" w:type="pct"/>
            <w:tcBorders>
              <w:top w:val="nil"/>
              <w:left w:val="single" w:sz="4" w:space="0" w:color="auto"/>
              <w:bottom w:val="single" w:sz="4" w:space="0" w:color="auto"/>
              <w:right w:val="single" w:sz="4" w:space="0" w:color="auto"/>
            </w:tcBorders>
            <w:tcMar>
              <w:right w:w="144" w:type="dxa"/>
            </w:tcMar>
            <w:vAlign w:val="center"/>
          </w:tcPr>
          <w:p w14:paraId="2C0CF259" w14:textId="77777777" w:rsidR="00283833" w:rsidRPr="00E751DF" w:rsidRDefault="00283833" w:rsidP="0089179A">
            <w:pPr>
              <w:jc w:val="right"/>
              <w:rPr>
                <w:color w:val="000000"/>
                <w:sz w:val="20"/>
                <w:szCs w:val="20"/>
              </w:rPr>
            </w:pPr>
            <w:r>
              <w:rPr>
                <w:color w:val="000000"/>
                <w:sz w:val="20"/>
                <w:szCs w:val="20"/>
              </w:rPr>
              <w:t>193,39</w:t>
            </w:r>
          </w:p>
        </w:tc>
        <w:tc>
          <w:tcPr>
            <w:tcW w:w="641" w:type="pct"/>
            <w:tcBorders>
              <w:top w:val="nil"/>
              <w:left w:val="single" w:sz="4" w:space="0" w:color="auto"/>
              <w:bottom w:val="single" w:sz="4" w:space="0" w:color="auto"/>
              <w:right w:val="single" w:sz="4" w:space="0" w:color="auto"/>
            </w:tcBorders>
          </w:tcPr>
          <w:p w14:paraId="07BA17A1" w14:textId="77777777" w:rsidR="00283833" w:rsidRPr="00E751DF" w:rsidRDefault="00283833" w:rsidP="0089179A">
            <w:pPr>
              <w:keepNext/>
              <w:keepLines/>
              <w:jc w:val="right"/>
              <w:rPr>
                <w:sz w:val="20"/>
                <w:szCs w:val="20"/>
              </w:rPr>
            </w:pPr>
            <w:r>
              <w:rPr>
                <w:sz w:val="20"/>
                <w:szCs w:val="20"/>
              </w:rPr>
              <w:t>195,72</w:t>
            </w:r>
          </w:p>
        </w:tc>
        <w:tc>
          <w:tcPr>
            <w:tcW w:w="641" w:type="pct"/>
            <w:tcBorders>
              <w:top w:val="nil"/>
              <w:left w:val="single" w:sz="4" w:space="0" w:color="auto"/>
              <w:bottom w:val="single" w:sz="4" w:space="0" w:color="auto"/>
              <w:right w:val="single" w:sz="4" w:space="0" w:color="auto"/>
            </w:tcBorders>
          </w:tcPr>
          <w:p w14:paraId="0929200F" w14:textId="77777777" w:rsidR="00283833" w:rsidRPr="00E751DF" w:rsidRDefault="00283833" w:rsidP="0089179A">
            <w:pPr>
              <w:keepNext/>
              <w:keepLines/>
              <w:jc w:val="right"/>
              <w:rPr>
                <w:sz w:val="20"/>
                <w:szCs w:val="20"/>
              </w:rPr>
            </w:pPr>
            <w:r>
              <w:rPr>
                <w:sz w:val="20"/>
                <w:szCs w:val="20"/>
              </w:rPr>
              <w:t>142,18</w:t>
            </w:r>
          </w:p>
        </w:tc>
        <w:tc>
          <w:tcPr>
            <w:tcW w:w="641" w:type="pct"/>
            <w:tcBorders>
              <w:top w:val="nil"/>
              <w:left w:val="single" w:sz="4" w:space="0" w:color="auto"/>
              <w:bottom w:val="single" w:sz="4" w:space="0" w:color="auto"/>
              <w:right w:val="single" w:sz="4" w:space="0" w:color="auto"/>
            </w:tcBorders>
            <w:shd w:val="clear" w:color="auto" w:fill="auto"/>
            <w:noWrap/>
            <w:tcMar>
              <w:right w:w="144" w:type="dxa"/>
            </w:tcMar>
          </w:tcPr>
          <w:p w14:paraId="09BF8524" w14:textId="77777777" w:rsidR="00283833" w:rsidRPr="00E751DF" w:rsidRDefault="00283833" w:rsidP="0089179A">
            <w:pPr>
              <w:keepNext/>
              <w:keepLines/>
              <w:jc w:val="right"/>
              <w:rPr>
                <w:sz w:val="20"/>
                <w:szCs w:val="20"/>
              </w:rPr>
            </w:pPr>
            <w:r>
              <w:rPr>
                <w:sz w:val="20"/>
                <w:szCs w:val="20"/>
              </w:rPr>
              <w:t>167,15</w:t>
            </w:r>
          </w:p>
        </w:tc>
      </w:tr>
      <w:tr w:rsidR="00283833" w:rsidRPr="00E751DF" w14:paraId="37727ECB" w14:textId="77777777" w:rsidTr="003C227C">
        <w:tc>
          <w:tcPr>
            <w:tcW w:w="11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9EEC612" w14:textId="77777777" w:rsidR="00283833" w:rsidRPr="00E751DF" w:rsidRDefault="00283833" w:rsidP="0089179A">
            <w:pPr>
              <w:widowControl w:val="0"/>
              <w:jc w:val="left"/>
              <w:rPr>
                <w:color w:val="000000"/>
                <w:sz w:val="20"/>
                <w:szCs w:val="20"/>
              </w:rPr>
            </w:pPr>
            <w:r>
              <w:rPr>
                <w:color w:val="000000"/>
                <w:sz w:val="20"/>
                <w:szCs w:val="20"/>
              </w:rPr>
              <w:t>HCFC-123</w:t>
            </w:r>
          </w:p>
        </w:tc>
        <w:tc>
          <w:tcPr>
            <w:tcW w:w="641" w:type="pct"/>
            <w:tcBorders>
              <w:top w:val="nil"/>
              <w:left w:val="single" w:sz="4" w:space="0" w:color="auto"/>
              <w:bottom w:val="single" w:sz="4" w:space="0" w:color="auto"/>
              <w:right w:val="single" w:sz="4" w:space="0" w:color="auto"/>
            </w:tcBorders>
            <w:tcMar>
              <w:right w:w="144" w:type="dxa"/>
            </w:tcMar>
            <w:vAlign w:val="center"/>
          </w:tcPr>
          <w:p w14:paraId="08319CEC" w14:textId="77777777" w:rsidR="00283833" w:rsidRPr="00E751DF" w:rsidRDefault="00283833" w:rsidP="0089179A">
            <w:pPr>
              <w:jc w:val="right"/>
              <w:rPr>
                <w:color w:val="000000"/>
                <w:sz w:val="20"/>
                <w:szCs w:val="20"/>
              </w:rPr>
            </w:pPr>
            <w:r>
              <w:rPr>
                <w:color w:val="000000"/>
                <w:sz w:val="20"/>
                <w:szCs w:val="20"/>
              </w:rPr>
              <w:t>0,89</w:t>
            </w:r>
          </w:p>
        </w:tc>
        <w:tc>
          <w:tcPr>
            <w:tcW w:w="641" w:type="pct"/>
            <w:tcBorders>
              <w:top w:val="nil"/>
              <w:left w:val="single" w:sz="4" w:space="0" w:color="auto"/>
              <w:bottom w:val="single" w:sz="4" w:space="0" w:color="auto"/>
              <w:right w:val="single" w:sz="4" w:space="0" w:color="auto"/>
            </w:tcBorders>
            <w:tcMar>
              <w:right w:w="144" w:type="dxa"/>
            </w:tcMar>
            <w:vAlign w:val="center"/>
          </w:tcPr>
          <w:p w14:paraId="725DD14A" w14:textId="77777777" w:rsidR="00283833" w:rsidRPr="00E751DF" w:rsidRDefault="00283833" w:rsidP="0089179A">
            <w:pPr>
              <w:jc w:val="right"/>
              <w:rPr>
                <w:color w:val="000000"/>
                <w:sz w:val="20"/>
                <w:szCs w:val="20"/>
              </w:rPr>
            </w:pPr>
            <w:r>
              <w:rPr>
                <w:color w:val="000000"/>
                <w:sz w:val="20"/>
                <w:szCs w:val="20"/>
              </w:rPr>
              <w:t>0,34</w:t>
            </w:r>
          </w:p>
        </w:tc>
        <w:tc>
          <w:tcPr>
            <w:tcW w:w="641" w:type="pct"/>
            <w:tcBorders>
              <w:top w:val="nil"/>
              <w:left w:val="single" w:sz="4" w:space="0" w:color="auto"/>
              <w:bottom w:val="single" w:sz="4" w:space="0" w:color="auto"/>
              <w:right w:val="single" w:sz="4" w:space="0" w:color="auto"/>
            </w:tcBorders>
            <w:tcMar>
              <w:right w:w="144" w:type="dxa"/>
            </w:tcMar>
            <w:vAlign w:val="center"/>
          </w:tcPr>
          <w:p w14:paraId="1432EFA2" w14:textId="77777777" w:rsidR="00283833" w:rsidRPr="00E751DF" w:rsidRDefault="00283833" w:rsidP="0089179A">
            <w:pPr>
              <w:jc w:val="right"/>
              <w:rPr>
                <w:color w:val="000000"/>
                <w:sz w:val="20"/>
                <w:szCs w:val="20"/>
              </w:rPr>
            </w:pPr>
            <w:r>
              <w:rPr>
                <w:color w:val="000000"/>
                <w:sz w:val="20"/>
                <w:szCs w:val="20"/>
              </w:rPr>
              <w:t>0,33</w:t>
            </w:r>
          </w:p>
        </w:tc>
        <w:tc>
          <w:tcPr>
            <w:tcW w:w="641" w:type="pct"/>
            <w:tcBorders>
              <w:top w:val="nil"/>
              <w:left w:val="single" w:sz="4" w:space="0" w:color="auto"/>
              <w:bottom w:val="single" w:sz="4" w:space="0" w:color="auto"/>
              <w:right w:val="single" w:sz="4" w:space="0" w:color="auto"/>
            </w:tcBorders>
          </w:tcPr>
          <w:p w14:paraId="011FD520" w14:textId="77777777" w:rsidR="00283833" w:rsidRPr="00E751DF" w:rsidRDefault="00283833" w:rsidP="0089179A">
            <w:pPr>
              <w:jc w:val="right"/>
              <w:rPr>
                <w:sz w:val="20"/>
                <w:szCs w:val="20"/>
              </w:rPr>
            </w:pPr>
            <w:r>
              <w:rPr>
                <w:sz w:val="20"/>
                <w:szCs w:val="20"/>
              </w:rPr>
              <w:t>0,33</w:t>
            </w:r>
          </w:p>
        </w:tc>
        <w:tc>
          <w:tcPr>
            <w:tcW w:w="641" w:type="pct"/>
            <w:tcBorders>
              <w:top w:val="nil"/>
              <w:left w:val="single" w:sz="4" w:space="0" w:color="auto"/>
              <w:bottom w:val="single" w:sz="4" w:space="0" w:color="auto"/>
              <w:right w:val="single" w:sz="4" w:space="0" w:color="auto"/>
            </w:tcBorders>
          </w:tcPr>
          <w:p w14:paraId="3D3FD3BD" w14:textId="77777777" w:rsidR="00283833" w:rsidRPr="00E751DF" w:rsidRDefault="00283833" w:rsidP="0089179A">
            <w:pPr>
              <w:jc w:val="right"/>
              <w:rPr>
                <w:sz w:val="20"/>
                <w:szCs w:val="20"/>
              </w:rPr>
            </w:pPr>
            <w:r>
              <w:rPr>
                <w:sz w:val="20"/>
                <w:szCs w:val="20"/>
              </w:rPr>
              <w:t>0,00</w:t>
            </w:r>
          </w:p>
        </w:tc>
        <w:tc>
          <w:tcPr>
            <w:tcW w:w="641" w:type="pct"/>
            <w:tcBorders>
              <w:top w:val="nil"/>
              <w:left w:val="single" w:sz="4" w:space="0" w:color="auto"/>
              <w:bottom w:val="single" w:sz="4" w:space="0" w:color="auto"/>
              <w:right w:val="single" w:sz="4" w:space="0" w:color="auto"/>
            </w:tcBorders>
            <w:shd w:val="clear" w:color="auto" w:fill="auto"/>
            <w:noWrap/>
            <w:tcMar>
              <w:right w:w="144" w:type="dxa"/>
            </w:tcMar>
          </w:tcPr>
          <w:p w14:paraId="54AACC75" w14:textId="77777777" w:rsidR="00283833" w:rsidRPr="00E751DF" w:rsidRDefault="00283833" w:rsidP="0089179A">
            <w:pPr>
              <w:jc w:val="right"/>
              <w:rPr>
                <w:sz w:val="20"/>
                <w:szCs w:val="20"/>
              </w:rPr>
            </w:pPr>
            <w:r>
              <w:rPr>
                <w:sz w:val="20"/>
                <w:szCs w:val="20"/>
              </w:rPr>
              <w:t>0,16</w:t>
            </w:r>
          </w:p>
        </w:tc>
      </w:tr>
      <w:tr w:rsidR="00283833" w:rsidRPr="00E751DF" w14:paraId="1BAD8B4C" w14:textId="77777777" w:rsidTr="003C227C">
        <w:tc>
          <w:tcPr>
            <w:tcW w:w="11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E7706DD" w14:textId="77777777" w:rsidR="00283833" w:rsidRPr="00E751DF" w:rsidRDefault="00283833" w:rsidP="0089179A">
            <w:pPr>
              <w:widowControl w:val="0"/>
              <w:jc w:val="left"/>
              <w:rPr>
                <w:color w:val="000000"/>
                <w:sz w:val="20"/>
                <w:szCs w:val="20"/>
              </w:rPr>
            </w:pPr>
            <w:r>
              <w:rPr>
                <w:color w:val="000000"/>
                <w:sz w:val="20"/>
                <w:szCs w:val="20"/>
              </w:rPr>
              <w:t>HCFC-141b</w:t>
            </w:r>
          </w:p>
        </w:tc>
        <w:tc>
          <w:tcPr>
            <w:tcW w:w="641" w:type="pct"/>
            <w:tcBorders>
              <w:top w:val="nil"/>
              <w:left w:val="single" w:sz="4" w:space="0" w:color="auto"/>
              <w:bottom w:val="single" w:sz="4" w:space="0" w:color="auto"/>
              <w:right w:val="single" w:sz="4" w:space="0" w:color="auto"/>
            </w:tcBorders>
            <w:tcMar>
              <w:right w:w="144" w:type="dxa"/>
            </w:tcMar>
            <w:vAlign w:val="center"/>
          </w:tcPr>
          <w:p w14:paraId="774F334F" w14:textId="77777777" w:rsidR="00283833" w:rsidRPr="00E751DF" w:rsidRDefault="00283833" w:rsidP="0089179A">
            <w:pPr>
              <w:jc w:val="right"/>
            </w:pPr>
            <w:r>
              <w:rPr>
                <w:sz w:val="20"/>
                <w:szCs w:val="20"/>
              </w:rPr>
              <w:t>0,00</w:t>
            </w:r>
          </w:p>
        </w:tc>
        <w:tc>
          <w:tcPr>
            <w:tcW w:w="641" w:type="pct"/>
            <w:tcBorders>
              <w:top w:val="nil"/>
              <w:left w:val="single" w:sz="4" w:space="0" w:color="auto"/>
              <w:bottom w:val="single" w:sz="4" w:space="0" w:color="auto"/>
              <w:right w:val="single" w:sz="4" w:space="0" w:color="auto"/>
            </w:tcBorders>
            <w:tcMar>
              <w:right w:w="144" w:type="dxa"/>
            </w:tcMar>
            <w:vAlign w:val="center"/>
          </w:tcPr>
          <w:p w14:paraId="34705489" w14:textId="77777777" w:rsidR="00283833" w:rsidRPr="00E751DF" w:rsidRDefault="00283833" w:rsidP="0089179A">
            <w:pPr>
              <w:jc w:val="right"/>
            </w:pPr>
            <w:r>
              <w:rPr>
                <w:sz w:val="20"/>
                <w:szCs w:val="20"/>
              </w:rPr>
              <w:t>0,00</w:t>
            </w:r>
          </w:p>
        </w:tc>
        <w:tc>
          <w:tcPr>
            <w:tcW w:w="641" w:type="pct"/>
            <w:tcBorders>
              <w:top w:val="nil"/>
              <w:left w:val="single" w:sz="4" w:space="0" w:color="auto"/>
              <w:bottom w:val="single" w:sz="4" w:space="0" w:color="auto"/>
              <w:right w:val="single" w:sz="4" w:space="0" w:color="auto"/>
            </w:tcBorders>
            <w:tcMar>
              <w:right w:w="144" w:type="dxa"/>
            </w:tcMar>
            <w:vAlign w:val="center"/>
          </w:tcPr>
          <w:p w14:paraId="5467E8E8" w14:textId="77777777" w:rsidR="00283833" w:rsidRPr="00E751DF" w:rsidRDefault="00283833" w:rsidP="0089179A">
            <w:pPr>
              <w:jc w:val="right"/>
            </w:pPr>
            <w:r>
              <w:rPr>
                <w:sz w:val="20"/>
                <w:szCs w:val="20"/>
              </w:rPr>
              <w:t>0,00</w:t>
            </w:r>
          </w:p>
        </w:tc>
        <w:tc>
          <w:tcPr>
            <w:tcW w:w="641" w:type="pct"/>
            <w:tcBorders>
              <w:top w:val="nil"/>
              <w:left w:val="single" w:sz="4" w:space="0" w:color="auto"/>
              <w:bottom w:val="single" w:sz="4" w:space="0" w:color="auto"/>
              <w:right w:val="single" w:sz="4" w:space="0" w:color="auto"/>
            </w:tcBorders>
          </w:tcPr>
          <w:p w14:paraId="315EDDA8" w14:textId="77777777" w:rsidR="00283833" w:rsidRPr="00E751DF" w:rsidRDefault="00283833" w:rsidP="0089179A">
            <w:pPr>
              <w:jc w:val="right"/>
              <w:rPr>
                <w:sz w:val="20"/>
                <w:szCs w:val="20"/>
              </w:rPr>
            </w:pPr>
            <w:r>
              <w:rPr>
                <w:sz w:val="20"/>
                <w:szCs w:val="20"/>
              </w:rPr>
              <w:t>0,00</w:t>
            </w:r>
          </w:p>
        </w:tc>
        <w:tc>
          <w:tcPr>
            <w:tcW w:w="641" w:type="pct"/>
            <w:tcBorders>
              <w:top w:val="nil"/>
              <w:left w:val="single" w:sz="4" w:space="0" w:color="auto"/>
              <w:bottom w:val="single" w:sz="4" w:space="0" w:color="auto"/>
              <w:right w:val="single" w:sz="4" w:space="0" w:color="auto"/>
            </w:tcBorders>
          </w:tcPr>
          <w:p w14:paraId="1F6A338D" w14:textId="77777777" w:rsidR="00283833" w:rsidRPr="00E751DF" w:rsidRDefault="00283833" w:rsidP="0089179A">
            <w:pPr>
              <w:jc w:val="right"/>
              <w:rPr>
                <w:sz w:val="20"/>
                <w:szCs w:val="20"/>
              </w:rPr>
            </w:pPr>
            <w:r>
              <w:rPr>
                <w:sz w:val="20"/>
                <w:szCs w:val="20"/>
              </w:rPr>
              <w:t>0,00</w:t>
            </w:r>
          </w:p>
        </w:tc>
        <w:tc>
          <w:tcPr>
            <w:tcW w:w="641" w:type="pct"/>
            <w:tcBorders>
              <w:top w:val="nil"/>
              <w:left w:val="single" w:sz="4" w:space="0" w:color="auto"/>
              <w:bottom w:val="single" w:sz="4" w:space="0" w:color="auto"/>
              <w:right w:val="single" w:sz="4" w:space="0" w:color="auto"/>
            </w:tcBorders>
            <w:shd w:val="clear" w:color="auto" w:fill="auto"/>
            <w:noWrap/>
            <w:tcMar>
              <w:right w:w="144" w:type="dxa"/>
            </w:tcMar>
          </w:tcPr>
          <w:p w14:paraId="48486092" w14:textId="77777777" w:rsidR="00283833" w:rsidRPr="00E751DF" w:rsidRDefault="00283833" w:rsidP="0089179A">
            <w:pPr>
              <w:jc w:val="right"/>
              <w:rPr>
                <w:sz w:val="20"/>
                <w:szCs w:val="20"/>
              </w:rPr>
            </w:pPr>
            <w:r>
              <w:rPr>
                <w:sz w:val="20"/>
                <w:szCs w:val="20"/>
              </w:rPr>
              <w:t>53,90</w:t>
            </w:r>
          </w:p>
        </w:tc>
      </w:tr>
      <w:tr w:rsidR="00283833" w:rsidRPr="00E751DF" w14:paraId="651150A0" w14:textId="77777777" w:rsidTr="003C227C">
        <w:trPr>
          <w:trHeight w:val="20"/>
        </w:trPr>
        <w:tc>
          <w:tcPr>
            <w:tcW w:w="115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BC5964F" w14:textId="77777777" w:rsidR="00283833" w:rsidRPr="00E751DF" w:rsidRDefault="00283833" w:rsidP="0089179A">
            <w:pPr>
              <w:widowControl w:val="0"/>
              <w:jc w:val="left"/>
              <w:rPr>
                <w:color w:val="000000"/>
                <w:sz w:val="20"/>
                <w:szCs w:val="20"/>
              </w:rPr>
            </w:pPr>
            <w:r>
              <w:rPr>
                <w:color w:val="000000"/>
                <w:sz w:val="20"/>
                <w:szCs w:val="20"/>
              </w:rPr>
              <w:t>HCFC-225</w:t>
            </w:r>
          </w:p>
        </w:tc>
        <w:tc>
          <w:tcPr>
            <w:tcW w:w="641" w:type="pct"/>
            <w:tcBorders>
              <w:top w:val="nil"/>
              <w:left w:val="single" w:sz="4" w:space="0" w:color="auto"/>
              <w:bottom w:val="single" w:sz="4" w:space="0" w:color="auto"/>
              <w:right w:val="single" w:sz="4" w:space="0" w:color="auto"/>
            </w:tcBorders>
            <w:tcMar>
              <w:right w:w="144" w:type="dxa"/>
            </w:tcMar>
            <w:vAlign w:val="center"/>
          </w:tcPr>
          <w:p w14:paraId="16243B47" w14:textId="77777777" w:rsidR="00283833" w:rsidRPr="00E751DF" w:rsidRDefault="00283833" w:rsidP="0089179A">
            <w:pPr>
              <w:jc w:val="right"/>
              <w:rPr>
                <w:color w:val="000000"/>
                <w:sz w:val="20"/>
                <w:szCs w:val="20"/>
              </w:rPr>
            </w:pPr>
            <w:r>
              <w:rPr>
                <w:color w:val="000000"/>
                <w:sz w:val="20"/>
                <w:szCs w:val="20"/>
              </w:rPr>
              <w:t>1,12</w:t>
            </w:r>
          </w:p>
        </w:tc>
        <w:tc>
          <w:tcPr>
            <w:tcW w:w="641" w:type="pct"/>
            <w:tcBorders>
              <w:top w:val="nil"/>
              <w:left w:val="single" w:sz="4" w:space="0" w:color="auto"/>
              <w:bottom w:val="single" w:sz="4" w:space="0" w:color="auto"/>
              <w:right w:val="single" w:sz="4" w:space="0" w:color="auto"/>
            </w:tcBorders>
            <w:tcMar>
              <w:right w:w="144" w:type="dxa"/>
            </w:tcMar>
            <w:vAlign w:val="center"/>
          </w:tcPr>
          <w:p w14:paraId="0702DFE6" w14:textId="77777777" w:rsidR="00283833" w:rsidRPr="00E751DF" w:rsidRDefault="00283833" w:rsidP="0089179A">
            <w:pPr>
              <w:jc w:val="right"/>
              <w:rPr>
                <w:color w:val="000000"/>
                <w:sz w:val="20"/>
                <w:szCs w:val="20"/>
              </w:rPr>
            </w:pPr>
            <w:r>
              <w:rPr>
                <w:color w:val="000000"/>
                <w:sz w:val="20"/>
                <w:szCs w:val="20"/>
              </w:rPr>
              <w:t>0,97</w:t>
            </w:r>
          </w:p>
        </w:tc>
        <w:tc>
          <w:tcPr>
            <w:tcW w:w="641" w:type="pct"/>
            <w:tcBorders>
              <w:top w:val="nil"/>
              <w:left w:val="single" w:sz="4" w:space="0" w:color="auto"/>
              <w:bottom w:val="single" w:sz="4" w:space="0" w:color="auto"/>
              <w:right w:val="single" w:sz="4" w:space="0" w:color="auto"/>
            </w:tcBorders>
            <w:tcMar>
              <w:right w:w="144" w:type="dxa"/>
            </w:tcMar>
            <w:vAlign w:val="center"/>
          </w:tcPr>
          <w:p w14:paraId="14542A83" w14:textId="77777777" w:rsidR="00283833" w:rsidRPr="00E751DF" w:rsidRDefault="00283833" w:rsidP="0089179A">
            <w:pPr>
              <w:jc w:val="right"/>
              <w:rPr>
                <w:color w:val="000000"/>
                <w:sz w:val="20"/>
                <w:szCs w:val="20"/>
              </w:rPr>
            </w:pPr>
            <w:r>
              <w:rPr>
                <w:color w:val="000000"/>
                <w:sz w:val="20"/>
                <w:szCs w:val="20"/>
              </w:rPr>
              <w:t>1,88</w:t>
            </w:r>
          </w:p>
        </w:tc>
        <w:tc>
          <w:tcPr>
            <w:tcW w:w="641" w:type="pct"/>
            <w:tcBorders>
              <w:top w:val="nil"/>
              <w:left w:val="single" w:sz="4" w:space="0" w:color="auto"/>
              <w:bottom w:val="single" w:sz="4" w:space="0" w:color="auto"/>
              <w:right w:val="single" w:sz="4" w:space="0" w:color="auto"/>
            </w:tcBorders>
          </w:tcPr>
          <w:p w14:paraId="7BEFA0A7" w14:textId="77777777" w:rsidR="00283833" w:rsidRPr="00E751DF" w:rsidRDefault="00283833" w:rsidP="0089179A">
            <w:pPr>
              <w:jc w:val="right"/>
              <w:rPr>
                <w:sz w:val="20"/>
                <w:szCs w:val="20"/>
              </w:rPr>
            </w:pPr>
            <w:r>
              <w:rPr>
                <w:sz w:val="20"/>
                <w:szCs w:val="20"/>
              </w:rPr>
              <w:t>1,50</w:t>
            </w:r>
          </w:p>
        </w:tc>
        <w:tc>
          <w:tcPr>
            <w:tcW w:w="641" w:type="pct"/>
            <w:tcBorders>
              <w:top w:val="nil"/>
              <w:left w:val="single" w:sz="4" w:space="0" w:color="auto"/>
              <w:bottom w:val="single" w:sz="4" w:space="0" w:color="auto"/>
              <w:right w:val="single" w:sz="4" w:space="0" w:color="auto"/>
            </w:tcBorders>
          </w:tcPr>
          <w:p w14:paraId="32F3284C" w14:textId="77777777" w:rsidR="00283833" w:rsidRPr="00E751DF" w:rsidRDefault="00283833" w:rsidP="0089179A">
            <w:pPr>
              <w:jc w:val="right"/>
              <w:rPr>
                <w:sz w:val="20"/>
                <w:szCs w:val="20"/>
              </w:rPr>
            </w:pPr>
            <w:r>
              <w:rPr>
                <w:sz w:val="20"/>
                <w:szCs w:val="20"/>
              </w:rPr>
              <w:t>0,00</w:t>
            </w:r>
          </w:p>
        </w:tc>
        <w:tc>
          <w:tcPr>
            <w:tcW w:w="641" w:type="pct"/>
            <w:tcBorders>
              <w:top w:val="nil"/>
              <w:left w:val="single" w:sz="4" w:space="0" w:color="auto"/>
              <w:bottom w:val="single" w:sz="4" w:space="0" w:color="auto"/>
              <w:right w:val="single" w:sz="4" w:space="0" w:color="auto"/>
            </w:tcBorders>
            <w:shd w:val="clear" w:color="auto" w:fill="auto"/>
            <w:noWrap/>
            <w:tcMar>
              <w:right w:w="144" w:type="dxa"/>
            </w:tcMar>
          </w:tcPr>
          <w:p w14:paraId="355DA861" w14:textId="6FB4B555" w:rsidR="00283833" w:rsidRPr="00E751DF" w:rsidRDefault="00283833" w:rsidP="0089179A">
            <w:pPr>
              <w:jc w:val="right"/>
              <w:rPr>
                <w:sz w:val="20"/>
                <w:szCs w:val="20"/>
              </w:rPr>
            </w:pPr>
            <w:r>
              <w:rPr>
                <w:sz w:val="20"/>
                <w:szCs w:val="20"/>
              </w:rPr>
              <w:t>0,00</w:t>
            </w:r>
          </w:p>
        </w:tc>
      </w:tr>
      <w:tr w:rsidR="00283833" w:rsidRPr="00E751DF" w14:paraId="3E331D5F" w14:textId="77777777" w:rsidTr="003C227C">
        <w:tc>
          <w:tcPr>
            <w:tcW w:w="115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644EFD96" w14:textId="77777777" w:rsidR="00283833" w:rsidRPr="00E751DF" w:rsidRDefault="00283833" w:rsidP="0089179A">
            <w:pPr>
              <w:jc w:val="left"/>
              <w:rPr>
                <w:rFonts w:eastAsiaTheme="minorHAnsi"/>
                <w:b/>
                <w:sz w:val="20"/>
                <w:szCs w:val="20"/>
              </w:rPr>
            </w:pPr>
            <w:r>
              <w:rPr>
                <w:b/>
                <w:sz w:val="20"/>
                <w:szCs w:val="20"/>
              </w:rPr>
              <w:t>Total (tonnes PAO)</w:t>
            </w:r>
          </w:p>
        </w:tc>
        <w:tc>
          <w:tcPr>
            <w:tcW w:w="641" w:type="pct"/>
            <w:tcBorders>
              <w:top w:val="single" w:sz="4" w:space="0" w:color="auto"/>
              <w:left w:val="single" w:sz="4" w:space="0" w:color="auto"/>
              <w:bottom w:val="single" w:sz="4" w:space="0" w:color="auto"/>
              <w:right w:val="single" w:sz="4" w:space="0" w:color="auto"/>
            </w:tcBorders>
            <w:tcMar>
              <w:right w:w="144" w:type="dxa"/>
            </w:tcMar>
            <w:vAlign w:val="center"/>
          </w:tcPr>
          <w:p w14:paraId="4563602C" w14:textId="77777777" w:rsidR="00283833" w:rsidRPr="00E751DF" w:rsidRDefault="00283833" w:rsidP="0089179A">
            <w:pPr>
              <w:jc w:val="right"/>
              <w:rPr>
                <w:b/>
                <w:bCs/>
                <w:color w:val="000000"/>
                <w:sz w:val="20"/>
                <w:szCs w:val="20"/>
              </w:rPr>
            </w:pPr>
            <w:r>
              <w:rPr>
                <w:b/>
                <w:bCs/>
                <w:color w:val="000000"/>
                <w:sz w:val="20"/>
                <w:szCs w:val="20"/>
              </w:rPr>
              <w:t>195,75</w:t>
            </w:r>
          </w:p>
        </w:tc>
        <w:tc>
          <w:tcPr>
            <w:tcW w:w="641" w:type="pct"/>
            <w:tcBorders>
              <w:top w:val="single" w:sz="4" w:space="0" w:color="auto"/>
              <w:left w:val="single" w:sz="4" w:space="0" w:color="auto"/>
              <w:bottom w:val="single" w:sz="4" w:space="0" w:color="auto"/>
              <w:right w:val="single" w:sz="4" w:space="0" w:color="auto"/>
            </w:tcBorders>
            <w:tcMar>
              <w:right w:w="144" w:type="dxa"/>
            </w:tcMar>
            <w:vAlign w:val="center"/>
          </w:tcPr>
          <w:p w14:paraId="106D5B6B" w14:textId="77777777" w:rsidR="00283833" w:rsidRPr="00E751DF" w:rsidRDefault="00283833" w:rsidP="0089179A">
            <w:pPr>
              <w:jc w:val="right"/>
              <w:rPr>
                <w:b/>
                <w:bCs/>
                <w:color w:val="000000"/>
                <w:sz w:val="20"/>
                <w:szCs w:val="20"/>
              </w:rPr>
            </w:pPr>
            <w:r>
              <w:rPr>
                <w:b/>
                <w:bCs/>
                <w:color w:val="000000"/>
                <w:sz w:val="20"/>
                <w:szCs w:val="20"/>
              </w:rPr>
              <w:t>197,58</w:t>
            </w:r>
          </w:p>
        </w:tc>
        <w:tc>
          <w:tcPr>
            <w:tcW w:w="641" w:type="pct"/>
            <w:tcBorders>
              <w:top w:val="single" w:sz="4" w:space="0" w:color="auto"/>
              <w:left w:val="single" w:sz="4" w:space="0" w:color="auto"/>
              <w:bottom w:val="single" w:sz="4" w:space="0" w:color="auto"/>
              <w:right w:val="single" w:sz="4" w:space="0" w:color="auto"/>
            </w:tcBorders>
            <w:tcMar>
              <w:right w:w="144" w:type="dxa"/>
            </w:tcMar>
            <w:vAlign w:val="center"/>
          </w:tcPr>
          <w:p w14:paraId="4E58CCC5" w14:textId="77777777" w:rsidR="00283833" w:rsidRPr="00E751DF" w:rsidRDefault="00283833" w:rsidP="0089179A">
            <w:pPr>
              <w:jc w:val="right"/>
              <w:rPr>
                <w:b/>
                <w:bCs/>
                <w:color w:val="000000"/>
                <w:sz w:val="20"/>
                <w:szCs w:val="20"/>
              </w:rPr>
            </w:pPr>
            <w:r>
              <w:rPr>
                <w:b/>
                <w:bCs/>
                <w:color w:val="000000"/>
                <w:sz w:val="20"/>
                <w:szCs w:val="20"/>
              </w:rPr>
              <w:t>195,60</w:t>
            </w:r>
          </w:p>
        </w:tc>
        <w:tc>
          <w:tcPr>
            <w:tcW w:w="641" w:type="pct"/>
            <w:tcBorders>
              <w:top w:val="single" w:sz="4" w:space="0" w:color="auto"/>
              <w:left w:val="single" w:sz="4" w:space="0" w:color="auto"/>
              <w:bottom w:val="single" w:sz="4" w:space="0" w:color="auto"/>
              <w:right w:val="single" w:sz="4" w:space="0" w:color="auto"/>
            </w:tcBorders>
          </w:tcPr>
          <w:p w14:paraId="3FB4848C" w14:textId="77777777" w:rsidR="00283833" w:rsidRPr="00E751DF" w:rsidRDefault="00283833" w:rsidP="0089179A">
            <w:pPr>
              <w:jc w:val="right"/>
              <w:rPr>
                <w:b/>
                <w:sz w:val="20"/>
                <w:szCs w:val="20"/>
              </w:rPr>
            </w:pPr>
            <w:r>
              <w:rPr>
                <w:b/>
                <w:sz w:val="20"/>
                <w:szCs w:val="20"/>
              </w:rPr>
              <w:t>197,55</w:t>
            </w:r>
          </w:p>
        </w:tc>
        <w:tc>
          <w:tcPr>
            <w:tcW w:w="641" w:type="pct"/>
            <w:tcBorders>
              <w:top w:val="single" w:sz="4" w:space="0" w:color="auto"/>
              <w:left w:val="single" w:sz="4" w:space="0" w:color="auto"/>
              <w:bottom w:val="single" w:sz="4" w:space="0" w:color="auto"/>
              <w:right w:val="single" w:sz="4" w:space="0" w:color="auto"/>
            </w:tcBorders>
          </w:tcPr>
          <w:p w14:paraId="0B4DC6AE" w14:textId="77777777" w:rsidR="00283833" w:rsidRPr="00E751DF" w:rsidRDefault="00283833" w:rsidP="0089179A">
            <w:pPr>
              <w:jc w:val="right"/>
              <w:rPr>
                <w:b/>
                <w:sz w:val="20"/>
                <w:szCs w:val="20"/>
              </w:rPr>
            </w:pPr>
            <w:r>
              <w:rPr>
                <w:b/>
                <w:sz w:val="20"/>
                <w:szCs w:val="20"/>
              </w:rPr>
              <w:t>142,18</w:t>
            </w:r>
          </w:p>
        </w:tc>
        <w:tc>
          <w:tcPr>
            <w:tcW w:w="641" w:type="pct"/>
            <w:tcBorders>
              <w:top w:val="single" w:sz="4" w:space="0" w:color="auto"/>
              <w:left w:val="single" w:sz="4" w:space="0" w:color="auto"/>
              <w:bottom w:val="single" w:sz="4" w:space="0" w:color="auto"/>
              <w:right w:val="single" w:sz="4" w:space="0" w:color="auto"/>
            </w:tcBorders>
            <w:shd w:val="clear" w:color="auto" w:fill="auto"/>
            <w:noWrap/>
            <w:tcMar>
              <w:right w:w="144" w:type="dxa"/>
            </w:tcMar>
          </w:tcPr>
          <w:p w14:paraId="41CBB031" w14:textId="77777777" w:rsidR="00283833" w:rsidRPr="00E751DF" w:rsidRDefault="00283833" w:rsidP="0089179A">
            <w:pPr>
              <w:jc w:val="right"/>
              <w:rPr>
                <w:b/>
                <w:sz w:val="20"/>
                <w:szCs w:val="20"/>
              </w:rPr>
            </w:pPr>
            <w:r>
              <w:rPr>
                <w:b/>
                <w:sz w:val="20"/>
                <w:szCs w:val="20"/>
              </w:rPr>
              <w:t>221,21</w:t>
            </w:r>
          </w:p>
        </w:tc>
      </w:tr>
      <w:tr w:rsidR="00283833" w:rsidRPr="00E751DF" w14:paraId="51EA2217" w14:textId="77777777" w:rsidTr="003C227C">
        <w:tc>
          <w:tcPr>
            <w:tcW w:w="115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49FA899F" w14:textId="7A35F3E3" w:rsidR="00283833" w:rsidRPr="00E751DF" w:rsidRDefault="00283833" w:rsidP="0089179A">
            <w:pPr>
              <w:jc w:val="left"/>
              <w:rPr>
                <w:color w:val="000000"/>
                <w:sz w:val="20"/>
                <w:szCs w:val="20"/>
              </w:rPr>
            </w:pPr>
            <w:r>
              <w:rPr>
                <w:color w:val="000000"/>
                <w:sz w:val="20"/>
                <w:szCs w:val="20"/>
              </w:rPr>
              <w:t xml:space="preserve">HCFC-141b dans les polyols </w:t>
            </w:r>
            <w:proofErr w:type="spellStart"/>
            <w:r>
              <w:rPr>
                <w:color w:val="000000"/>
                <w:sz w:val="20"/>
                <w:szCs w:val="20"/>
              </w:rPr>
              <w:t>prémélangés</w:t>
            </w:r>
            <w:proofErr w:type="spellEnd"/>
            <w:r>
              <w:rPr>
                <w:color w:val="000000"/>
                <w:sz w:val="20"/>
                <w:szCs w:val="20"/>
              </w:rPr>
              <w:t xml:space="preserve"> importés**</w:t>
            </w:r>
          </w:p>
        </w:tc>
        <w:tc>
          <w:tcPr>
            <w:tcW w:w="641" w:type="pct"/>
            <w:tcBorders>
              <w:top w:val="single" w:sz="4" w:space="0" w:color="auto"/>
              <w:left w:val="single" w:sz="4" w:space="0" w:color="auto"/>
              <w:bottom w:val="single" w:sz="4" w:space="0" w:color="auto"/>
              <w:right w:val="single" w:sz="4" w:space="0" w:color="auto"/>
            </w:tcBorders>
            <w:tcMar>
              <w:right w:w="144" w:type="dxa"/>
            </w:tcMar>
          </w:tcPr>
          <w:p w14:paraId="2B7E76E0" w14:textId="77777777" w:rsidR="00283833" w:rsidRPr="00E751DF" w:rsidRDefault="00283833" w:rsidP="0089179A">
            <w:pPr>
              <w:jc w:val="right"/>
              <w:rPr>
                <w:sz w:val="20"/>
                <w:szCs w:val="20"/>
              </w:rPr>
            </w:pPr>
            <w:r>
              <w:rPr>
                <w:sz w:val="20"/>
                <w:szCs w:val="20"/>
              </w:rPr>
              <w:t>356,13</w:t>
            </w:r>
          </w:p>
        </w:tc>
        <w:tc>
          <w:tcPr>
            <w:tcW w:w="641" w:type="pct"/>
            <w:tcBorders>
              <w:top w:val="single" w:sz="4" w:space="0" w:color="auto"/>
              <w:left w:val="single" w:sz="4" w:space="0" w:color="auto"/>
              <w:bottom w:val="single" w:sz="4" w:space="0" w:color="auto"/>
              <w:right w:val="single" w:sz="4" w:space="0" w:color="auto"/>
            </w:tcBorders>
            <w:tcMar>
              <w:right w:w="144" w:type="dxa"/>
            </w:tcMar>
          </w:tcPr>
          <w:p w14:paraId="2DA3283F" w14:textId="77777777" w:rsidR="00283833" w:rsidRPr="00E751DF" w:rsidRDefault="00283833" w:rsidP="0089179A">
            <w:pPr>
              <w:jc w:val="right"/>
              <w:rPr>
                <w:rFonts w:eastAsiaTheme="minorHAnsi"/>
                <w:color w:val="000000"/>
                <w:sz w:val="20"/>
                <w:szCs w:val="20"/>
              </w:rPr>
            </w:pPr>
            <w:r>
              <w:rPr>
                <w:color w:val="000000"/>
                <w:sz w:val="20"/>
                <w:szCs w:val="20"/>
              </w:rPr>
              <w:t>206,69</w:t>
            </w:r>
          </w:p>
        </w:tc>
        <w:tc>
          <w:tcPr>
            <w:tcW w:w="641" w:type="pct"/>
            <w:tcBorders>
              <w:top w:val="single" w:sz="4" w:space="0" w:color="auto"/>
              <w:left w:val="single" w:sz="4" w:space="0" w:color="auto"/>
              <w:bottom w:val="single" w:sz="4" w:space="0" w:color="auto"/>
              <w:right w:val="single" w:sz="4" w:space="0" w:color="auto"/>
            </w:tcBorders>
            <w:tcMar>
              <w:right w:w="144" w:type="dxa"/>
            </w:tcMar>
          </w:tcPr>
          <w:p w14:paraId="674BCD8E" w14:textId="77777777" w:rsidR="00283833" w:rsidRPr="00E751DF" w:rsidRDefault="00283833" w:rsidP="0089179A">
            <w:pPr>
              <w:jc w:val="right"/>
              <w:rPr>
                <w:sz w:val="20"/>
                <w:szCs w:val="20"/>
              </w:rPr>
            </w:pPr>
            <w:r>
              <w:rPr>
                <w:sz w:val="20"/>
                <w:szCs w:val="20"/>
              </w:rPr>
              <w:t>126,00</w:t>
            </w:r>
          </w:p>
        </w:tc>
        <w:tc>
          <w:tcPr>
            <w:tcW w:w="641" w:type="pct"/>
            <w:tcBorders>
              <w:top w:val="single" w:sz="4" w:space="0" w:color="auto"/>
              <w:left w:val="single" w:sz="4" w:space="0" w:color="auto"/>
              <w:bottom w:val="single" w:sz="4" w:space="0" w:color="auto"/>
              <w:right w:val="single" w:sz="4" w:space="0" w:color="auto"/>
            </w:tcBorders>
          </w:tcPr>
          <w:p w14:paraId="6219A42A" w14:textId="77777777" w:rsidR="00283833" w:rsidRPr="00E751DF" w:rsidRDefault="00283833" w:rsidP="0089179A">
            <w:pPr>
              <w:jc w:val="right"/>
              <w:rPr>
                <w:sz w:val="20"/>
                <w:szCs w:val="20"/>
              </w:rPr>
            </w:pPr>
            <w:r>
              <w:rPr>
                <w:sz w:val="20"/>
                <w:szCs w:val="20"/>
              </w:rPr>
              <w:t>75,60</w:t>
            </w:r>
          </w:p>
        </w:tc>
        <w:tc>
          <w:tcPr>
            <w:tcW w:w="641" w:type="pct"/>
            <w:tcBorders>
              <w:top w:val="single" w:sz="4" w:space="0" w:color="auto"/>
              <w:left w:val="single" w:sz="4" w:space="0" w:color="auto"/>
              <w:bottom w:val="single" w:sz="4" w:space="0" w:color="auto"/>
              <w:right w:val="single" w:sz="4" w:space="0" w:color="auto"/>
            </w:tcBorders>
          </w:tcPr>
          <w:p w14:paraId="0CBBC876" w14:textId="23720C1A" w:rsidR="00283833" w:rsidRPr="00E751DF" w:rsidRDefault="00EA5EB8" w:rsidP="0089179A">
            <w:pPr>
              <w:jc w:val="right"/>
              <w:rPr>
                <w:sz w:val="20"/>
                <w:szCs w:val="20"/>
              </w:rPr>
            </w:pPr>
            <w:r>
              <w:rPr>
                <w:sz w:val="20"/>
                <w:szCs w:val="20"/>
              </w:rPr>
              <w:t>16,24</w:t>
            </w:r>
          </w:p>
        </w:tc>
        <w:tc>
          <w:tcPr>
            <w:tcW w:w="641" w:type="pct"/>
            <w:tcBorders>
              <w:top w:val="single" w:sz="4" w:space="0" w:color="auto"/>
              <w:left w:val="single" w:sz="4" w:space="0" w:color="auto"/>
              <w:bottom w:val="single" w:sz="4" w:space="0" w:color="auto"/>
              <w:right w:val="single" w:sz="4" w:space="0" w:color="auto"/>
            </w:tcBorders>
            <w:shd w:val="clear" w:color="auto" w:fill="auto"/>
            <w:noWrap/>
            <w:tcMar>
              <w:right w:w="144" w:type="dxa"/>
            </w:tcMar>
          </w:tcPr>
          <w:p w14:paraId="1B060B3F" w14:textId="4FF824F1" w:rsidR="00283833" w:rsidRPr="00E751DF" w:rsidRDefault="00283833" w:rsidP="0089179A">
            <w:pPr>
              <w:jc w:val="right"/>
              <w:rPr>
                <w:rFonts w:eastAsiaTheme="minorHAnsi"/>
                <w:color w:val="000000"/>
                <w:sz w:val="20"/>
                <w:szCs w:val="20"/>
              </w:rPr>
            </w:pPr>
            <w:r>
              <w:rPr>
                <w:sz w:val="20"/>
                <w:szCs w:val="20"/>
              </w:rPr>
              <w:t>164,56***</w:t>
            </w:r>
          </w:p>
        </w:tc>
      </w:tr>
    </w:tbl>
    <w:p w14:paraId="1E2A9AA8" w14:textId="309D7404" w:rsidR="00283833" w:rsidRPr="00E751DF" w:rsidRDefault="00283833" w:rsidP="00283833">
      <w:pPr>
        <w:rPr>
          <w:sz w:val="19"/>
          <w:szCs w:val="19"/>
        </w:rPr>
      </w:pPr>
      <w:r>
        <w:rPr>
          <w:sz w:val="19"/>
          <w:szCs w:val="19"/>
        </w:rPr>
        <w:t>* Données provenant du rapport de vérification sur la consommation des HCFC.</w:t>
      </w:r>
    </w:p>
    <w:p w14:paraId="0188EE51" w14:textId="5FC693C2" w:rsidR="00750E85" w:rsidRPr="00E751DF" w:rsidRDefault="00750E85" w:rsidP="00283833">
      <w:pPr>
        <w:rPr>
          <w:sz w:val="19"/>
          <w:szCs w:val="19"/>
        </w:rPr>
      </w:pPr>
      <w:r>
        <w:rPr>
          <w:sz w:val="19"/>
          <w:szCs w:val="19"/>
        </w:rPr>
        <w:t>** Données du programme du pays.</w:t>
      </w:r>
    </w:p>
    <w:p w14:paraId="637BF1C0" w14:textId="601F7542" w:rsidR="00283833" w:rsidRPr="00E751DF" w:rsidRDefault="00283833" w:rsidP="00283833">
      <w:pPr>
        <w:rPr>
          <w:sz w:val="19"/>
          <w:szCs w:val="19"/>
        </w:rPr>
      </w:pPr>
      <w:r>
        <w:rPr>
          <w:sz w:val="19"/>
          <w:szCs w:val="19"/>
        </w:rPr>
        <w:t>*** Consommation moyenne entre 2007 et 2009.</w:t>
      </w:r>
    </w:p>
    <w:p w14:paraId="24F640F9" w14:textId="77777777" w:rsidR="00283833" w:rsidRPr="00E751DF" w:rsidRDefault="00283833" w:rsidP="00283833"/>
    <w:p w14:paraId="16274B5B" w14:textId="250887CC" w:rsidR="00283833" w:rsidRPr="00E751DF" w:rsidRDefault="00283833" w:rsidP="00283833">
      <w:pPr>
        <w:pStyle w:val="Heading1"/>
      </w:pPr>
      <w:r>
        <w:t>La consommation des HCFC au Viet Nam est principalement composée de HCFC-22, avec la fabrication des réfrigérateurs et climatiseurs (RAC) comptant pour environ 20 </w:t>
      </w:r>
      <w:r w:rsidR="00133C08">
        <w:t>pour cent</w:t>
      </w:r>
      <w:r>
        <w:t xml:space="preserve"> de cette consommation, le reste étant consacré à </w:t>
      </w:r>
      <w:proofErr w:type="gramStart"/>
      <w:r>
        <w:t>l’entretien;</w:t>
      </w:r>
      <w:proofErr w:type="gramEnd"/>
      <w:r>
        <w:t xml:space="preserve"> de petites quantités de HCFC-123 sont consommées par intermittence pour entretenir les refroidisseurs et du HCFC-225 pour les usages de solvants. Le HCFC</w:t>
      </w:r>
      <w:r w:rsidR="002F0834">
        <w:noBreakHyphen/>
      </w:r>
      <w:r>
        <w:t>141b n’a pas été consommé depuis 2015, en accord avec l’interdiction du 1</w:t>
      </w:r>
      <w:r>
        <w:rPr>
          <w:vertAlign w:val="superscript"/>
        </w:rPr>
        <w:t>er</w:t>
      </w:r>
      <w:r>
        <w:t xml:space="preserve"> janvier 2015 sur l’importation et l’exportation de HCFC-141</w:t>
      </w:r>
      <w:proofErr w:type="gramStart"/>
      <w:r>
        <w:t>b;</w:t>
      </w:r>
      <w:proofErr w:type="gramEnd"/>
      <w:r>
        <w:t xml:space="preserve"> en revanche, les importations de HCFC-141b contenu dans les polyols </w:t>
      </w:r>
      <w:proofErr w:type="spellStart"/>
      <w:r>
        <w:t>prémélangés</w:t>
      </w:r>
      <w:proofErr w:type="spellEnd"/>
      <w:r>
        <w:t xml:space="preserve"> importés ont d’abord augmenté après l’interdiction, puis ont diminué considérablement, puisque les fabricants des mousses ont décidé d’effectuer des conversions vers des solutions de remplacement, probablement des polyols </w:t>
      </w:r>
      <w:proofErr w:type="spellStart"/>
      <w:r>
        <w:t>prémélangés</w:t>
      </w:r>
      <w:proofErr w:type="spellEnd"/>
      <w:r>
        <w:t xml:space="preserve"> à base d’eau. Selon les tonnes métriques, les quatre HFC les plus fréquemment consommés en 2020 sont (par ordre décroissant) : le </w:t>
      </w:r>
      <w:r>
        <w:lastRenderedPageBreak/>
        <w:t>HFC</w:t>
      </w:r>
      <w:r w:rsidR="002F0834">
        <w:noBreakHyphen/>
      </w:r>
      <w:r>
        <w:t>134a, le R</w:t>
      </w:r>
      <w:r>
        <w:noBreakHyphen/>
        <w:t>410A, le HFC-23, et le HFC-</w:t>
      </w:r>
      <w:proofErr w:type="gramStart"/>
      <w:r>
        <w:t>32;</w:t>
      </w:r>
      <w:proofErr w:type="gramEnd"/>
      <w:r>
        <w:t xml:space="preserve"> le HFC-23 est le HFC le plus fréquemment consommé selon l’</w:t>
      </w:r>
      <w:proofErr w:type="spellStart"/>
      <w:r>
        <w:t>éq</w:t>
      </w:r>
      <w:proofErr w:type="spellEnd"/>
      <w:r>
        <w:t>. CO</w:t>
      </w:r>
      <w:r>
        <w:rPr>
          <w:vertAlign w:val="subscript"/>
        </w:rPr>
        <w:t>2</w:t>
      </w:r>
      <w:r>
        <w:t>.</w:t>
      </w:r>
    </w:p>
    <w:p w14:paraId="7C828CB0" w14:textId="11516006" w:rsidR="00283833" w:rsidRPr="00E751DF" w:rsidRDefault="00283833" w:rsidP="000213CA">
      <w:pPr>
        <w:keepNext/>
        <w:widowControl w:val="0"/>
        <w:rPr>
          <w:i/>
        </w:rPr>
      </w:pPr>
      <w:r>
        <w:rPr>
          <w:i/>
        </w:rPr>
        <w:t>Rapport de mise en œuvre du programme du pays</w:t>
      </w:r>
    </w:p>
    <w:p w14:paraId="375C49B4" w14:textId="77777777" w:rsidR="00283833" w:rsidRPr="00E751DF" w:rsidRDefault="00283833" w:rsidP="000213CA">
      <w:pPr>
        <w:keepNext/>
        <w:widowControl w:val="0"/>
      </w:pPr>
    </w:p>
    <w:p w14:paraId="6A844B57" w14:textId="76058A54" w:rsidR="00283833" w:rsidRPr="00E751DF" w:rsidRDefault="00283833" w:rsidP="000213CA">
      <w:pPr>
        <w:pStyle w:val="Heading1"/>
      </w:pPr>
      <w:r>
        <w:t>Le gouvernement du Viet Nam a communiqué des données du secteur de la consommation des HCFC dans le cadre du rapport de mise en œuvre du programme du pays de 2019 et ces données correspondent aux données déclarées en vertu de l’Article 7 du Protocole de Montréal.</w:t>
      </w:r>
    </w:p>
    <w:p w14:paraId="704B3759" w14:textId="77777777" w:rsidR="00283833" w:rsidRPr="00E751DF" w:rsidRDefault="00283833" w:rsidP="00283833">
      <w:pPr>
        <w:rPr>
          <w:i/>
        </w:rPr>
      </w:pPr>
      <w:r>
        <w:rPr>
          <w:i/>
        </w:rPr>
        <w:t>Rapport de vérification</w:t>
      </w:r>
    </w:p>
    <w:p w14:paraId="10973D02" w14:textId="77777777" w:rsidR="00283833" w:rsidRPr="00E751DF" w:rsidRDefault="00283833" w:rsidP="00283833"/>
    <w:p w14:paraId="150C29F4" w14:textId="51428501" w:rsidR="00283833" w:rsidRPr="00E751DF" w:rsidRDefault="00283833" w:rsidP="009A37AC">
      <w:pPr>
        <w:pStyle w:val="Heading1"/>
      </w:pPr>
      <w:r>
        <w:t>Le rapport de vérification, qui a été réalisé de façon virtuelle en raison de la pandémie de COVID</w:t>
      </w:r>
      <w:r w:rsidR="002F0834">
        <w:noBreakHyphen/>
      </w:r>
      <w:r>
        <w:t>19, a confirmé que le gouvernement met actuellement en place un système de permis et de quotas d’importation et d’exportation de HCFC, et que la consommation totale de HCFC en 2019 était de 197,55</w:t>
      </w:r>
      <w:r w:rsidR="002F0834">
        <w:t> </w:t>
      </w:r>
      <w:r>
        <w:t xml:space="preserve">tonnes PAO et de 142,18 tonnes PAO en 2020. La vérification a conclu que la consommation des HCFC au Viet Nam respectait les limites stipulées dans l’accord conclu avec le Comité exécutif et que les données gérées par l’unité nationale d’ozone, le département des importations et exportations ainsi que </w:t>
      </w:r>
      <w:r w:rsidR="000551C8">
        <w:t xml:space="preserve">le </w:t>
      </w:r>
      <w:r>
        <w:t xml:space="preserve">département général des douanes du Viet Nam étaient complètes et cohérentes. Le rapport de vérification n’abordait pas la consommation de HCFC-141b contenu dans les polyols </w:t>
      </w:r>
      <w:proofErr w:type="spellStart"/>
      <w:r>
        <w:t>prémélangés</w:t>
      </w:r>
      <w:proofErr w:type="spellEnd"/>
      <w:r>
        <w:t xml:space="preserve"> importés.</w:t>
      </w:r>
    </w:p>
    <w:p w14:paraId="0EB24046" w14:textId="77777777" w:rsidR="00283833" w:rsidRPr="00E751DF" w:rsidRDefault="00283833" w:rsidP="00283833">
      <w:pPr>
        <w:rPr>
          <w:u w:val="single"/>
        </w:rPr>
      </w:pPr>
      <w:bookmarkStart w:id="1" w:name="_Hlk72850926"/>
      <w:r>
        <w:rPr>
          <w:u w:val="single"/>
        </w:rPr>
        <w:t>Rapport périodique sur la mise en œuvre de la deuxième tranche du PGEH</w:t>
      </w:r>
    </w:p>
    <w:p w14:paraId="67586D9B" w14:textId="77777777" w:rsidR="00283833" w:rsidRPr="00E751DF" w:rsidRDefault="00283833" w:rsidP="00283833"/>
    <w:p w14:paraId="4671CBA5" w14:textId="77777777" w:rsidR="00283833" w:rsidRPr="00E751DF" w:rsidRDefault="00283833" w:rsidP="00283833">
      <w:pPr>
        <w:rPr>
          <w:i/>
        </w:rPr>
      </w:pPr>
      <w:r>
        <w:rPr>
          <w:i/>
        </w:rPr>
        <w:t>Cadre juridique</w:t>
      </w:r>
    </w:p>
    <w:p w14:paraId="169E47D8" w14:textId="77777777" w:rsidR="00283833" w:rsidRPr="00E751DF" w:rsidRDefault="00283833" w:rsidP="00283833"/>
    <w:p w14:paraId="7C4FF722" w14:textId="0A3C2CEB" w:rsidR="003D7734" w:rsidRPr="003D7734" w:rsidRDefault="00283833" w:rsidP="003D7734">
      <w:pPr>
        <w:pStyle w:val="Heading1"/>
      </w:pPr>
      <w:r>
        <w:t>Le Viet Nam possède un système de permis et de quota exécutoire. En 2020, la circulaire commune, en vertu de laquelle l’importation et l’exportation des HCFC sont réglementées, a été modifiée notamment pour préciser le quota de HCFC de 2 600 </w:t>
      </w:r>
      <w:proofErr w:type="spellStart"/>
      <w:r>
        <w:t>tm</w:t>
      </w:r>
      <w:proofErr w:type="spellEnd"/>
      <w:r>
        <w:t xml:space="preserve"> pour la période 2020-2024 et de 1 300 </w:t>
      </w:r>
      <w:proofErr w:type="spellStart"/>
      <w:r>
        <w:t>tm</w:t>
      </w:r>
      <w:proofErr w:type="spellEnd"/>
      <w:r>
        <w:t xml:space="preserve"> pour celle de 2025</w:t>
      </w:r>
      <w:r w:rsidR="002F0834">
        <w:noBreakHyphen/>
      </w:r>
      <w:r>
        <w:t xml:space="preserve">2028, en accord avec le Protocole de </w:t>
      </w:r>
      <w:proofErr w:type="gramStart"/>
      <w:r>
        <w:t>Montréal;</w:t>
      </w:r>
      <w:proofErr w:type="gramEnd"/>
      <w:r>
        <w:t xml:space="preserve"> ainsi que pour mettre à jour la liste des substances chimiques réglementées pour inclure les polyols </w:t>
      </w:r>
      <w:proofErr w:type="spellStart"/>
      <w:r>
        <w:t>prémélangés</w:t>
      </w:r>
      <w:proofErr w:type="spellEnd"/>
      <w:r>
        <w:t xml:space="preserve"> à base de HCFC-141b, exigeant conséquemment l’enregistrement des importateurs. Une interdiction sur l’importation et l’exportation de HCFC-141b (en vrac) est en vigueur depuis le 1</w:t>
      </w:r>
      <w:r>
        <w:rPr>
          <w:vertAlign w:val="superscript"/>
        </w:rPr>
        <w:t>er</w:t>
      </w:r>
      <w:r>
        <w:t xml:space="preserve"> janvier 2015 et, en accord avec la décision 76/42(c), le gouvernement mettra en œuvre une interdiction sur l’importation de HCFC-141b contenu dans les polyols </w:t>
      </w:r>
      <w:proofErr w:type="spellStart"/>
      <w:r>
        <w:t>prémélangés</w:t>
      </w:r>
      <w:proofErr w:type="spellEnd"/>
      <w:r>
        <w:t xml:space="preserve"> le 1</w:t>
      </w:r>
      <w:r>
        <w:rPr>
          <w:vertAlign w:val="superscript"/>
        </w:rPr>
        <w:t>er</w:t>
      </w:r>
      <w:r>
        <w:t xml:space="preserve"> janvier 2022 ainsi qu’une interdiction sur l’importation et la fabrication d’unités de climatisation fonctionnant au HCFC-22 le 1</w:t>
      </w:r>
      <w:r>
        <w:rPr>
          <w:vertAlign w:val="superscript"/>
        </w:rPr>
        <w:t>er</w:t>
      </w:r>
      <w:r>
        <w:t xml:space="preserve"> janvier 2022. </w:t>
      </w:r>
    </w:p>
    <w:p w14:paraId="5136E735" w14:textId="268365DA" w:rsidR="00283833" w:rsidRDefault="00752009" w:rsidP="00283833">
      <w:pPr>
        <w:pStyle w:val="Heading1"/>
      </w:pPr>
      <w:r>
        <w:t xml:space="preserve">Bien qu’aucun quota ou permis ne soit requis pour importer du HCFC-141b contenu dans les polyols </w:t>
      </w:r>
      <w:proofErr w:type="spellStart"/>
      <w:r>
        <w:t>prémélangés</w:t>
      </w:r>
      <w:proofErr w:type="spellEnd"/>
      <w:r>
        <w:t>, de telles importations sont surveillées grâce au code de système harmonisé. Les HFC sont compris dans le système de permis du pays et surveillés grâce aux permis d’importation. Le Viet Nam a ratifié l’Amendement de Kigali le 27 septembre 2019.</w:t>
      </w:r>
    </w:p>
    <w:p w14:paraId="557B4CC0" w14:textId="67D4A8EE" w:rsidR="00A2404C" w:rsidRDefault="00A2404C" w:rsidP="00545332">
      <w:pPr>
        <w:pStyle w:val="Heading1"/>
        <w:spacing w:after="0"/>
      </w:pPr>
      <w:r>
        <w:t>Dans le cadre de la deuxième tranche, un atelier sur le contrôle et la surveillance des importations et exportations des HCFC a été organisé avec la participation de 60 agents des douanes provenant de 11 départements des douanes locaux. Un deuxième atelier pour environ 50 agents des douanes a été retardé en raison de la pandémie de COVID-19 et devrait se tenir en décembre 2021. Une norme de sécurité dans la production des mousses, l’entreposage sur le site et la manipulation avec des agents de gonflage inflammables a été élaborée et devrait entrer en vigueur en juillet 2021.</w:t>
      </w:r>
    </w:p>
    <w:p w14:paraId="6461A7CC" w14:textId="77777777" w:rsidR="00545332" w:rsidRPr="00545332" w:rsidRDefault="00545332" w:rsidP="00545332"/>
    <w:p w14:paraId="4250CFDE" w14:textId="0B628047" w:rsidR="00283833" w:rsidRPr="00E751DF" w:rsidRDefault="00606021" w:rsidP="00283833">
      <w:pPr>
        <w:rPr>
          <w:i/>
        </w:rPr>
      </w:pPr>
      <w:r>
        <w:rPr>
          <w:i/>
        </w:rPr>
        <w:t>Secteur de la fabrication</w:t>
      </w:r>
      <w:r>
        <w:t xml:space="preserve"> </w:t>
      </w:r>
    </w:p>
    <w:p w14:paraId="31435BE7" w14:textId="77777777" w:rsidR="00283833" w:rsidRPr="00E751DF" w:rsidRDefault="00283833" w:rsidP="00283833"/>
    <w:p w14:paraId="7691D99B" w14:textId="5098669E" w:rsidR="00DA1F2B" w:rsidRPr="00E751DF" w:rsidRDefault="00606021" w:rsidP="00D078A8">
      <w:pPr>
        <w:pStyle w:val="Heading1"/>
      </w:pPr>
      <w:r>
        <w:t>La phase II comprenait le financement pour la conversion de quatre entreprises de fabrication de climatiseurs (</w:t>
      </w:r>
      <w:proofErr w:type="spellStart"/>
      <w:r>
        <w:t>Hoa</w:t>
      </w:r>
      <w:proofErr w:type="spellEnd"/>
      <w:r>
        <w:t xml:space="preserve"> </w:t>
      </w:r>
      <w:proofErr w:type="spellStart"/>
      <w:r>
        <w:t>Phat</w:t>
      </w:r>
      <w:proofErr w:type="spellEnd"/>
      <w:r>
        <w:t xml:space="preserve">, </w:t>
      </w:r>
      <w:proofErr w:type="spellStart"/>
      <w:r>
        <w:t>Midea</w:t>
      </w:r>
      <w:proofErr w:type="spellEnd"/>
      <w:r>
        <w:t xml:space="preserve">, </w:t>
      </w:r>
      <w:proofErr w:type="spellStart"/>
      <w:r>
        <w:t>Nagakawa</w:t>
      </w:r>
      <w:proofErr w:type="spellEnd"/>
      <w:r>
        <w:t xml:space="preserve">, et REE), 34 entreprises de fabrication de réfrigérateurs et une entreprise de fabrication de mousses de polystyrène extrudé (PSX) (Phu </w:t>
      </w:r>
      <w:proofErr w:type="spellStart"/>
      <w:r>
        <w:t>Vuong</w:t>
      </w:r>
      <w:proofErr w:type="spellEnd"/>
      <w:r>
        <w:t xml:space="preserve"> Corporation </w:t>
      </w:r>
      <w:proofErr w:type="spellStart"/>
      <w:r>
        <w:t>Industry</w:t>
      </w:r>
      <w:proofErr w:type="spellEnd"/>
      <w:r>
        <w:t xml:space="preserve">) pour éliminer 595,63 </w:t>
      </w:r>
      <w:proofErr w:type="spellStart"/>
      <w:r>
        <w:t>tm</w:t>
      </w:r>
      <w:proofErr w:type="spellEnd"/>
      <w:r>
        <w:t xml:space="preserve"> de HCFC</w:t>
      </w:r>
      <w:r>
        <w:noBreakHyphen/>
        <w:t>22, et 44 entreprises de mousses de polyuréthane (PU) pour éliminer 684,8</w:t>
      </w:r>
      <w:r w:rsidR="002F0834">
        <w:t> </w:t>
      </w:r>
      <w:proofErr w:type="spellStart"/>
      <w:r>
        <w:t>tm</w:t>
      </w:r>
      <w:proofErr w:type="spellEnd"/>
      <w:r>
        <w:t xml:space="preserve"> </w:t>
      </w:r>
      <w:r>
        <w:lastRenderedPageBreak/>
        <w:t xml:space="preserve">de HCFC-141b contenu dans les polyols </w:t>
      </w:r>
      <w:proofErr w:type="spellStart"/>
      <w:r>
        <w:t>prémélangés</w:t>
      </w:r>
      <w:proofErr w:type="spellEnd"/>
      <w:r>
        <w:t xml:space="preserve"> importés. Il y a eu 76 </w:t>
      </w:r>
      <w:proofErr w:type="spellStart"/>
      <w:r>
        <w:t>tm</w:t>
      </w:r>
      <w:proofErr w:type="spellEnd"/>
      <w:r>
        <w:t xml:space="preserve"> supplémentaires de HCFC</w:t>
      </w:r>
      <w:r w:rsidR="002F0834">
        <w:noBreakHyphen/>
      </w:r>
      <w:r>
        <w:t xml:space="preserve">22 associées à la conversion d’une entreprise de fabrication de climatiseurs entièrement détenue de façon non visée par l’article 5 et 1 350,82 </w:t>
      </w:r>
      <w:proofErr w:type="spellStart"/>
      <w:r>
        <w:t>tm</w:t>
      </w:r>
      <w:proofErr w:type="spellEnd"/>
      <w:r>
        <w:t xml:space="preserve"> supplémentaires de HCFC-141b contenu dans le polyol </w:t>
      </w:r>
      <w:proofErr w:type="spellStart"/>
      <w:r>
        <w:t>prémélangé</w:t>
      </w:r>
      <w:proofErr w:type="spellEnd"/>
      <w:r>
        <w:t xml:space="preserve"> importé seront éliminées sans le financement du Fonds multilatéral.</w:t>
      </w:r>
    </w:p>
    <w:p w14:paraId="44BCA84E" w14:textId="1361B4B0" w:rsidR="00606021" w:rsidRPr="00E751DF" w:rsidRDefault="00DA1F2B" w:rsidP="00D078A8">
      <w:pPr>
        <w:pStyle w:val="Heading1"/>
      </w:pPr>
      <w:r>
        <w:t xml:space="preserve">L’entreprise de fabrication des mousses PSX, Phu </w:t>
      </w:r>
      <w:proofErr w:type="spellStart"/>
      <w:r>
        <w:t>Vuong</w:t>
      </w:r>
      <w:proofErr w:type="spellEnd"/>
      <w:r>
        <w:t xml:space="preserve"> Corporation </w:t>
      </w:r>
      <w:proofErr w:type="spellStart"/>
      <w:r>
        <w:t>Industry</w:t>
      </w:r>
      <w:proofErr w:type="spellEnd"/>
      <w:r>
        <w:t>, a été jugée inadmissible au financement du Fonds multilatéral en raison de la date de fondation, et les fonds associés de 613 568 $ US (plus les coûts d’appui d’agence) seront renvoyés lors de la 87</w:t>
      </w:r>
      <w:r>
        <w:rPr>
          <w:vertAlign w:val="superscript"/>
        </w:rPr>
        <w:t>e</w:t>
      </w:r>
      <w:r>
        <w:t xml:space="preserve"> réunion.</w:t>
      </w:r>
    </w:p>
    <w:p w14:paraId="0029881C" w14:textId="6641ACE2" w:rsidR="00283833" w:rsidRPr="00E751DF" w:rsidRDefault="00975C93" w:rsidP="00E45743">
      <w:pPr>
        <w:pStyle w:val="Heading1"/>
      </w:pPr>
      <w:r>
        <w:t>Dans le cadre de la deuxième tranche, une assistance technique a été fournie pour appuyer les entreprises dans la préparation et la mise en œuvre de sous-projets pour les secteurs de la fabrication des mousses et des appareils de réfrigération et de climatisation ainsi que l’examen des  propositions de sous</w:t>
      </w:r>
      <w:r w:rsidR="002F0834">
        <w:noBreakHyphen/>
      </w:r>
      <w:r>
        <w:t xml:space="preserve">projets, entraînant des accords de subvention en cascade avec trois entreprises (deux dans le secteur de la fabrication des mousses de polyuréthane avec une consommation de 52,2 </w:t>
      </w:r>
      <w:proofErr w:type="spellStart"/>
      <w:r>
        <w:t>tm</w:t>
      </w:r>
      <w:proofErr w:type="spellEnd"/>
      <w:r>
        <w:t xml:space="preserve"> pour le HCFC-141b contenu dans les polyols </w:t>
      </w:r>
      <w:proofErr w:type="spellStart"/>
      <w:r>
        <w:t>prémélangés</w:t>
      </w:r>
      <w:proofErr w:type="spellEnd"/>
      <w:r>
        <w:t xml:space="preserve"> importés, se convertissant au cyclopentane et au cyclopentane </w:t>
      </w:r>
      <w:proofErr w:type="spellStart"/>
      <w:r>
        <w:t>prémélangé</w:t>
      </w:r>
      <w:proofErr w:type="spellEnd"/>
      <w:r>
        <w:t xml:space="preserve">; l’autre dans le secteur de la fabrication des appareils de réfrigération avec une consommation de 9,82 </w:t>
      </w:r>
      <w:proofErr w:type="spellStart"/>
      <w:r>
        <w:t>tm</w:t>
      </w:r>
      <w:proofErr w:type="spellEnd"/>
      <w:r>
        <w:t xml:space="preserve"> pour le HCFC-22, se convertissant à l’ammoniac). Une avance de 20 </w:t>
      </w:r>
      <w:r w:rsidR="00133C08">
        <w:t>pour cent</w:t>
      </w:r>
      <w:r>
        <w:t xml:space="preserve"> a été fournie aux entreprises à la </w:t>
      </w:r>
      <w:proofErr w:type="gramStart"/>
      <w:r>
        <w:t>signature;</w:t>
      </w:r>
      <w:proofErr w:type="gramEnd"/>
      <w:r>
        <w:t xml:space="preserve"> pour les entreprises de fabrication des mousses de PU, le contrat avec les fournisseurs d’équipement devrait être signé en juin 2021, tandis que pour l’entreprise de fabrication des appareils de réfrigération, l’équipement a été livré; de l’équipement supplémentaire devrait être acheté en juin 2021, bien que cette acquisition pourrait être reportée davantage selon l’évolution de la pandémie de COVID-19. Une entreprise de fabrication des mousses</w:t>
      </w:r>
      <w:r w:rsidR="000551C8">
        <w:t xml:space="preserve"> supplémentaire et une autre de fabrication d’appareils de réfrigération</w:t>
      </w:r>
      <w:r>
        <w:t xml:space="preserve"> intéressées à participer au projet ont été </w:t>
      </w:r>
      <w:proofErr w:type="gramStart"/>
      <w:r>
        <w:t>identifiées;</w:t>
      </w:r>
      <w:proofErr w:type="gramEnd"/>
      <w:r>
        <w:t xml:space="preserve"> ces entreprises devraient signer un accord de subvention en cascade dans le cadre de la troisième tranche. </w:t>
      </w:r>
    </w:p>
    <w:p w14:paraId="7CC44186" w14:textId="4E92E493" w:rsidR="00E92316" w:rsidRPr="00E751DF" w:rsidRDefault="00E92316" w:rsidP="00E92316">
      <w:pPr>
        <w:rPr>
          <w:i/>
        </w:rPr>
      </w:pPr>
      <w:r>
        <w:rPr>
          <w:i/>
        </w:rPr>
        <w:t>Secteur de l’entretien en réfrigération</w:t>
      </w:r>
    </w:p>
    <w:p w14:paraId="5CB5FE1C" w14:textId="62A18635" w:rsidR="00E92316" w:rsidRPr="00E751DF" w:rsidRDefault="00E92316" w:rsidP="00E92316"/>
    <w:p w14:paraId="343F1FF1" w14:textId="5DFE7B89" w:rsidR="00A1516D" w:rsidRPr="00E751DF" w:rsidRDefault="00552E3B" w:rsidP="00A1516D">
      <w:pPr>
        <w:pStyle w:val="Heading1"/>
      </w:pPr>
      <w:r>
        <w:t xml:space="preserve">Les activités suivantes ont été mises en œuvre pendant la deuxième tranche : </w:t>
      </w:r>
    </w:p>
    <w:p w14:paraId="5F1EA324" w14:textId="6D643668" w:rsidR="004A6314" w:rsidRPr="00E751DF" w:rsidRDefault="00BC67F1" w:rsidP="004A6314">
      <w:pPr>
        <w:pStyle w:val="Heading2"/>
      </w:pPr>
      <w:r>
        <w:t>Une assistance technique sur l’usage sécuritaire du HFC-32 dans la fabrication de climatiseurs, mise en œuvre par le gouvernement du Japon, a commencé. Un consultant a été recruté et a amorcé un examen sur les normes et les règlements connexes aux unités de climatisation utilisant des frigorigènes inflammables. La formation sur la manipulation sécuritaire du HFC-32 est en préparation, la date de début dépend des restrictions associées à la pandémie de COVID-</w:t>
      </w:r>
      <w:proofErr w:type="gramStart"/>
      <w:r>
        <w:t>19;</w:t>
      </w:r>
      <w:proofErr w:type="gramEnd"/>
    </w:p>
    <w:p w14:paraId="770126F7" w14:textId="0834CE2E" w:rsidR="004A6314" w:rsidRPr="00E751DF" w:rsidRDefault="007A2DCC" w:rsidP="004A6314">
      <w:pPr>
        <w:pStyle w:val="Heading2"/>
      </w:pPr>
      <w:r>
        <w:t xml:space="preserve">La conclusion d’un contrat pour évaluer les activités de gestion des fuites chez 10 utilisateurs finaux d’appareils de réfrigération industriels, avec des rapports d’évaluation prévus d’ici décembre </w:t>
      </w:r>
      <w:proofErr w:type="gramStart"/>
      <w:r>
        <w:t>2022;</w:t>
      </w:r>
      <w:proofErr w:type="gramEnd"/>
    </w:p>
    <w:p w14:paraId="1B1F8B91" w14:textId="5EDCBDEF" w:rsidR="004A6314" w:rsidRPr="00E751DF" w:rsidRDefault="00213356" w:rsidP="004A6314">
      <w:pPr>
        <w:pStyle w:val="Heading2"/>
      </w:pPr>
      <w:r>
        <w:t xml:space="preserve">Un programme et des documents de formation ont été élaborés sur les bonnes pratiques en matière d’entretien, de récupération et de recyclage, ainsi que de manipulation de frigorigènes inflammables dans les appareils de réfrigération et de </w:t>
      </w:r>
      <w:proofErr w:type="gramStart"/>
      <w:r>
        <w:t>climatisation;</w:t>
      </w:r>
      <w:proofErr w:type="gramEnd"/>
      <w:r>
        <w:t xml:space="preserve"> et trois ateliers sur les bonnes pratiques de manipulation des HCFC et des frigorigènes inflammables ont été organisés pour 71 formateurs des écoles professionnelles;</w:t>
      </w:r>
    </w:p>
    <w:p w14:paraId="7D6407FF" w14:textId="793C8D81" w:rsidR="00E92316" w:rsidRPr="00E751DF" w:rsidRDefault="00FB2C4C" w:rsidP="00067B89">
      <w:pPr>
        <w:pStyle w:val="Heading2"/>
      </w:pPr>
      <w:r>
        <w:t xml:space="preserve">L’élaboration de consignes techniques pour l’équipement, et l’identification d’écoles professionnelles et d’ateliers d’entretien bénéficiaires; des trousses d’outils (p. ex., détecteur de fuite; jauge de pression; machine de récupération des frigorigènes; réservoir à frigorigènes; pompe à vide; unité de climatisation; ensemble d’outils de clés dynamométriques, de </w:t>
      </w:r>
      <w:proofErr w:type="spellStart"/>
      <w:r>
        <w:t>torchage</w:t>
      </w:r>
      <w:proofErr w:type="spellEnd"/>
      <w:r>
        <w:t xml:space="preserve"> et de coupe-tube; balance à frigorigènes) ont été sous-traités pour 65 écoles de formation professionnelle et 100 trousses d’outils (p. ex., pompe à vide; ensemble d’outils de clés dynamométriques, de </w:t>
      </w:r>
      <w:proofErr w:type="spellStart"/>
      <w:r>
        <w:t>torchage</w:t>
      </w:r>
      <w:proofErr w:type="spellEnd"/>
      <w:r>
        <w:t xml:space="preserve"> et de coupe-tube) ont été </w:t>
      </w:r>
      <w:r>
        <w:lastRenderedPageBreak/>
        <w:t>sous</w:t>
      </w:r>
      <w:r w:rsidR="002F0834">
        <w:noBreakHyphen/>
      </w:r>
      <w:r>
        <w:t>traités pour les ateliers d’entretien. La livraison des trousses d’outils est prévue pour juin et septembre 2021.</w:t>
      </w:r>
    </w:p>
    <w:bookmarkEnd w:id="1"/>
    <w:p w14:paraId="349E073B" w14:textId="6E8F11BD" w:rsidR="00283833" w:rsidRPr="00E751DF" w:rsidRDefault="009842FB" w:rsidP="00283833">
      <w:pPr>
        <w:rPr>
          <w:i/>
        </w:rPr>
      </w:pPr>
      <w:r>
        <w:rPr>
          <w:i/>
        </w:rPr>
        <w:t>Unité de mise en œuvre et de suivi de projet (PMU)</w:t>
      </w:r>
    </w:p>
    <w:p w14:paraId="01A86079" w14:textId="3F4BE589" w:rsidR="009842FB" w:rsidRPr="00E751DF" w:rsidRDefault="009842FB" w:rsidP="00283833"/>
    <w:p w14:paraId="6C888AD4" w14:textId="276B11EB" w:rsidR="00283833" w:rsidRPr="00E751DF" w:rsidRDefault="00265DAB" w:rsidP="00FE078D">
      <w:pPr>
        <w:pStyle w:val="Heading1"/>
        <w:widowControl w:val="0"/>
        <w:spacing w:after="120"/>
      </w:pPr>
      <w:r>
        <w:t xml:space="preserve">Les activités entreprises par la PMU comprenaient la révision du manuel de mise en œuvre du projet pour permettre une approche de financement plus souple afin de faciliter les activités des entreprises plus petites; l’organisation de réunions, de visites sur le terrain, et d’ateliers et de formations dans le cadre du volet d’assistance technique, incluant la signature d’un </w:t>
      </w:r>
      <w:bookmarkStart w:id="2" w:name="_Hlk73626626"/>
      <w:r>
        <w:t xml:space="preserve">contrat avec la </w:t>
      </w:r>
      <w:proofErr w:type="spellStart"/>
      <w:r>
        <w:t>Japan</w:t>
      </w:r>
      <w:proofErr w:type="spellEnd"/>
      <w:r>
        <w:t xml:space="preserve"> </w:t>
      </w:r>
      <w:proofErr w:type="spellStart"/>
      <w:r>
        <w:t>Refrigerants</w:t>
      </w:r>
      <w:proofErr w:type="spellEnd"/>
      <w:r>
        <w:t xml:space="preserve"> and </w:t>
      </w:r>
      <w:proofErr w:type="spellStart"/>
      <w:r>
        <w:t>Environment</w:t>
      </w:r>
      <w:proofErr w:type="spellEnd"/>
      <w:r>
        <w:t xml:space="preserve"> Conservation </w:t>
      </w:r>
      <w:bookmarkEnd w:id="2"/>
      <w:proofErr w:type="spellStart"/>
      <w:r>
        <w:t>Organization</w:t>
      </w:r>
      <w:proofErr w:type="spellEnd"/>
      <w:r>
        <w:t>, et le calendrier de mise en œuvre connexe, les résultats et le plan provisoire pour effectuer des visites sur le terrain selon l’évolution de la situation de la COVID-19; l’examen des quotas; les vérifications financières annuelles des dépenses du projet; ainsi que l’élaboration des rapports financiers et de mise en œuvre semestriels et annuels. Les décaissements pour la PMU, qui est composée de cinq employés, incluent les salaires du personnel (158 314 $ US), le logiciel de comptabilité (2 464 $ US) et les dépenses de fonctionnement (28 253 $ US).</w:t>
      </w:r>
      <w:r w:rsidR="00AA549D">
        <w:rPr>
          <w:rStyle w:val="FootnoteReference"/>
        </w:rPr>
        <w:footnoteReference w:id="3"/>
      </w:r>
      <w:r>
        <w:t xml:space="preserve"> </w:t>
      </w:r>
    </w:p>
    <w:p w14:paraId="4D42CF9D" w14:textId="77777777" w:rsidR="00283833" w:rsidRPr="00E751DF" w:rsidRDefault="00283833" w:rsidP="00283833">
      <w:pPr>
        <w:rPr>
          <w:u w:val="single"/>
        </w:rPr>
      </w:pPr>
      <w:r>
        <w:rPr>
          <w:u w:val="single"/>
        </w:rPr>
        <w:t>État du décaissement des fonds</w:t>
      </w:r>
    </w:p>
    <w:p w14:paraId="1723A9C2" w14:textId="77777777" w:rsidR="00283833" w:rsidRPr="00E751DF" w:rsidRDefault="00283833" w:rsidP="00283833"/>
    <w:p w14:paraId="4E342448" w14:textId="6DCE386C" w:rsidR="00283833" w:rsidRPr="00E751DF" w:rsidRDefault="00283833" w:rsidP="00283833">
      <w:pPr>
        <w:pStyle w:val="Heading1"/>
      </w:pPr>
      <w:r>
        <w:t>En date d’avril 2021, sur les 2 689 160 $ US approuvés jusqu’ici (2 481 930 $ US pour la Banque mondiale et 207 230 $ US pour le gouvernement du Japon), 839 883 $ US (31 </w:t>
      </w:r>
      <w:r w:rsidR="00133C08">
        <w:t>pour cent</w:t>
      </w:r>
      <w:r>
        <w:t xml:space="preserve">) ont été décaissés comme l’indique le Tableau 2. Conjointement avec l’approbation de la troisième tranche, 613 568 $ US (plus les coûts d’appui d’agence) seront retirés de la deuxième tranche pour la Banque mondiale et renvoyés au Fonds multilatéral. Le solde de 1 235 709 $ US sera décaissé d’ici décembre 2021. </w:t>
      </w:r>
    </w:p>
    <w:p w14:paraId="4160CFD3" w14:textId="0420DA1C" w:rsidR="00283833" w:rsidRPr="00E751DF" w:rsidRDefault="00283833" w:rsidP="00283833">
      <w:pPr>
        <w:rPr>
          <w:b/>
        </w:rPr>
      </w:pPr>
      <w:r>
        <w:rPr>
          <w:b/>
        </w:rPr>
        <w:t xml:space="preserve">Tableau 2. Rapport financier de la phase II du PGEH pour le Viet Nam ($ US) </w:t>
      </w:r>
    </w:p>
    <w:tbl>
      <w:tblPr>
        <w:tblW w:w="9360" w:type="dxa"/>
        <w:tblLayout w:type="fixed"/>
        <w:tblLook w:val="04A0" w:firstRow="1" w:lastRow="0" w:firstColumn="1" w:lastColumn="0" w:noHBand="0" w:noVBand="1"/>
      </w:tblPr>
      <w:tblGrid>
        <w:gridCol w:w="1872"/>
        <w:gridCol w:w="1872"/>
        <w:gridCol w:w="1872"/>
        <w:gridCol w:w="1872"/>
        <w:gridCol w:w="1872"/>
      </w:tblGrid>
      <w:tr w:rsidR="00283833" w:rsidRPr="00E751DF" w14:paraId="5305E144" w14:textId="77777777" w:rsidTr="008234E3">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19A2F" w14:textId="77777777" w:rsidR="00283833" w:rsidRPr="00E751DF" w:rsidRDefault="00283833" w:rsidP="00070DE0">
            <w:pPr>
              <w:jc w:val="left"/>
              <w:rPr>
                <w:b/>
                <w:bCs/>
                <w:color w:val="000000"/>
                <w:sz w:val="20"/>
                <w:szCs w:val="20"/>
              </w:rPr>
            </w:pPr>
            <w:r>
              <w:rPr>
                <w:b/>
                <w:bCs/>
                <w:color w:val="000000"/>
                <w:sz w:val="20"/>
                <w:szCs w:val="20"/>
              </w:rPr>
              <w:t>Tranche</w:t>
            </w:r>
          </w:p>
        </w:tc>
        <w:tc>
          <w:tcPr>
            <w:tcW w:w="1870" w:type="dxa"/>
            <w:tcBorders>
              <w:top w:val="single" w:sz="4" w:space="0" w:color="auto"/>
              <w:left w:val="nil"/>
              <w:bottom w:val="single" w:sz="4" w:space="0" w:color="auto"/>
              <w:right w:val="single" w:sz="4" w:space="0" w:color="auto"/>
            </w:tcBorders>
            <w:shd w:val="clear" w:color="auto" w:fill="auto"/>
            <w:noWrap/>
            <w:vAlign w:val="center"/>
            <w:hideMark/>
          </w:tcPr>
          <w:p w14:paraId="5054D052" w14:textId="77777777" w:rsidR="00283833" w:rsidRPr="00E751DF" w:rsidRDefault="00283833" w:rsidP="00070DE0">
            <w:pPr>
              <w:jc w:val="center"/>
              <w:rPr>
                <w:b/>
                <w:bCs/>
                <w:color w:val="000000"/>
                <w:sz w:val="20"/>
                <w:szCs w:val="20"/>
              </w:rPr>
            </w:pPr>
            <w:r>
              <w:rPr>
                <w:b/>
                <w:bCs/>
                <w:color w:val="000000"/>
                <w:sz w:val="20"/>
                <w:szCs w:val="20"/>
              </w:rPr>
              <w:t>Agence</w:t>
            </w:r>
          </w:p>
        </w:tc>
        <w:tc>
          <w:tcPr>
            <w:tcW w:w="1870" w:type="dxa"/>
            <w:tcBorders>
              <w:top w:val="single" w:sz="4" w:space="0" w:color="auto"/>
              <w:left w:val="nil"/>
              <w:bottom w:val="single" w:sz="4" w:space="0" w:color="auto"/>
              <w:right w:val="single" w:sz="4" w:space="0" w:color="auto"/>
            </w:tcBorders>
            <w:shd w:val="clear" w:color="auto" w:fill="auto"/>
            <w:noWrap/>
            <w:vAlign w:val="center"/>
            <w:hideMark/>
          </w:tcPr>
          <w:p w14:paraId="60C8AC0F" w14:textId="77777777" w:rsidR="00283833" w:rsidRPr="00E751DF" w:rsidRDefault="00283833" w:rsidP="00070DE0">
            <w:pPr>
              <w:jc w:val="center"/>
              <w:rPr>
                <w:b/>
                <w:bCs/>
                <w:color w:val="000000"/>
                <w:sz w:val="20"/>
                <w:szCs w:val="20"/>
              </w:rPr>
            </w:pPr>
            <w:r>
              <w:rPr>
                <w:b/>
                <w:bCs/>
                <w:color w:val="000000"/>
                <w:sz w:val="20"/>
                <w:szCs w:val="20"/>
              </w:rPr>
              <w:t>Approuvé</w:t>
            </w:r>
          </w:p>
        </w:tc>
        <w:tc>
          <w:tcPr>
            <w:tcW w:w="1870" w:type="dxa"/>
            <w:tcBorders>
              <w:top w:val="single" w:sz="4" w:space="0" w:color="auto"/>
              <w:left w:val="nil"/>
              <w:bottom w:val="single" w:sz="4" w:space="0" w:color="auto"/>
              <w:right w:val="single" w:sz="4" w:space="0" w:color="auto"/>
            </w:tcBorders>
            <w:shd w:val="clear" w:color="auto" w:fill="auto"/>
            <w:noWrap/>
            <w:vAlign w:val="center"/>
            <w:hideMark/>
          </w:tcPr>
          <w:p w14:paraId="0D7DA63A" w14:textId="77777777" w:rsidR="00283833" w:rsidRPr="00E751DF" w:rsidRDefault="00283833" w:rsidP="00070DE0">
            <w:pPr>
              <w:jc w:val="center"/>
              <w:rPr>
                <w:b/>
                <w:bCs/>
                <w:color w:val="000000"/>
                <w:sz w:val="20"/>
                <w:szCs w:val="20"/>
              </w:rPr>
            </w:pPr>
            <w:r>
              <w:rPr>
                <w:b/>
                <w:bCs/>
                <w:color w:val="000000"/>
                <w:sz w:val="20"/>
                <w:szCs w:val="20"/>
              </w:rPr>
              <w:t>Décaissé</w:t>
            </w:r>
          </w:p>
        </w:tc>
        <w:tc>
          <w:tcPr>
            <w:tcW w:w="1870" w:type="dxa"/>
            <w:tcBorders>
              <w:top w:val="single" w:sz="4" w:space="0" w:color="auto"/>
              <w:left w:val="nil"/>
              <w:bottom w:val="single" w:sz="4" w:space="0" w:color="auto"/>
              <w:right w:val="single" w:sz="4" w:space="0" w:color="auto"/>
            </w:tcBorders>
            <w:shd w:val="clear" w:color="auto" w:fill="auto"/>
            <w:noWrap/>
            <w:vAlign w:val="center"/>
            <w:hideMark/>
          </w:tcPr>
          <w:p w14:paraId="285EAC54" w14:textId="77777777" w:rsidR="00283833" w:rsidRPr="00E751DF" w:rsidRDefault="00283833" w:rsidP="00070DE0">
            <w:pPr>
              <w:jc w:val="center"/>
              <w:rPr>
                <w:b/>
                <w:bCs/>
                <w:color w:val="000000"/>
                <w:sz w:val="20"/>
                <w:szCs w:val="20"/>
              </w:rPr>
            </w:pPr>
            <w:r>
              <w:rPr>
                <w:b/>
                <w:bCs/>
                <w:color w:val="000000"/>
                <w:sz w:val="20"/>
                <w:szCs w:val="20"/>
              </w:rPr>
              <w:t>Décaissement (%)</w:t>
            </w:r>
          </w:p>
        </w:tc>
      </w:tr>
      <w:tr w:rsidR="00283833" w:rsidRPr="00E751DF" w14:paraId="3EB8F646" w14:textId="77777777" w:rsidTr="008234E3">
        <w:tc>
          <w:tcPr>
            <w:tcW w:w="18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9FC3DF" w14:textId="77777777" w:rsidR="00283833" w:rsidRPr="00E751DF" w:rsidRDefault="00283833" w:rsidP="00070DE0">
            <w:pPr>
              <w:jc w:val="left"/>
              <w:rPr>
                <w:color w:val="000000"/>
                <w:sz w:val="20"/>
                <w:szCs w:val="20"/>
              </w:rPr>
            </w:pPr>
            <w:r>
              <w:rPr>
                <w:color w:val="000000"/>
                <w:sz w:val="20"/>
                <w:szCs w:val="20"/>
              </w:rPr>
              <w:t>Première</w:t>
            </w:r>
          </w:p>
        </w:tc>
        <w:tc>
          <w:tcPr>
            <w:tcW w:w="1870" w:type="dxa"/>
            <w:tcBorders>
              <w:top w:val="nil"/>
              <w:left w:val="nil"/>
              <w:bottom w:val="single" w:sz="4" w:space="0" w:color="auto"/>
              <w:right w:val="single" w:sz="4" w:space="0" w:color="auto"/>
            </w:tcBorders>
            <w:shd w:val="clear" w:color="auto" w:fill="auto"/>
            <w:noWrap/>
            <w:vAlign w:val="center"/>
            <w:hideMark/>
          </w:tcPr>
          <w:p w14:paraId="432A1781" w14:textId="77777777" w:rsidR="00283833" w:rsidRPr="00E751DF" w:rsidRDefault="00283833" w:rsidP="00070DE0">
            <w:pPr>
              <w:jc w:val="center"/>
              <w:rPr>
                <w:color w:val="000000"/>
                <w:sz w:val="20"/>
                <w:szCs w:val="20"/>
              </w:rPr>
            </w:pPr>
            <w:r>
              <w:rPr>
                <w:color w:val="000000"/>
                <w:sz w:val="20"/>
                <w:szCs w:val="20"/>
              </w:rPr>
              <w:t>Banque mondiale</w:t>
            </w:r>
          </w:p>
        </w:tc>
        <w:tc>
          <w:tcPr>
            <w:tcW w:w="1870" w:type="dxa"/>
            <w:tcBorders>
              <w:top w:val="nil"/>
              <w:left w:val="nil"/>
              <w:bottom w:val="single" w:sz="4" w:space="0" w:color="auto"/>
              <w:right w:val="single" w:sz="4" w:space="0" w:color="auto"/>
            </w:tcBorders>
            <w:shd w:val="clear" w:color="auto" w:fill="auto"/>
            <w:noWrap/>
            <w:vAlign w:val="center"/>
            <w:hideMark/>
          </w:tcPr>
          <w:p w14:paraId="40D4935E" w14:textId="5FB55DC0" w:rsidR="00283833" w:rsidRPr="00E751DF" w:rsidRDefault="00283833" w:rsidP="00070DE0">
            <w:pPr>
              <w:jc w:val="right"/>
              <w:rPr>
                <w:color w:val="000000"/>
                <w:sz w:val="20"/>
                <w:szCs w:val="20"/>
              </w:rPr>
            </w:pPr>
            <w:r>
              <w:rPr>
                <w:color w:val="000000"/>
                <w:sz w:val="20"/>
                <w:szCs w:val="20"/>
              </w:rPr>
              <w:t xml:space="preserve">302 737 </w:t>
            </w:r>
          </w:p>
        </w:tc>
        <w:tc>
          <w:tcPr>
            <w:tcW w:w="1870" w:type="dxa"/>
            <w:tcBorders>
              <w:top w:val="nil"/>
              <w:left w:val="nil"/>
              <w:bottom w:val="single" w:sz="4" w:space="0" w:color="auto"/>
              <w:right w:val="single" w:sz="4" w:space="0" w:color="auto"/>
            </w:tcBorders>
            <w:shd w:val="clear" w:color="auto" w:fill="auto"/>
            <w:noWrap/>
            <w:vAlign w:val="center"/>
            <w:hideMark/>
          </w:tcPr>
          <w:p w14:paraId="36265F61" w14:textId="6DC645FC" w:rsidR="00283833" w:rsidRPr="00E751DF" w:rsidRDefault="00283833" w:rsidP="00070DE0">
            <w:pPr>
              <w:jc w:val="right"/>
              <w:rPr>
                <w:color w:val="000000"/>
                <w:sz w:val="20"/>
                <w:szCs w:val="20"/>
              </w:rPr>
            </w:pPr>
            <w:r>
              <w:rPr>
                <w:color w:val="000000"/>
                <w:sz w:val="20"/>
                <w:szCs w:val="20"/>
              </w:rPr>
              <w:t xml:space="preserve">302 737 </w:t>
            </w:r>
          </w:p>
        </w:tc>
        <w:tc>
          <w:tcPr>
            <w:tcW w:w="1870" w:type="dxa"/>
            <w:tcBorders>
              <w:top w:val="nil"/>
              <w:left w:val="nil"/>
              <w:bottom w:val="single" w:sz="4" w:space="0" w:color="auto"/>
              <w:right w:val="single" w:sz="4" w:space="0" w:color="auto"/>
            </w:tcBorders>
            <w:shd w:val="clear" w:color="auto" w:fill="auto"/>
            <w:noWrap/>
            <w:vAlign w:val="center"/>
            <w:hideMark/>
          </w:tcPr>
          <w:p w14:paraId="7925EB18" w14:textId="77777777" w:rsidR="00283833" w:rsidRPr="00E751DF" w:rsidRDefault="00283833" w:rsidP="00070DE0">
            <w:pPr>
              <w:jc w:val="center"/>
              <w:rPr>
                <w:color w:val="000000"/>
                <w:sz w:val="20"/>
                <w:szCs w:val="20"/>
              </w:rPr>
            </w:pPr>
            <w:r>
              <w:rPr>
                <w:color w:val="000000"/>
                <w:sz w:val="20"/>
                <w:szCs w:val="20"/>
              </w:rPr>
              <w:t>100</w:t>
            </w:r>
          </w:p>
        </w:tc>
      </w:tr>
      <w:tr w:rsidR="00283833" w:rsidRPr="00E751DF" w14:paraId="278CBDCD" w14:textId="77777777" w:rsidTr="008234E3">
        <w:tc>
          <w:tcPr>
            <w:tcW w:w="1870" w:type="dxa"/>
            <w:vMerge/>
            <w:tcBorders>
              <w:top w:val="nil"/>
              <w:left w:val="single" w:sz="4" w:space="0" w:color="auto"/>
              <w:bottom w:val="single" w:sz="4" w:space="0" w:color="auto"/>
              <w:right w:val="single" w:sz="4" w:space="0" w:color="auto"/>
            </w:tcBorders>
            <w:vAlign w:val="center"/>
            <w:hideMark/>
          </w:tcPr>
          <w:p w14:paraId="58CCAD53" w14:textId="77777777" w:rsidR="00283833" w:rsidRPr="00E751DF" w:rsidRDefault="00283833" w:rsidP="00070DE0">
            <w:pPr>
              <w:jc w:val="left"/>
              <w:rPr>
                <w:color w:val="000000"/>
                <w:sz w:val="20"/>
                <w:szCs w:val="20"/>
                <w:lang w:eastAsia="en-CA"/>
              </w:rPr>
            </w:pPr>
          </w:p>
        </w:tc>
        <w:tc>
          <w:tcPr>
            <w:tcW w:w="1870" w:type="dxa"/>
            <w:tcBorders>
              <w:top w:val="nil"/>
              <w:left w:val="nil"/>
              <w:bottom w:val="single" w:sz="4" w:space="0" w:color="auto"/>
              <w:right w:val="single" w:sz="4" w:space="0" w:color="auto"/>
            </w:tcBorders>
            <w:shd w:val="clear" w:color="auto" w:fill="auto"/>
            <w:noWrap/>
            <w:vAlign w:val="center"/>
            <w:hideMark/>
          </w:tcPr>
          <w:p w14:paraId="3F223772" w14:textId="77777777" w:rsidR="00283833" w:rsidRPr="00E751DF" w:rsidRDefault="00283833" w:rsidP="00070DE0">
            <w:pPr>
              <w:jc w:val="center"/>
              <w:rPr>
                <w:color w:val="000000"/>
                <w:sz w:val="20"/>
                <w:szCs w:val="20"/>
              </w:rPr>
            </w:pPr>
            <w:r>
              <w:rPr>
                <w:color w:val="000000"/>
                <w:sz w:val="20"/>
                <w:szCs w:val="20"/>
              </w:rPr>
              <w:t>Japon</w:t>
            </w:r>
          </w:p>
        </w:tc>
        <w:tc>
          <w:tcPr>
            <w:tcW w:w="1870" w:type="dxa"/>
            <w:tcBorders>
              <w:top w:val="nil"/>
              <w:left w:val="nil"/>
              <w:bottom w:val="single" w:sz="4" w:space="0" w:color="auto"/>
              <w:right w:val="single" w:sz="4" w:space="0" w:color="auto"/>
            </w:tcBorders>
            <w:shd w:val="clear" w:color="auto" w:fill="auto"/>
            <w:noWrap/>
            <w:vAlign w:val="center"/>
            <w:hideMark/>
          </w:tcPr>
          <w:p w14:paraId="1EB5F8A4" w14:textId="4BDA8057" w:rsidR="00283833" w:rsidRPr="00E751DF" w:rsidRDefault="00283833" w:rsidP="00070DE0">
            <w:pPr>
              <w:jc w:val="right"/>
              <w:rPr>
                <w:color w:val="000000"/>
                <w:sz w:val="20"/>
                <w:szCs w:val="20"/>
              </w:rPr>
            </w:pPr>
            <w:r>
              <w:rPr>
                <w:color w:val="000000"/>
                <w:sz w:val="20"/>
                <w:szCs w:val="20"/>
              </w:rPr>
              <w:t xml:space="preserve">43 250 </w:t>
            </w:r>
          </w:p>
        </w:tc>
        <w:tc>
          <w:tcPr>
            <w:tcW w:w="1870" w:type="dxa"/>
            <w:tcBorders>
              <w:top w:val="nil"/>
              <w:left w:val="nil"/>
              <w:bottom w:val="single" w:sz="4" w:space="0" w:color="auto"/>
              <w:right w:val="single" w:sz="4" w:space="0" w:color="auto"/>
            </w:tcBorders>
            <w:shd w:val="clear" w:color="auto" w:fill="auto"/>
            <w:noWrap/>
            <w:vAlign w:val="center"/>
            <w:hideMark/>
          </w:tcPr>
          <w:p w14:paraId="46107874" w14:textId="6841E64A" w:rsidR="00283833" w:rsidRPr="00E751DF" w:rsidRDefault="00E86896" w:rsidP="00070DE0">
            <w:pPr>
              <w:jc w:val="right"/>
              <w:rPr>
                <w:color w:val="000000"/>
                <w:sz w:val="20"/>
                <w:szCs w:val="20"/>
              </w:rPr>
            </w:pPr>
            <w:r>
              <w:rPr>
                <w:color w:val="000000"/>
                <w:sz w:val="20"/>
                <w:szCs w:val="20"/>
              </w:rPr>
              <w:t xml:space="preserve">41 817 </w:t>
            </w:r>
          </w:p>
        </w:tc>
        <w:tc>
          <w:tcPr>
            <w:tcW w:w="1870" w:type="dxa"/>
            <w:tcBorders>
              <w:top w:val="nil"/>
              <w:left w:val="nil"/>
              <w:bottom w:val="single" w:sz="4" w:space="0" w:color="auto"/>
              <w:right w:val="single" w:sz="4" w:space="0" w:color="auto"/>
            </w:tcBorders>
            <w:shd w:val="clear" w:color="auto" w:fill="auto"/>
            <w:noWrap/>
            <w:vAlign w:val="center"/>
            <w:hideMark/>
          </w:tcPr>
          <w:p w14:paraId="00E9E1EC" w14:textId="7A7EBC6A" w:rsidR="00283833" w:rsidRPr="00E751DF" w:rsidRDefault="00E86896" w:rsidP="00070DE0">
            <w:pPr>
              <w:jc w:val="center"/>
              <w:rPr>
                <w:color w:val="000000"/>
                <w:sz w:val="20"/>
                <w:szCs w:val="20"/>
              </w:rPr>
            </w:pPr>
            <w:r>
              <w:rPr>
                <w:color w:val="000000"/>
                <w:sz w:val="20"/>
                <w:szCs w:val="20"/>
              </w:rPr>
              <w:t>97</w:t>
            </w:r>
          </w:p>
        </w:tc>
      </w:tr>
      <w:tr w:rsidR="00283833" w:rsidRPr="00E751DF" w14:paraId="0737A4E3" w14:textId="77777777" w:rsidTr="008234E3">
        <w:tc>
          <w:tcPr>
            <w:tcW w:w="18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5A3B9C" w14:textId="77777777" w:rsidR="00283833" w:rsidRPr="00E751DF" w:rsidRDefault="00283833" w:rsidP="00070DE0">
            <w:pPr>
              <w:jc w:val="left"/>
              <w:rPr>
                <w:color w:val="000000"/>
                <w:sz w:val="20"/>
                <w:szCs w:val="20"/>
              </w:rPr>
            </w:pPr>
            <w:r>
              <w:rPr>
                <w:color w:val="000000"/>
                <w:sz w:val="20"/>
                <w:szCs w:val="20"/>
              </w:rPr>
              <w:t>Deuxième</w:t>
            </w:r>
          </w:p>
        </w:tc>
        <w:tc>
          <w:tcPr>
            <w:tcW w:w="1870" w:type="dxa"/>
            <w:tcBorders>
              <w:top w:val="nil"/>
              <w:left w:val="nil"/>
              <w:bottom w:val="single" w:sz="4" w:space="0" w:color="auto"/>
              <w:right w:val="single" w:sz="4" w:space="0" w:color="auto"/>
            </w:tcBorders>
            <w:shd w:val="clear" w:color="auto" w:fill="auto"/>
            <w:noWrap/>
            <w:vAlign w:val="center"/>
            <w:hideMark/>
          </w:tcPr>
          <w:p w14:paraId="69ADC8B7" w14:textId="77777777" w:rsidR="00283833" w:rsidRPr="00E751DF" w:rsidRDefault="00283833" w:rsidP="00070DE0">
            <w:pPr>
              <w:jc w:val="center"/>
              <w:rPr>
                <w:color w:val="000000"/>
                <w:sz w:val="20"/>
                <w:szCs w:val="20"/>
              </w:rPr>
            </w:pPr>
            <w:r>
              <w:rPr>
                <w:color w:val="000000"/>
                <w:sz w:val="20"/>
                <w:szCs w:val="20"/>
              </w:rPr>
              <w:t>Banque mondiale</w:t>
            </w:r>
          </w:p>
        </w:tc>
        <w:tc>
          <w:tcPr>
            <w:tcW w:w="1870" w:type="dxa"/>
            <w:tcBorders>
              <w:top w:val="nil"/>
              <w:left w:val="nil"/>
              <w:bottom w:val="single" w:sz="4" w:space="0" w:color="auto"/>
              <w:right w:val="single" w:sz="4" w:space="0" w:color="auto"/>
            </w:tcBorders>
            <w:shd w:val="clear" w:color="auto" w:fill="auto"/>
            <w:noWrap/>
            <w:vAlign w:val="center"/>
            <w:hideMark/>
          </w:tcPr>
          <w:p w14:paraId="4AFA125C" w14:textId="3720273F" w:rsidR="00283833" w:rsidRPr="00E751DF" w:rsidRDefault="00DA09D3" w:rsidP="00070DE0">
            <w:pPr>
              <w:jc w:val="right"/>
              <w:rPr>
                <w:color w:val="000000"/>
                <w:sz w:val="20"/>
                <w:szCs w:val="20"/>
              </w:rPr>
            </w:pPr>
            <w:r>
              <w:rPr>
                <w:color w:val="000000"/>
                <w:sz w:val="20"/>
                <w:szCs w:val="20"/>
              </w:rPr>
              <w:t xml:space="preserve">2 179 193* </w:t>
            </w:r>
          </w:p>
        </w:tc>
        <w:tc>
          <w:tcPr>
            <w:tcW w:w="1870" w:type="dxa"/>
            <w:tcBorders>
              <w:top w:val="nil"/>
              <w:left w:val="nil"/>
              <w:bottom w:val="single" w:sz="4" w:space="0" w:color="auto"/>
              <w:right w:val="single" w:sz="4" w:space="0" w:color="auto"/>
            </w:tcBorders>
            <w:shd w:val="clear" w:color="auto" w:fill="auto"/>
            <w:noWrap/>
            <w:vAlign w:val="center"/>
            <w:hideMark/>
          </w:tcPr>
          <w:p w14:paraId="769F3341" w14:textId="62D0E60E" w:rsidR="00283833" w:rsidRPr="00E751DF" w:rsidRDefault="00283833" w:rsidP="00070DE0">
            <w:pPr>
              <w:jc w:val="right"/>
              <w:rPr>
                <w:color w:val="000000"/>
                <w:sz w:val="20"/>
                <w:szCs w:val="20"/>
              </w:rPr>
            </w:pPr>
            <w:r>
              <w:rPr>
                <w:color w:val="000000"/>
                <w:sz w:val="20"/>
                <w:szCs w:val="20"/>
              </w:rPr>
              <w:t xml:space="preserve">495 329 </w:t>
            </w:r>
          </w:p>
        </w:tc>
        <w:tc>
          <w:tcPr>
            <w:tcW w:w="1870" w:type="dxa"/>
            <w:tcBorders>
              <w:top w:val="nil"/>
              <w:left w:val="nil"/>
              <w:bottom w:val="single" w:sz="4" w:space="0" w:color="auto"/>
              <w:right w:val="single" w:sz="4" w:space="0" w:color="auto"/>
            </w:tcBorders>
            <w:shd w:val="clear" w:color="auto" w:fill="auto"/>
            <w:noWrap/>
            <w:vAlign w:val="center"/>
            <w:hideMark/>
          </w:tcPr>
          <w:p w14:paraId="547E2AAA" w14:textId="108C0D67" w:rsidR="00283833" w:rsidRPr="00E751DF" w:rsidRDefault="00DA09D3" w:rsidP="00070DE0">
            <w:pPr>
              <w:jc w:val="center"/>
              <w:rPr>
                <w:color w:val="000000"/>
                <w:sz w:val="20"/>
                <w:szCs w:val="20"/>
              </w:rPr>
            </w:pPr>
            <w:r>
              <w:rPr>
                <w:color w:val="000000"/>
                <w:sz w:val="20"/>
                <w:szCs w:val="20"/>
              </w:rPr>
              <w:t>23</w:t>
            </w:r>
          </w:p>
        </w:tc>
      </w:tr>
      <w:tr w:rsidR="00283833" w:rsidRPr="00E751DF" w14:paraId="461F6F66" w14:textId="77777777" w:rsidTr="008234E3">
        <w:tc>
          <w:tcPr>
            <w:tcW w:w="1870" w:type="dxa"/>
            <w:vMerge/>
            <w:tcBorders>
              <w:top w:val="nil"/>
              <w:left w:val="single" w:sz="4" w:space="0" w:color="auto"/>
              <w:bottom w:val="single" w:sz="4" w:space="0" w:color="auto"/>
              <w:right w:val="single" w:sz="4" w:space="0" w:color="auto"/>
            </w:tcBorders>
            <w:vAlign w:val="center"/>
            <w:hideMark/>
          </w:tcPr>
          <w:p w14:paraId="7CBD45DE" w14:textId="77777777" w:rsidR="00283833" w:rsidRPr="00E751DF" w:rsidRDefault="00283833" w:rsidP="00070DE0">
            <w:pPr>
              <w:jc w:val="left"/>
              <w:rPr>
                <w:color w:val="000000"/>
                <w:sz w:val="20"/>
                <w:szCs w:val="20"/>
                <w:lang w:eastAsia="en-CA"/>
              </w:rPr>
            </w:pPr>
          </w:p>
        </w:tc>
        <w:tc>
          <w:tcPr>
            <w:tcW w:w="1870" w:type="dxa"/>
            <w:tcBorders>
              <w:top w:val="nil"/>
              <w:left w:val="nil"/>
              <w:bottom w:val="single" w:sz="4" w:space="0" w:color="auto"/>
              <w:right w:val="single" w:sz="4" w:space="0" w:color="auto"/>
            </w:tcBorders>
            <w:shd w:val="clear" w:color="auto" w:fill="auto"/>
            <w:noWrap/>
            <w:vAlign w:val="center"/>
            <w:hideMark/>
          </w:tcPr>
          <w:p w14:paraId="042E58B4" w14:textId="77777777" w:rsidR="00283833" w:rsidRPr="00E751DF" w:rsidRDefault="00283833" w:rsidP="00070DE0">
            <w:pPr>
              <w:jc w:val="center"/>
              <w:rPr>
                <w:color w:val="000000"/>
                <w:sz w:val="20"/>
                <w:szCs w:val="20"/>
              </w:rPr>
            </w:pPr>
            <w:r>
              <w:rPr>
                <w:color w:val="000000"/>
                <w:sz w:val="20"/>
                <w:szCs w:val="20"/>
              </w:rPr>
              <w:t>Japon</w:t>
            </w:r>
          </w:p>
        </w:tc>
        <w:tc>
          <w:tcPr>
            <w:tcW w:w="1870" w:type="dxa"/>
            <w:tcBorders>
              <w:top w:val="nil"/>
              <w:left w:val="nil"/>
              <w:bottom w:val="single" w:sz="4" w:space="0" w:color="auto"/>
              <w:right w:val="single" w:sz="4" w:space="0" w:color="auto"/>
            </w:tcBorders>
            <w:shd w:val="clear" w:color="auto" w:fill="auto"/>
            <w:noWrap/>
            <w:vAlign w:val="center"/>
            <w:hideMark/>
          </w:tcPr>
          <w:p w14:paraId="010D9908" w14:textId="511B8ED3" w:rsidR="00283833" w:rsidRPr="00E751DF" w:rsidRDefault="00283833" w:rsidP="00070DE0">
            <w:pPr>
              <w:jc w:val="right"/>
              <w:rPr>
                <w:color w:val="000000"/>
                <w:sz w:val="20"/>
                <w:szCs w:val="20"/>
              </w:rPr>
            </w:pPr>
            <w:r>
              <w:rPr>
                <w:color w:val="000000"/>
                <w:sz w:val="20"/>
                <w:szCs w:val="20"/>
              </w:rPr>
              <w:t xml:space="preserve">163 980 </w:t>
            </w:r>
          </w:p>
        </w:tc>
        <w:tc>
          <w:tcPr>
            <w:tcW w:w="1870" w:type="dxa"/>
            <w:tcBorders>
              <w:top w:val="nil"/>
              <w:left w:val="nil"/>
              <w:bottom w:val="single" w:sz="4" w:space="0" w:color="auto"/>
              <w:right w:val="single" w:sz="4" w:space="0" w:color="auto"/>
            </w:tcBorders>
            <w:shd w:val="clear" w:color="auto" w:fill="auto"/>
            <w:noWrap/>
            <w:vAlign w:val="center"/>
            <w:hideMark/>
          </w:tcPr>
          <w:p w14:paraId="01B47EC2" w14:textId="3B2D814D" w:rsidR="00283833" w:rsidRPr="00E751DF" w:rsidRDefault="00283833" w:rsidP="00070DE0">
            <w:pPr>
              <w:jc w:val="right"/>
              <w:rPr>
                <w:color w:val="000000"/>
                <w:sz w:val="20"/>
                <w:szCs w:val="20"/>
              </w:rPr>
            </w:pPr>
            <w:r>
              <w:rPr>
                <w:color w:val="000000"/>
                <w:sz w:val="20"/>
                <w:szCs w:val="20"/>
              </w:rPr>
              <w:t>0</w:t>
            </w:r>
          </w:p>
        </w:tc>
        <w:tc>
          <w:tcPr>
            <w:tcW w:w="1870" w:type="dxa"/>
            <w:tcBorders>
              <w:top w:val="nil"/>
              <w:left w:val="nil"/>
              <w:bottom w:val="single" w:sz="4" w:space="0" w:color="auto"/>
              <w:right w:val="single" w:sz="4" w:space="0" w:color="auto"/>
            </w:tcBorders>
            <w:shd w:val="clear" w:color="auto" w:fill="auto"/>
            <w:noWrap/>
            <w:vAlign w:val="center"/>
            <w:hideMark/>
          </w:tcPr>
          <w:p w14:paraId="046F8A75" w14:textId="77777777" w:rsidR="00283833" w:rsidRPr="00E751DF" w:rsidRDefault="00283833" w:rsidP="00070DE0">
            <w:pPr>
              <w:jc w:val="center"/>
              <w:rPr>
                <w:color w:val="000000"/>
                <w:sz w:val="20"/>
                <w:szCs w:val="20"/>
              </w:rPr>
            </w:pPr>
            <w:r>
              <w:rPr>
                <w:color w:val="000000"/>
                <w:sz w:val="20"/>
                <w:szCs w:val="20"/>
              </w:rPr>
              <w:t>0</w:t>
            </w:r>
          </w:p>
        </w:tc>
      </w:tr>
      <w:tr w:rsidR="00283833" w:rsidRPr="00E751DF" w14:paraId="16951AD6" w14:textId="77777777" w:rsidTr="008234E3">
        <w:tc>
          <w:tcPr>
            <w:tcW w:w="1870" w:type="dxa"/>
            <w:tcBorders>
              <w:top w:val="nil"/>
              <w:left w:val="single" w:sz="4" w:space="0" w:color="auto"/>
              <w:bottom w:val="single" w:sz="4" w:space="0" w:color="auto"/>
              <w:right w:val="single" w:sz="4" w:space="0" w:color="auto"/>
            </w:tcBorders>
            <w:shd w:val="clear" w:color="auto" w:fill="auto"/>
            <w:noWrap/>
            <w:vAlign w:val="center"/>
            <w:hideMark/>
          </w:tcPr>
          <w:p w14:paraId="3F0172CB" w14:textId="77777777" w:rsidR="00283833" w:rsidRPr="00E751DF" w:rsidRDefault="00283833" w:rsidP="00070DE0">
            <w:pPr>
              <w:jc w:val="left"/>
              <w:rPr>
                <w:color w:val="000000"/>
                <w:sz w:val="20"/>
                <w:szCs w:val="20"/>
              </w:rPr>
            </w:pPr>
            <w:r>
              <w:rPr>
                <w:color w:val="000000"/>
                <w:sz w:val="20"/>
                <w:szCs w:val="20"/>
              </w:rPr>
              <w:t>Total</w:t>
            </w:r>
          </w:p>
        </w:tc>
        <w:tc>
          <w:tcPr>
            <w:tcW w:w="1870" w:type="dxa"/>
            <w:tcBorders>
              <w:top w:val="nil"/>
              <w:left w:val="nil"/>
              <w:bottom w:val="single" w:sz="4" w:space="0" w:color="auto"/>
              <w:right w:val="single" w:sz="4" w:space="0" w:color="auto"/>
            </w:tcBorders>
            <w:shd w:val="clear" w:color="auto" w:fill="auto"/>
            <w:noWrap/>
            <w:vAlign w:val="center"/>
            <w:hideMark/>
          </w:tcPr>
          <w:p w14:paraId="359DB535" w14:textId="77777777" w:rsidR="00283833" w:rsidRPr="00E751DF" w:rsidRDefault="00283833" w:rsidP="00070DE0">
            <w:pPr>
              <w:jc w:val="left"/>
              <w:rPr>
                <w:color w:val="000000"/>
                <w:sz w:val="20"/>
                <w:szCs w:val="20"/>
              </w:rPr>
            </w:pPr>
            <w:r>
              <w:rPr>
                <w:color w:val="000000"/>
                <w:sz w:val="20"/>
                <w:szCs w:val="20"/>
              </w:rPr>
              <w:t> </w:t>
            </w:r>
          </w:p>
        </w:tc>
        <w:tc>
          <w:tcPr>
            <w:tcW w:w="1870" w:type="dxa"/>
            <w:tcBorders>
              <w:top w:val="nil"/>
              <w:left w:val="nil"/>
              <w:bottom w:val="single" w:sz="4" w:space="0" w:color="auto"/>
              <w:right w:val="single" w:sz="4" w:space="0" w:color="auto"/>
            </w:tcBorders>
            <w:shd w:val="clear" w:color="auto" w:fill="auto"/>
            <w:noWrap/>
            <w:vAlign w:val="center"/>
            <w:hideMark/>
          </w:tcPr>
          <w:p w14:paraId="7E3D7576" w14:textId="70CEAB4E" w:rsidR="00283833" w:rsidRPr="00E751DF" w:rsidRDefault="00283833" w:rsidP="00070DE0">
            <w:pPr>
              <w:jc w:val="right"/>
              <w:rPr>
                <w:color w:val="000000"/>
                <w:sz w:val="20"/>
                <w:szCs w:val="20"/>
              </w:rPr>
            </w:pPr>
            <w:r>
              <w:rPr>
                <w:color w:val="000000"/>
                <w:sz w:val="20"/>
                <w:szCs w:val="20"/>
              </w:rPr>
              <w:t xml:space="preserve">2 689 160* </w:t>
            </w:r>
          </w:p>
        </w:tc>
        <w:tc>
          <w:tcPr>
            <w:tcW w:w="1870" w:type="dxa"/>
            <w:tcBorders>
              <w:top w:val="nil"/>
              <w:left w:val="nil"/>
              <w:bottom w:val="single" w:sz="4" w:space="0" w:color="auto"/>
              <w:right w:val="single" w:sz="4" w:space="0" w:color="auto"/>
            </w:tcBorders>
            <w:shd w:val="clear" w:color="auto" w:fill="auto"/>
            <w:noWrap/>
            <w:vAlign w:val="center"/>
            <w:hideMark/>
          </w:tcPr>
          <w:p w14:paraId="16D02D73" w14:textId="33E0EBBB" w:rsidR="00283833" w:rsidRPr="00E751DF" w:rsidRDefault="00283833" w:rsidP="00070DE0">
            <w:pPr>
              <w:jc w:val="right"/>
              <w:rPr>
                <w:color w:val="000000"/>
                <w:sz w:val="20"/>
                <w:szCs w:val="20"/>
              </w:rPr>
            </w:pPr>
            <w:r>
              <w:rPr>
                <w:color w:val="000000"/>
                <w:sz w:val="20"/>
                <w:szCs w:val="20"/>
              </w:rPr>
              <w:t>839 883</w:t>
            </w:r>
          </w:p>
        </w:tc>
        <w:tc>
          <w:tcPr>
            <w:tcW w:w="1870" w:type="dxa"/>
            <w:tcBorders>
              <w:top w:val="nil"/>
              <w:left w:val="nil"/>
              <w:bottom w:val="single" w:sz="4" w:space="0" w:color="auto"/>
              <w:right w:val="single" w:sz="4" w:space="0" w:color="auto"/>
            </w:tcBorders>
            <w:shd w:val="clear" w:color="auto" w:fill="auto"/>
            <w:noWrap/>
            <w:vAlign w:val="center"/>
            <w:hideMark/>
          </w:tcPr>
          <w:p w14:paraId="4B6C58BD" w14:textId="27EE4C83" w:rsidR="00283833" w:rsidRPr="00E751DF" w:rsidRDefault="00DA09D3" w:rsidP="00070DE0">
            <w:pPr>
              <w:jc w:val="center"/>
              <w:rPr>
                <w:color w:val="000000"/>
                <w:sz w:val="20"/>
                <w:szCs w:val="20"/>
              </w:rPr>
            </w:pPr>
            <w:r>
              <w:rPr>
                <w:color w:val="000000"/>
                <w:sz w:val="20"/>
                <w:szCs w:val="20"/>
              </w:rPr>
              <w:t>31</w:t>
            </w:r>
          </w:p>
        </w:tc>
      </w:tr>
    </w:tbl>
    <w:p w14:paraId="713344DA" w14:textId="0ABC9307" w:rsidR="00283833" w:rsidRPr="00E751DF" w:rsidRDefault="00286847" w:rsidP="00283833">
      <w:pPr>
        <w:rPr>
          <w:sz w:val="18"/>
          <w:szCs w:val="18"/>
        </w:rPr>
      </w:pPr>
      <w:r>
        <w:rPr>
          <w:bCs/>
          <w:sz w:val="18"/>
          <w:szCs w:val="18"/>
        </w:rPr>
        <w:t>* 613 568 </w:t>
      </w:r>
      <w:r>
        <w:rPr>
          <w:bCs/>
          <w:color w:val="000000"/>
          <w:sz w:val="18"/>
          <w:szCs w:val="18"/>
        </w:rPr>
        <w:t>$ US</w:t>
      </w:r>
      <w:r>
        <w:rPr>
          <w:bCs/>
          <w:sz w:val="18"/>
          <w:szCs w:val="18"/>
        </w:rPr>
        <w:t xml:space="preserve"> (plus les coûts d’appui d’agence) seront renvoyés lors de la 87</w:t>
      </w:r>
      <w:r>
        <w:rPr>
          <w:bCs/>
          <w:sz w:val="18"/>
          <w:szCs w:val="18"/>
          <w:vertAlign w:val="superscript"/>
        </w:rPr>
        <w:t>e</w:t>
      </w:r>
      <w:r>
        <w:rPr>
          <w:bCs/>
          <w:sz w:val="18"/>
          <w:szCs w:val="18"/>
        </w:rPr>
        <w:t xml:space="preserve"> réunion</w:t>
      </w:r>
      <w:r>
        <w:rPr>
          <w:bCs/>
          <w:color w:val="000000"/>
          <w:sz w:val="18"/>
          <w:szCs w:val="18"/>
        </w:rPr>
        <w:t>.</w:t>
      </w:r>
    </w:p>
    <w:p w14:paraId="64ABD5AA" w14:textId="77777777" w:rsidR="00286847" w:rsidRPr="00E751DF" w:rsidRDefault="00286847" w:rsidP="00283833">
      <w:pPr>
        <w:rPr>
          <w:b/>
        </w:rPr>
      </w:pPr>
    </w:p>
    <w:p w14:paraId="56E5597A" w14:textId="77777777" w:rsidR="00283833" w:rsidRPr="00E751DF" w:rsidRDefault="00283833" w:rsidP="00283833">
      <w:pPr>
        <w:rPr>
          <w:u w:val="single"/>
        </w:rPr>
      </w:pPr>
      <w:r>
        <w:rPr>
          <w:u w:val="single"/>
        </w:rPr>
        <w:t>Plan de mise en œuvre de la troisième tranche du PGEH</w:t>
      </w:r>
    </w:p>
    <w:p w14:paraId="37A687F2" w14:textId="77777777" w:rsidR="00283833" w:rsidRPr="00E751DF" w:rsidRDefault="00283833" w:rsidP="00283833"/>
    <w:p w14:paraId="0ABA149A" w14:textId="5C1FD929" w:rsidR="00283833" w:rsidRPr="00E751DF" w:rsidRDefault="00283833" w:rsidP="00283833">
      <w:pPr>
        <w:pStyle w:val="Heading1"/>
      </w:pPr>
      <w:r>
        <w:t>Les activités suivantes seront mises en œuvre en 2021-2022 :</w:t>
      </w:r>
      <w:r w:rsidR="00BE211A" w:rsidRPr="00E751DF">
        <w:rPr>
          <w:rStyle w:val="FootnoteReference"/>
        </w:rPr>
        <w:footnoteReference w:id="4"/>
      </w:r>
    </w:p>
    <w:p w14:paraId="0D7EF342" w14:textId="0D9022B2" w:rsidR="0024773A" w:rsidRPr="00E751DF" w:rsidRDefault="00AB266F" w:rsidP="0024773A">
      <w:pPr>
        <w:pStyle w:val="Heading2"/>
      </w:pPr>
      <w:r>
        <w:t>Six ateliers de formation pour environ 300 agents des douanes sur le contrôle et la surveillance des importations et exportations des HFCF (Banque mondiale) (92 284 $ US</w:t>
      </w:r>
      <w:proofErr w:type="gramStart"/>
      <w:r>
        <w:t>);</w:t>
      </w:r>
      <w:proofErr w:type="gramEnd"/>
    </w:p>
    <w:p w14:paraId="73A12748" w14:textId="4DD939FF" w:rsidR="00ED2A8F" w:rsidRPr="00E751DF" w:rsidRDefault="0024773A" w:rsidP="00ED2A8F">
      <w:pPr>
        <w:pStyle w:val="Heading2"/>
      </w:pPr>
      <w:r>
        <w:t>L’assistance technique continue pour soutenir les entreprises dans la préparation et la mise en œuvre des sous-projets dans les secteurs des mousses et de la fabrication des appareils de réfrigération et de climatisation (12 800 $ US), l’examen des propositions de sous</w:t>
      </w:r>
      <w:r w:rsidR="002F0834">
        <w:noBreakHyphen/>
      </w:r>
      <w:r>
        <w:t>projets (20 000 $ US), et l’achèvement de l’évaluation sur la gestion des fuites (17 000 $ US) (Banque mondiale</w:t>
      </w:r>
      <w:proofErr w:type="gramStart"/>
      <w:r>
        <w:t>);</w:t>
      </w:r>
      <w:proofErr w:type="gramEnd"/>
    </w:p>
    <w:p w14:paraId="6C7A722E" w14:textId="5F9D03D9" w:rsidR="0024773A" w:rsidRPr="00E751DF" w:rsidRDefault="0024773A" w:rsidP="0024773A">
      <w:pPr>
        <w:pStyle w:val="Heading2"/>
      </w:pPr>
      <w:r>
        <w:t>L’assistance technique continue sur l’utilisation sécuritaire du HFC-32 dans la fabrication de climatiseurs (gouvernement du Japon) (191 813 $ US</w:t>
      </w:r>
      <w:proofErr w:type="gramStart"/>
      <w:r>
        <w:t>);</w:t>
      </w:r>
      <w:proofErr w:type="gramEnd"/>
      <w:r>
        <w:t xml:space="preserve"> </w:t>
      </w:r>
    </w:p>
    <w:p w14:paraId="038CAFD5" w14:textId="1149B65E" w:rsidR="0024773A" w:rsidRPr="00E751DF" w:rsidRDefault="0024773A" w:rsidP="0024773A">
      <w:pPr>
        <w:pStyle w:val="Heading2"/>
      </w:pPr>
      <w:r>
        <w:lastRenderedPageBreak/>
        <w:t>72 ateliers de formation (30 à 35 participants chacun) pour les techniciens sur les bonnes pratiques d’entretien et la manipulation sécuritaire des frigorigènes inflammables (Banque mondiale) (332 200 $ US</w:t>
      </w:r>
      <w:proofErr w:type="gramStart"/>
      <w:r>
        <w:t>);</w:t>
      </w:r>
      <w:proofErr w:type="gramEnd"/>
    </w:p>
    <w:p w14:paraId="1154DAF5" w14:textId="7288D269" w:rsidR="00F9487E" w:rsidRPr="00E751DF" w:rsidRDefault="00F9487E" w:rsidP="00F9487E">
      <w:pPr>
        <w:pStyle w:val="Heading2"/>
        <w:numPr>
          <w:ilvl w:val="1"/>
          <w:numId w:val="1"/>
        </w:numPr>
      </w:pPr>
      <w:r>
        <w:t>L</w:t>
      </w:r>
      <w:r w:rsidR="007F46F2">
        <w:t>a l</w:t>
      </w:r>
      <w:r>
        <w:t>ivraison de 65 trousses d’outils pour les écoles de formation professionnelle sélectionnées (521 809 $ US) et 100 trousses d’outils pour les ateliers d’entretien (78 543 $ US) (Banque mondiale</w:t>
      </w:r>
      <w:proofErr w:type="gramStart"/>
      <w:r>
        <w:t>);</w:t>
      </w:r>
      <w:proofErr w:type="gramEnd"/>
    </w:p>
    <w:p w14:paraId="34C82102" w14:textId="6BACDE6E" w:rsidR="009B13FD" w:rsidRPr="00E751DF" w:rsidRDefault="009B13FD" w:rsidP="009B13FD">
      <w:pPr>
        <w:pStyle w:val="Heading2"/>
      </w:pPr>
      <w:r>
        <w:t>Conversion de quatre entreprises de fabrication de climatiseurs vers le HFC-32, d’au moins une entreprise de fabrication de réfrigérateurs vers le HFC-32, l’ammoniac, l’hydrocarbure, ou une autre technologie à faible potentiel de réchauffement de la planète (PRG), et au moins une entreprise de fabrication des mousses (</w:t>
      </w:r>
      <w:proofErr w:type="spellStart"/>
      <w:r>
        <w:t>Tran</w:t>
      </w:r>
      <w:proofErr w:type="spellEnd"/>
      <w:r>
        <w:t xml:space="preserve"> Huu Duc) vers le cyclopentane (2 091 509 $ US) (Banque mondiale</w:t>
      </w:r>
      <w:proofErr w:type="gramStart"/>
      <w:r>
        <w:t>);</w:t>
      </w:r>
      <w:proofErr w:type="gramEnd"/>
    </w:p>
    <w:p w14:paraId="71894AAF" w14:textId="30AF3B16" w:rsidR="0024773A" w:rsidRPr="00E751DF" w:rsidRDefault="00084E7C" w:rsidP="00BC67F1">
      <w:pPr>
        <w:pStyle w:val="Heading2"/>
      </w:pPr>
      <w:r>
        <w:t>Des activités de sensibilisation et six ou sept ateliers techniques (30 participants chacun provenant du gouvernement et de l’industrie) pour sensibiliser aux technologies de remplacement à faible PRG et aux interdictions à venir; et une visite d’étude de la Thaïlande pour obtenir de l’expérience dans l’élaboration et la mise en œuvre de l’interdiction sur les importations et la fabrication de climatiseurs fonctionnant au HCFC</w:t>
      </w:r>
      <w:r w:rsidR="002F0834">
        <w:noBreakHyphen/>
      </w:r>
      <w:r>
        <w:t xml:space="preserve">22, de normes pour l’utilisation sécuritaire d’unités de climatisation fonctionnant au HFC-32 dans les bâtiments, la commercialisation d’unités de climatisation fonctionnant au HFC-32 et la gestion du HFC-32 dans le secteur de l’entretien, ainsi que des visites aux entreprises de formulation pour en apprendre sur les formules de mousses à faible PRG et les polyols </w:t>
      </w:r>
      <w:proofErr w:type="spellStart"/>
      <w:r>
        <w:t>prémélangés</w:t>
      </w:r>
      <w:proofErr w:type="spellEnd"/>
      <w:r>
        <w:t xml:space="preserve"> pour les petites et moyennes entreprises (Banque mondiale) (70 000 $ US);</w:t>
      </w:r>
    </w:p>
    <w:p w14:paraId="636D2A10" w14:textId="6F8F19D2" w:rsidR="006F0588" w:rsidRPr="00E751DF" w:rsidRDefault="0024773A" w:rsidP="006F0588">
      <w:pPr>
        <w:pStyle w:val="Heading2"/>
      </w:pPr>
      <w:r>
        <w:t>Vérification de la consommation (Banque mondiale) (8 000 $ US</w:t>
      </w:r>
      <w:proofErr w:type="gramStart"/>
      <w:r>
        <w:t>);</w:t>
      </w:r>
      <w:proofErr w:type="gramEnd"/>
    </w:p>
    <w:p w14:paraId="03B34AF0" w14:textId="469C1D8D" w:rsidR="00D8105A" w:rsidRPr="00E751DF" w:rsidRDefault="007C33D3" w:rsidP="00545332">
      <w:pPr>
        <w:pStyle w:val="Heading2"/>
        <w:numPr>
          <w:ilvl w:val="1"/>
          <w:numId w:val="1"/>
        </w:numPr>
        <w:spacing w:after="360"/>
      </w:pPr>
      <w:r>
        <w:t xml:space="preserve">La PMU commandera une vérification financière indépendante (15 000 $ US); recrutera un consultant pour identifier les entreprises admissibles à participer aux conversions technologiques (17 500 $ US); et appuiera les cinq employés de projet qui composent la PMU pour examiner les quotas, aider les entreprises à mettre en œuvre leurs sous-projets, à surveiller la mise en œuvre de toutes les activités du projet, à effectuer une vérification financière annuelle des dépenses de projet, à élaborer les rapports financiers et de mise en œuvre semestriels et annuels, et à coordonner la préparation des rapports (263 029 $ US) (Banque mondiale). </w:t>
      </w:r>
    </w:p>
    <w:p w14:paraId="104E9AE7" w14:textId="77777777" w:rsidR="00D8105A" w:rsidRPr="00E751DF" w:rsidRDefault="00D8105A" w:rsidP="00FE078D">
      <w:pPr>
        <w:spacing w:after="240"/>
        <w:jc w:val="center"/>
        <w:rPr>
          <w:b/>
        </w:rPr>
      </w:pPr>
      <w:r>
        <w:rPr>
          <w:b/>
        </w:rPr>
        <w:t>OBSERVATIONS ET RECOMMANDATION DU SECRÉTARIAT</w:t>
      </w:r>
    </w:p>
    <w:p w14:paraId="3E731794" w14:textId="77777777" w:rsidR="00D8105A" w:rsidRPr="00E751DF" w:rsidRDefault="00D8105A" w:rsidP="00D8105A">
      <w:pPr>
        <w:rPr>
          <w:b/>
        </w:rPr>
      </w:pPr>
      <w:r>
        <w:rPr>
          <w:b/>
        </w:rPr>
        <w:t>OBSERVATIONS</w:t>
      </w:r>
    </w:p>
    <w:p w14:paraId="605C5172" w14:textId="77777777" w:rsidR="00D8105A" w:rsidRPr="00E751DF" w:rsidRDefault="00D8105A" w:rsidP="00D8105A"/>
    <w:p w14:paraId="50AD6398" w14:textId="563DFC57" w:rsidR="00D8105A" w:rsidRPr="00E751DF" w:rsidRDefault="00D8105A" w:rsidP="00D8105A">
      <w:pPr>
        <w:rPr>
          <w:u w:val="single"/>
        </w:rPr>
      </w:pPr>
      <w:r>
        <w:rPr>
          <w:u w:val="single"/>
        </w:rPr>
        <w:t>Rapport sur la consommation des HCFC et la consommation des HCFC</w:t>
      </w:r>
    </w:p>
    <w:p w14:paraId="26D2AE9D" w14:textId="77777777" w:rsidR="00D8105A" w:rsidRPr="00E751DF" w:rsidRDefault="00D8105A" w:rsidP="00D8105A"/>
    <w:p w14:paraId="0282920D" w14:textId="2E70EE19" w:rsidR="00DF3655" w:rsidRPr="00E751DF" w:rsidRDefault="00F03613" w:rsidP="00F03613">
      <w:pPr>
        <w:pStyle w:val="Heading1"/>
      </w:pPr>
      <w:r>
        <w:t xml:space="preserve">La consommation de HCFC-141b contenu dans les polyols </w:t>
      </w:r>
      <w:proofErr w:type="spellStart"/>
      <w:r>
        <w:t>prémélangés</w:t>
      </w:r>
      <w:proofErr w:type="spellEnd"/>
      <w:r>
        <w:t xml:space="preserve"> importés a chuté de façon considérable en 2020 en dépit du fait qu’aucune conversion dans le secteur de fabrication des mousses n’a été mise en œuvre dans le cadre de la phase II. En prenant note de l’interdiction du 1</w:t>
      </w:r>
      <w:r>
        <w:rPr>
          <w:vertAlign w:val="superscript"/>
        </w:rPr>
        <w:t>er</w:t>
      </w:r>
      <w:r>
        <w:t xml:space="preserve"> janvier 2022 sur le HCFC-141b contenu dans les polyols </w:t>
      </w:r>
      <w:proofErr w:type="spellStart"/>
      <w:r>
        <w:t>prémélangés</w:t>
      </w:r>
      <w:proofErr w:type="spellEnd"/>
      <w:r>
        <w:t xml:space="preserve"> importés et que les entreprises qui se sont converties avec leurs propres ressources aux polyols </w:t>
      </w:r>
      <w:proofErr w:type="spellStart"/>
      <w:r>
        <w:t>prémélangés</w:t>
      </w:r>
      <w:proofErr w:type="spellEnd"/>
      <w:r>
        <w:t xml:space="preserve"> expansés à l’eau ou d’autres technologies ne seraient pas admissibles au financement, ce qui pourrait entraîner un retour de financement substantiel au Fonds multilatéral, le Secrétariat a encouragé la Banque mondiale à entreprendre des efforts supplémentaires pour garantir la participation au PGEH d’autant d’entreprises de fabrication des mousses que possible. À propos de la réduction de la consommation de HCFC-22, de HCFC-123 et de HCFC-225 en 2020, la Banque mondiale a expliqué que ces réductions étaient respectivement causées par : la mise en œuvre du quota </w:t>
      </w:r>
      <w:r>
        <w:lastRenderedPageBreak/>
        <w:t>obligatoire, en accord avec l’échéancier de contrôle du Protocole de Montréal; la dépendance aux stocks et les retards possibles de la maintenance en raison de la pandémie de COVID-19; et la conversion d’une entreprise consommatrice de HCFC-225 vers les HFC, tout en soulignant qu’il y a eu au moins une autre entreprise qui a continué à consommer du HCFC-225 pour nettoyer des aiguilles.</w:t>
      </w:r>
    </w:p>
    <w:p w14:paraId="16CD8CC9" w14:textId="22929CEC" w:rsidR="00EF50B8" w:rsidRPr="00E751DF" w:rsidRDefault="006A0FCE" w:rsidP="006A0FCE">
      <w:pPr>
        <w:pStyle w:val="Heading1"/>
      </w:pPr>
      <w:r>
        <w:t>En accord avec le paragraphe 9 de la décision XIX/6, le Secrétariat a demandé la confirmation que l’élimination des HCFC ne conduisait pas à l’augmentation rapide de la consommation de HFC-23. Plus particulièrement, tandis que le Viet Nam n’a pas rapporté de consommation de HCFC dans le secteur de la lutte contre les incendies, l’élimination des HCFC dans les secteurs de la fabrication des appareils de réfrigération et de l’entretien pourrait contribuer à l’augmentation de la consommation de HFC-23 en réfrigération (basse température). La Banque mondiale a indiqué que le HFC-23 est réputé être utilisé dans le secteur de la lutte contre les incendies et dans les chambres d’essai de choc thermique</w:t>
      </w:r>
      <w:r w:rsidR="006253DF" w:rsidRPr="00E751DF">
        <w:rPr>
          <w:rStyle w:val="FootnoteReference"/>
        </w:rPr>
        <w:footnoteReference w:id="5"/>
      </w:r>
      <w:r>
        <w:t>; par conséquent, il est peu probable que l’élimination des HCFC entraîne la consommation de HFC-23.</w:t>
      </w:r>
    </w:p>
    <w:p w14:paraId="2D16D901" w14:textId="42B07BF1" w:rsidR="006A0FCE" w:rsidRDefault="00EF50B8" w:rsidP="00FE078D">
      <w:pPr>
        <w:pStyle w:val="Heading1"/>
        <w:widowControl w:val="0"/>
        <w:spacing w:after="0"/>
      </w:pPr>
      <w:r>
        <w:t xml:space="preserve">Le Secrétariat a noté qu’une quantité considérable de HFC-32 a été consommée au pays, en dépit du fait que les quatre entreprises de fabrication de climatiseurs qui participeront au projet n’ont pas encore commencé leur conversion. La Banque mondiale a précisé que deux entreprises de fabrication de climatiseurs supplémentaires, dont l’une est détenue de façon non visée par l’Article 5, fabriquent toutes deux des unités de climatisation à vitesse fixe et à onduleur fonctionnant au HFC-32; et elle a confirmé que les quatre entreprises de fabrication de climatiseurs qui participent au projet ne fabriquent pas d’unités de climatisation fonctionnant au R-410A, bien que trois de ces entreprises importent des unités fonctionnant au R-410A, ainsi que des unités fonctionnant au HFC-32 pour les commercialiser sous leurs noms de marque. Comme la pénétration des unités fonctionnant au HFC-32 au Viet Nam est déjà notable, le Secrétariat considère qu’il est probable que les quatre entreprises de fabrication de climatiseurs ne subissent pas d’obstacles majeurs pour vendre leurs équipements sur le marché une fois que les conversions seront achevées. </w:t>
      </w:r>
    </w:p>
    <w:p w14:paraId="2D938FAA" w14:textId="77777777" w:rsidR="007F46F2" w:rsidRPr="007F46F2" w:rsidRDefault="007F46F2" w:rsidP="007F46F2"/>
    <w:p w14:paraId="082D3914" w14:textId="157D98C1" w:rsidR="00D8105A" w:rsidRPr="00E751DF" w:rsidRDefault="00D8105A" w:rsidP="00545332">
      <w:pPr>
        <w:keepNext/>
        <w:rPr>
          <w:u w:val="single"/>
        </w:rPr>
      </w:pPr>
      <w:r>
        <w:rPr>
          <w:u w:val="single"/>
        </w:rPr>
        <w:t>Rapport périodique sur la mise en œuvre de la deuxième tranche du PGEH</w:t>
      </w:r>
    </w:p>
    <w:p w14:paraId="49F375C1" w14:textId="77777777" w:rsidR="00D8105A" w:rsidRPr="00E751DF" w:rsidRDefault="00D8105A" w:rsidP="00545332">
      <w:pPr>
        <w:keepNext/>
      </w:pPr>
    </w:p>
    <w:p w14:paraId="1BF93D84" w14:textId="77777777" w:rsidR="00D8105A" w:rsidRPr="00E751DF" w:rsidRDefault="00D8105A" w:rsidP="00D8105A">
      <w:pPr>
        <w:rPr>
          <w:i/>
        </w:rPr>
      </w:pPr>
      <w:r>
        <w:rPr>
          <w:i/>
        </w:rPr>
        <w:t>Cadre juridique</w:t>
      </w:r>
    </w:p>
    <w:p w14:paraId="43B9A09C" w14:textId="77777777" w:rsidR="00D8105A" w:rsidRPr="00E751DF" w:rsidRDefault="00D8105A" w:rsidP="00D8105A"/>
    <w:p w14:paraId="68168D47" w14:textId="598FE5C5" w:rsidR="00F10442" w:rsidRPr="00E751DF" w:rsidRDefault="00D8105A" w:rsidP="003A4E1D">
      <w:pPr>
        <w:pStyle w:val="Heading1"/>
      </w:pPr>
      <w:r>
        <w:t>Le gouvernement du Viet Nam a déjà émis des quotas d’importation de HCFC pour 2021 conformément aux objectifs de contrôle fixés par le Protocole de Montréal.</w:t>
      </w:r>
    </w:p>
    <w:p w14:paraId="1615798F" w14:textId="77777777" w:rsidR="00D8105A" w:rsidRPr="00E751DF" w:rsidRDefault="00D8105A" w:rsidP="00D8105A">
      <w:pPr>
        <w:rPr>
          <w:i/>
        </w:rPr>
      </w:pPr>
      <w:r>
        <w:rPr>
          <w:i/>
        </w:rPr>
        <w:t>Secteur de la fabrication</w:t>
      </w:r>
    </w:p>
    <w:p w14:paraId="50E50D48" w14:textId="77777777" w:rsidR="00D8105A" w:rsidRPr="00E751DF" w:rsidRDefault="00D8105A" w:rsidP="00D8105A"/>
    <w:p w14:paraId="4B378C91" w14:textId="5D0F1A79" w:rsidR="00D746DB" w:rsidRPr="00E751DF" w:rsidRDefault="00645BA3" w:rsidP="004503C6">
      <w:pPr>
        <w:pStyle w:val="Heading1"/>
      </w:pPr>
      <w:r>
        <w:t>Les conversions de deux entreprises de fabrication de climatiseurs vers le HFC-</w:t>
      </w:r>
      <w:proofErr w:type="gramStart"/>
      <w:r>
        <w:t>32;</w:t>
      </w:r>
      <w:proofErr w:type="gramEnd"/>
      <w:r>
        <w:t xml:space="preserve"> de cinq entreprises de fabrication d’appareils de réfrigération vers le HFC-32, l’ammoniac et la technologie aux hydrocarbures; et de sept entreprises de fabrication des mousses vers le cyclopentane et la technologie à l’</w:t>
      </w:r>
      <w:proofErr w:type="spellStart"/>
      <w:r>
        <w:t>hydrofluoroléfine</w:t>
      </w:r>
      <w:proofErr w:type="spellEnd"/>
      <w:r>
        <w:t>, approuvées dans le cadre de la deuxième tranche (décembre 2019), ont été retardées en raison de la pandémie de COVID-19.</w:t>
      </w:r>
    </w:p>
    <w:p w14:paraId="4C661982" w14:textId="650ED010" w:rsidR="004503C6" w:rsidRPr="00EB69F3" w:rsidRDefault="00C7207B" w:rsidP="00365A6F">
      <w:pPr>
        <w:pStyle w:val="Heading1"/>
      </w:pPr>
      <w:r>
        <w:t xml:space="preserve">La phase II du PGEH comprenait le financement pour la conversion de 43 entreprises de fabrication des mousses avec un total de 64 chaînes de </w:t>
      </w:r>
      <w:proofErr w:type="gramStart"/>
      <w:r>
        <w:t>fabrication;</w:t>
      </w:r>
      <w:proofErr w:type="gramEnd"/>
      <w:r>
        <w:t xml:space="preserve"> à ce jour, seules deux entreprises de fabrication des mousses ont signé des accords de subvention en cascade pour la conversion et une troisième entreprise a indiqué son intérêt à participer au projet. La pandémie de COVID-19 et la disponibilité des polyols </w:t>
      </w:r>
      <w:proofErr w:type="spellStart"/>
      <w:r>
        <w:t>prémélangés</w:t>
      </w:r>
      <w:proofErr w:type="spellEnd"/>
      <w:r>
        <w:t xml:space="preserve"> expansés à l’eau contribuent probablement à l’hésitation des entreprises à participer au projet. Le gouvernement du Viet Nam et la Banque mondiale ont reconnu le défi pour augmenter le niveau de participation et, en prenant note de l’interdiction du 1</w:t>
      </w:r>
      <w:r>
        <w:rPr>
          <w:vertAlign w:val="superscript"/>
        </w:rPr>
        <w:t>er</w:t>
      </w:r>
      <w:r>
        <w:t xml:space="preserve"> janvier 2022, ont convenu d’entreprendre des efforts supplémentaires par l’engagement direct avec le secteur, y compris des visites sur le terrain, des ateliers et </w:t>
      </w:r>
      <w:r>
        <w:lastRenderedPageBreak/>
        <w:t>d’autres moyens pour encourager plus d’entreprises de fabrication des mousses parmi les 40 restantes à participer au PGEH. La Banque mondiale renverra au Fonds multilatéral les fonds associés à la conversion des entreprises qui se sont converties aux technologies expansées à l’eau ou autres avec leurs propres ressources.</w:t>
      </w:r>
    </w:p>
    <w:p w14:paraId="76D9E2C1" w14:textId="6EA84808" w:rsidR="005E22D4" w:rsidRPr="00EB69F3" w:rsidRDefault="00B33CA2" w:rsidP="00C301FB">
      <w:pPr>
        <w:pStyle w:val="Heading1"/>
      </w:pPr>
      <w:r>
        <w:t>Le Secrétariat a noté le temps limité pour la conversion des quatre entreprises de fabrication de climatiseurs avant l’interdiction du 1</w:t>
      </w:r>
      <w:r>
        <w:rPr>
          <w:vertAlign w:val="superscript"/>
        </w:rPr>
        <w:t>er</w:t>
      </w:r>
      <w:r>
        <w:t xml:space="preserve"> janvier 2022 sur l’importation et la fabrication d’unités de climatisation fonctionnant au HCFC-22, et que le financement associé à la conversion des entreprises de fabrication de climatiseurs qui ne participaient pas au PGEH devrait être renvoyé au Fonds multilatéral. La Banque mondiale a confirmé que les entreprises demeurent engagées à la conversion vers le HFC-</w:t>
      </w:r>
      <w:proofErr w:type="gramStart"/>
      <w:r>
        <w:t>32;</w:t>
      </w:r>
      <w:proofErr w:type="gramEnd"/>
      <w:r>
        <w:t xml:space="preserve"> les propositions de sous-projets pour trois des entreprises seront présentées ou présentées à nouveau à la PMU en juin 2021, tandis que la quatrième entreprise devrait confirmer sa participation d’ici septembre 2021. </w:t>
      </w:r>
    </w:p>
    <w:p w14:paraId="5D918FB8" w14:textId="1971FC8A" w:rsidR="00B33EAB" w:rsidRPr="00E751DF" w:rsidRDefault="00AF5F25" w:rsidP="00B33CA2">
      <w:pPr>
        <w:pStyle w:val="Heading1"/>
      </w:pPr>
      <w:r>
        <w:t xml:space="preserve">Trois des quatre entreprises de fabrication de climatiseurs ont participé à un projet financé par le Programme de Kigali pour l’efficacité énergétique afin d’augmenter leur capacité à concevoir et commercialiser des unités à onduleur fonctionnant au HFC-32 avec les conversions prévues de leurs chaînes de </w:t>
      </w:r>
      <w:proofErr w:type="gramStart"/>
      <w:r>
        <w:t>fabrication;</w:t>
      </w:r>
      <w:proofErr w:type="gramEnd"/>
      <w:r>
        <w:t xml:space="preserve"> la quatrième entreprise possédait déjà une technologie à onduleur et le savoir-faire connexe. Les trois entreprises devraient commencer à fabriquer des unités de climatisation à vitesse fixe fonctionnant au HFC-32 et passeront subséquemment à la fabrication d’unités de climatisation à onduleur fonctionnant au HFC-</w:t>
      </w:r>
      <w:proofErr w:type="gramStart"/>
      <w:r>
        <w:t>32;</w:t>
      </w:r>
      <w:proofErr w:type="gramEnd"/>
      <w:r>
        <w:t xml:space="preserve"> l’échéancier précisant le moment où ces entreprises seront en mesure de le faire n’est pas encore clair. Malgré le retard dans l’achèvement des conversions, l’interdiction sur l’importation et la fabrication d’unités de climatisation fonctionnant au HCFC-22 entrera en vigueur le 1</w:t>
      </w:r>
      <w:r>
        <w:rPr>
          <w:vertAlign w:val="superscript"/>
        </w:rPr>
        <w:t>er</w:t>
      </w:r>
      <w:r>
        <w:t xml:space="preserve"> janvier 2022.  </w:t>
      </w:r>
    </w:p>
    <w:p w14:paraId="1C9EAADE" w14:textId="77777777" w:rsidR="00D8105A" w:rsidRPr="00E751DF" w:rsidRDefault="00D8105A" w:rsidP="00545332">
      <w:pPr>
        <w:keepNext/>
        <w:rPr>
          <w:u w:val="single"/>
        </w:rPr>
      </w:pPr>
      <w:r>
        <w:rPr>
          <w:u w:val="single"/>
        </w:rPr>
        <w:t>Mise en œuvre de la politique sur les sexes</w:t>
      </w:r>
      <w:r w:rsidRPr="00CD7689">
        <w:rPr>
          <w:rStyle w:val="FootnoteReference"/>
        </w:rPr>
        <w:footnoteReference w:id="6"/>
      </w:r>
    </w:p>
    <w:p w14:paraId="0E0DB8DB" w14:textId="77777777" w:rsidR="00D8105A" w:rsidRPr="00E751DF" w:rsidRDefault="00D8105A" w:rsidP="00545332">
      <w:pPr>
        <w:keepNext/>
      </w:pPr>
    </w:p>
    <w:p w14:paraId="7A525B96" w14:textId="6EB0DD0A" w:rsidR="004004A2" w:rsidRPr="00E751DF" w:rsidRDefault="004004A2" w:rsidP="00CD7689">
      <w:pPr>
        <w:pStyle w:val="Heading1"/>
      </w:pPr>
      <w:r>
        <w:t>La Banque mondiale a précisé que la phase II du PGEH ne comprenait pas de cadre formel des résultats sur les questions d’égalité entre les sexes, puisqu’elle a été conçue et approuvée avant la décision 84/92. La Banque mondiale discutera avec le gouvernement et la PMU de la collecte de renseignements sur la parité homme-femme à partir des listes des participants aux ateliers ainsi que lors de l’examen des sous</w:t>
      </w:r>
      <w:r w:rsidR="00EE23BD">
        <w:noBreakHyphen/>
      </w:r>
      <w:r>
        <w:t xml:space="preserve">projets présentés par les entreprises souhaitant participer au PGEH, de sorte que cette pratique puisse être intégrée au manuel de mise en œuvre du projet. </w:t>
      </w:r>
    </w:p>
    <w:p w14:paraId="2C3847DC" w14:textId="77777777" w:rsidR="00D8105A" w:rsidRPr="00E751DF" w:rsidRDefault="00D8105A" w:rsidP="00D8105A">
      <w:pPr>
        <w:keepNext/>
        <w:keepLines/>
        <w:rPr>
          <w:u w:val="single"/>
        </w:rPr>
      </w:pPr>
      <w:r>
        <w:rPr>
          <w:u w:val="single"/>
        </w:rPr>
        <w:t xml:space="preserve">Durabilité de l’élimination des HCFC </w:t>
      </w:r>
    </w:p>
    <w:p w14:paraId="06298AC8" w14:textId="77777777" w:rsidR="00D8105A" w:rsidRPr="00E751DF" w:rsidRDefault="00D8105A" w:rsidP="00D8105A">
      <w:pPr>
        <w:rPr>
          <w:u w:val="single"/>
        </w:rPr>
      </w:pPr>
    </w:p>
    <w:p w14:paraId="0C2BB40E" w14:textId="05FCEC20" w:rsidR="00863AC0" w:rsidRPr="00E751DF" w:rsidRDefault="00DC67FB" w:rsidP="00863AC0">
      <w:pPr>
        <w:pStyle w:val="Heading1"/>
        <w:numPr>
          <w:ilvl w:val="0"/>
          <w:numId w:val="1"/>
        </w:numPr>
      </w:pPr>
      <w:r>
        <w:t>Le gouvernement du Viet Nam possède un système de quotas et de permis exécutoire et il a mis en œuvre une interdiction sur l’importation et l’exportation de HCFC-141b (en vigueur depuis le 1</w:t>
      </w:r>
      <w:r>
        <w:rPr>
          <w:vertAlign w:val="superscript"/>
        </w:rPr>
        <w:t>er</w:t>
      </w:r>
      <w:r>
        <w:t xml:space="preserve"> janvier 2015). Les interdictions à venir sur l’importation de HCFC-141b contenu dans les polyols </w:t>
      </w:r>
      <w:proofErr w:type="spellStart"/>
      <w:r>
        <w:t>prémélangés</w:t>
      </w:r>
      <w:proofErr w:type="spellEnd"/>
      <w:r>
        <w:t xml:space="preserve"> ainsi que sur l’importation et la fabrication d’unités de climatisation fonctionnant au HCFC-22 garantiront la durabilité de l’élimination dans les secteurs de fabrication des mousses et des climatiseurs. La PMU a élaboré un manuel exhaustif de mise en œuvre du projet qui précise les exigences et les processus des conversions durables. Les activités d’assistance technique prévues pour former les parties prenantes, y compris les techniciens, les formateurs, les décideurs politiques et les agents des douanes, aideront également à garantir la durabilité de l’élimination. </w:t>
      </w:r>
    </w:p>
    <w:p w14:paraId="47B65338" w14:textId="77777777" w:rsidR="00D8105A" w:rsidRPr="00E751DF" w:rsidRDefault="00D8105A" w:rsidP="00D8105A">
      <w:pPr>
        <w:rPr>
          <w:u w:val="single"/>
        </w:rPr>
      </w:pPr>
      <w:r>
        <w:rPr>
          <w:u w:val="single"/>
        </w:rPr>
        <w:t xml:space="preserve">Conclusion </w:t>
      </w:r>
    </w:p>
    <w:p w14:paraId="38A372BF" w14:textId="77777777" w:rsidR="00D8105A" w:rsidRPr="00E751DF" w:rsidRDefault="00D8105A" w:rsidP="00D8105A"/>
    <w:p w14:paraId="7175ED57" w14:textId="7BE92C60" w:rsidR="00D8105A" w:rsidRPr="00E751DF" w:rsidRDefault="00863AC0" w:rsidP="00E212D4">
      <w:pPr>
        <w:pStyle w:val="Heading1"/>
      </w:pPr>
      <w:r>
        <w:t xml:space="preserve">La consommation vérifiée du pays pour 2019 et 2020 respectait les cibles établies dans l’accord entre le pays et le Comité exécutif. Le système de quotas et de permis sur l’importation est fonctionnel et favorisera les réductions de consommation des HCFC, en accord avec le calendrier d’élimination du Protocole de Montréal. Comme la deuxième tranche de la phase II du PGEH a été approuvée peu de temps </w:t>
      </w:r>
      <w:r>
        <w:lastRenderedPageBreak/>
        <w:t>avant l’éclosion de la pandémie de COVID-19, les progrès qui ont pu être réalisés pour les conversions de fabrication prévues sont limités. Néanmoins, la consommation de HCFC-22 a diminué considérablement entre 2019 et 2020 pour respecter les cibles de contrôle du Protocole de Montréal. Les progrès devraient se poursuivre en raison de l’accent mis sur l’accélération des sous-projets de conversion pendant la troisième tranche. En dépit des soldes de la deuxième tranche, le Secrétariat considère que la mise en œuvre des interdictions du 1</w:t>
      </w:r>
      <w:r>
        <w:rPr>
          <w:vertAlign w:val="superscript"/>
        </w:rPr>
        <w:t>er</w:t>
      </w:r>
      <w:r>
        <w:t xml:space="preserve"> janvier 2022 sur l’importation de HCFC-141b contenu dans les polyols </w:t>
      </w:r>
      <w:proofErr w:type="spellStart"/>
      <w:r>
        <w:t>prémélangés</w:t>
      </w:r>
      <w:proofErr w:type="spellEnd"/>
      <w:r>
        <w:t xml:space="preserve"> ainsi que sur la fabrication et l’importation d’unités de climatisation fonctionnant au HCFC-22 procurent une urgence à approuver la troisième tranche.</w:t>
      </w:r>
    </w:p>
    <w:p w14:paraId="458D9EBA" w14:textId="2D87B74D" w:rsidR="00D8105A" w:rsidRPr="00E751DF" w:rsidRDefault="00D8105A" w:rsidP="00D8105A">
      <w:r>
        <w:rPr>
          <w:b/>
        </w:rPr>
        <w:t>RECOMMANDATION</w:t>
      </w:r>
    </w:p>
    <w:p w14:paraId="650F26FA" w14:textId="77777777" w:rsidR="00D8105A" w:rsidRPr="00E751DF" w:rsidRDefault="00D8105A" w:rsidP="00D8105A"/>
    <w:p w14:paraId="1D10CF26" w14:textId="0C5357E5" w:rsidR="000D2972" w:rsidRPr="00E751DF" w:rsidRDefault="00D8105A" w:rsidP="0090065F">
      <w:pPr>
        <w:pStyle w:val="Heading1"/>
        <w:numPr>
          <w:ilvl w:val="0"/>
          <w:numId w:val="1"/>
        </w:numPr>
      </w:pPr>
      <w:r>
        <w:t>Le Secrétariat du Fonds r</w:t>
      </w:r>
      <w:r w:rsidR="007F46F2">
        <w:t>ecommande au Comité exécutif de </w:t>
      </w:r>
      <w:r>
        <w:t>:</w:t>
      </w:r>
    </w:p>
    <w:p w14:paraId="503613FD" w14:textId="31CF7237" w:rsidR="000D2972" w:rsidRPr="00E751DF" w:rsidRDefault="000D2972" w:rsidP="000D2972">
      <w:pPr>
        <w:pStyle w:val="Heading2"/>
      </w:pPr>
      <w:r>
        <w:t xml:space="preserve">Prendre note du rapport périodique sur la mise en œuvre de la deuxième tranche de la phase II du plan de gestion de l’élimination des HCFC (PGEH) du Viet </w:t>
      </w:r>
      <w:proofErr w:type="gramStart"/>
      <w:r>
        <w:t>Nam;</w:t>
      </w:r>
      <w:proofErr w:type="gramEnd"/>
    </w:p>
    <w:p w14:paraId="634E25FB" w14:textId="3AFAA40B" w:rsidR="000D2972" w:rsidRPr="00E751DF" w:rsidRDefault="000D2972" w:rsidP="000D2972">
      <w:pPr>
        <w:pStyle w:val="Heading2"/>
      </w:pPr>
      <w:r>
        <w:t>Prendre note du retour lors de la 87</w:t>
      </w:r>
      <w:r>
        <w:rPr>
          <w:vertAlign w:val="superscript"/>
        </w:rPr>
        <w:t>e</w:t>
      </w:r>
      <w:r>
        <w:t xml:space="preserve"> réunion de 613 568 $ US, plus les coûts d’appui d’agence de 42 950 $ US de la Banque mondiale, associés à l’entreprise de fabrication de mousse de polystyrène extrudé Phu </w:t>
      </w:r>
      <w:proofErr w:type="spellStart"/>
      <w:r>
        <w:t>Vuong</w:t>
      </w:r>
      <w:proofErr w:type="spellEnd"/>
      <w:r>
        <w:t xml:space="preserve"> Corporation </w:t>
      </w:r>
      <w:proofErr w:type="spellStart"/>
      <w:r>
        <w:t>Industry</w:t>
      </w:r>
      <w:proofErr w:type="spellEnd"/>
      <w:r>
        <w:t>, qui a été jugée inadmissible au financement.</w:t>
      </w:r>
    </w:p>
    <w:p w14:paraId="7E35C709" w14:textId="12E91169" w:rsidR="00D8105A" w:rsidRPr="00E751DF" w:rsidRDefault="00AB58A0" w:rsidP="0090065F">
      <w:pPr>
        <w:pStyle w:val="Heading1"/>
        <w:numPr>
          <w:ilvl w:val="0"/>
          <w:numId w:val="1"/>
        </w:numPr>
      </w:pPr>
      <w:r>
        <w:t>Le Secrétariat du Fonds recommande en outre l’approbation générale de la troisième tranche de la phase II du PGEH pour le Viet Nam, et le plan de mise en œuvre de la tranche correspondante pour 2021</w:t>
      </w:r>
      <w:r w:rsidR="00EE23BD">
        <w:noBreakHyphen/>
      </w:r>
      <w:r>
        <w:t>2022 au niveau de financement ind</w:t>
      </w:r>
      <w:r w:rsidR="007F46F2">
        <w:t>iqué dans le tableau ci-dessous </w:t>
      </w:r>
      <w: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D8105A" w:rsidRPr="00E751DF" w14:paraId="0661D380" w14:textId="77777777" w:rsidTr="0089179A">
        <w:tc>
          <w:tcPr>
            <w:tcW w:w="540" w:type="dxa"/>
          </w:tcPr>
          <w:p w14:paraId="7021AEF6" w14:textId="77777777" w:rsidR="00D8105A" w:rsidRPr="00E751DF" w:rsidRDefault="00D8105A" w:rsidP="0089179A">
            <w:pPr>
              <w:jc w:val="center"/>
              <w:rPr>
                <w:b/>
                <w:bCs/>
                <w:sz w:val="20"/>
                <w:szCs w:val="20"/>
              </w:rPr>
            </w:pPr>
          </w:p>
        </w:tc>
        <w:tc>
          <w:tcPr>
            <w:tcW w:w="4320" w:type="dxa"/>
          </w:tcPr>
          <w:p w14:paraId="5741F599" w14:textId="77777777" w:rsidR="00D8105A" w:rsidRPr="00E751DF" w:rsidRDefault="00D8105A" w:rsidP="0089179A">
            <w:pPr>
              <w:jc w:val="center"/>
              <w:rPr>
                <w:b/>
                <w:bCs/>
                <w:sz w:val="20"/>
                <w:szCs w:val="20"/>
              </w:rPr>
            </w:pPr>
            <w:r>
              <w:rPr>
                <w:b/>
                <w:bCs/>
                <w:sz w:val="20"/>
                <w:szCs w:val="20"/>
              </w:rPr>
              <w:t>Titre du projet</w:t>
            </w:r>
          </w:p>
        </w:tc>
        <w:tc>
          <w:tcPr>
            <w:tcW w:w="1461" w:type="dxa"/>
            <w:tcMar>
              <w:left w:w="29" w:type="dxa"/>
              <w:right w:w="29" w:type="dxa"/>
            </w:tcMar>
          </w:tcPr>
          <w:p w14:paraId="1877CD85" w14:textId="41DAD126" w:rsidR="00D8105A" w:rsidRPr="00E751DF" w:rsidRDefault="00D8105A" w:rsidP="0089179A">
            <w:pPr>
              <w:jc w:val="center"/>
              <w:rPr>
                <w:b/>
                <w:bCs/>
                <w:sz w:val="20"/>
                <w:szCs w:val="20"/>
              </w:rPr>
            </w:pPr>
            <w:r>
              <w:rPr>
                <w:b/>
                <w:bCs/>
                <w:sz w:val="20"/>
                <w:szCs w:val="20"/>
              </w:rPr>
              <w:t>Financement du projet ($ US)</w:t>
            </w:r>
          </w:p>
        </w:tc>
        <w:tc>
          <w:tcPr>
            <w:tcW w:w="1461" w:type="dxa"/>
            <w:tcMar>
              <w:left w:w="29" w:type="dxa"/>
              <w:right w:w="29" w:type="dxa"/>
            </w:tcMar>
          </w:tcPr>
          <w:p w14:paraId="4714201D" w14:textId="6001363C" w:rsidR="00D8105A" w:rsidRPr="00E751DF" w:rsidRDefault="00D8105A" w:rsidP="0089179A">
            <w:pPr>
              <w:jc w:val="center"/>
              <w:rPr>
                <w:b/>
                <w:bCs/>
                <w:sz w:val="20"/>
                <w:szCs w:val="20"/>
              </w:rPr>
            </w:pPr>
            <w:r>
              <w:rPr>
                <w:b/>
                <w:bCs/>
                <w:sz w:val="20"/>
                <w:szCs w:val="20"/>
              </w:rPr>
              <w:t>Coûts d’appui ($ US)</w:t>
            </w:r>
          </w:p>
        </w:tc>
        <w:tc>
          <w:tcPr>
            <w:tcW w:w="1461" w:type="dxa"/>
            <w:tcMar>
              <w:left w:w="29" w:type="dxa"/>
              <w:right w:w="29" w:type="dxa"/>
            </w:tcMar>
          </w:tcPr>
          <w:p w14:paraId="6A20C63C" w14:textId="77777777" w:rsidR="00D8105A" w:rsidRPr="00E751DF" w:rsidRDefault="00D8105A" w:rsidP="0089179A">
            <w:pPr>
              <w:jc w:val="center"/>
              <w:rPr>
                <w:b/>
                <w:bCs/>
                <w:sz w:val="20"/>
                <w:szCs w:val="20"/>
              </w:rPr>
            </w:pPr>
            <w:r>
              <w:rPr>
                <w:b/>
                <w:bCs/>
                <w:sz w:val="20"/>
                <w:szCs w:val="20"/>
              </w:rPr>
              <w:t>Agence d’exécution</w:t>
            </w:r>
          </w:p>
        </w:tc>
      </w:tr>
      <w:tr w:rsidR="00D8105A" w:rsidRPr="00E751DF" w14:paraId="463A4225" w14:textId="77777777" w:rsidTr="0089179A">
        <w:tc>
          <w:tcPr>
            <w:tcW w:w="540" w:type="dxa"/>
          </w:tcPr>
          <w:p w14:paraId="71FB97F5" w14:textId="77777777" w:rsidR="00D8105A" w:rsidRPr="00E751DF" w:rsidRDefault="00D8105A" w:rsidP="0089179A">
            <w:pPr>
              <w:rPr>
                <w:sz w:val="20"/>
                <w:szCs w:val="20"/>
              </w:rPr>
            </w:pPr>
            <w:r>
              <w:rPr>
                <w:sz w:val="20"/>
                <w:szCs w:val="20"/>
              </w:rPr>
              <w:t>(a)</w:t>
            </w:r>
          </w:p>
        </w:tc>
        <w:tc>
          <w:tcPr>
            <w:tcW w:w="4320" w:type="dxa"/>
          </w:tcPr>
          <w:p w14:paraId="5C0196A0" w14:textId="2F5C2A3D" w:rsidR="00D8105A" w:rsidRPr="00E751DF" w:rsidRDefault="00D8105A" w:rsidP="0089179A">
            <w:pPr>
              <w:rPr>
                <w:sz w:val="20"/>
                <w:szCs w:val="20"/>
              </w:rPr>
            </w:pPr>
            <w:r>
              <w:rPr>
                <w:sz w:val="20"/>
                <w:szCs w:val="20"/>
              </w:rPr>
              <w:t>Plan de gestion de l’élimination des HCFC (phase II, troisième tranche)</w:t>
            </w:r>
          </w:p>
        </w:tc>
        <w:tc>
          <w:tcPr>
            <w:tcW w:w="1461" w:type="dxa"/>
          </w:tcPr>
          <w:p w14:paraId="43FC6572" w14:textId="7A1CFC1C" w:rsidR="00D8105A" w:rsidRPr="00E751DF" w:rsidRDefault="00CC3A7B" w:rsidP="0089179A">
            <w:pPr>
              <w:jc w:val="right"/>
              <w:rPr>
                <w:sz w:val="20"/>
                <w:szCs w:val="20"/>
                <w:highlight w:val="cyan"/>
              </w:rPr>
            </w:pPr>
            <w:r>
              <w:rPr>
                <w:sz w:val="20"/>
                <w:szCs w:val="20"/>
              </w:rPr>
              <w:t>3 781 257</w:t>
            </w:r>
          </w:p>
        </w:tc>
        <w:tc>
          <w:tcPr>
            <w:tcW w:w="1461" w:type="dxa"/>
          </w:tcPr>
          <w:p w14:paraId="44CCA0C7" w14:textId="1C7D9686" w:rsidR="00D8105A" w:rsidRPr="00E751DF" w:rsidRDefault="00CC3A7B" w:rsidP="0089179A">
            <w:pPr>
              <w:jc w:val="right"/>
            </w:pPr>
            <w:r>
              <w:rPr>
                <w:sz w:val="20"/>
                <w:szCs w:val="20"/>
              </w:rPr>
              <w:t>264 688</w:t>
            </w:r>
          </w:p>
        </w:tc>
        <w:tc>
          <w:tcPr>
            <w:tcW w:w="1461" w:type="dxa"/>
          </w:tcPr>
          <w:p w14:paraId="7940CE60" w14:textId="47DE7AB1" w:rsidR="00D8105A" w:rsidRPr="00E751DF" w:rsidRDefault="00CC3A7B" w:rsidP="0089179A">
            <w:pPr>
              <w:jc w:val="center"/>
              <w:rPr>
                <w:sz w:val="20"/>
                <w:szCs w:val="20"/>
              </w:rPr>
            </w:pPr>
            <w:r>
              <w:rPr>
                <w:sz w:val="20"/>
                <w:szCs w:val="20"/>
              </w:rPr>
              <w:t>Banque mondiale</w:t>
            </w:r>
          </w:p>
        </w:tc>
      </w:tr>
      <w:tr w:rsidR="00D8105A" w:rsidRPr="00E751DF" w14:paraId="1A15ADE4" w14:textId="77777777" w:rsidTr="0089179A">
        <w:tc>
          <w:tcPr>
            <w:tcW w:w="540" w:type="dxa"/>
          </w:tcPr>
          <w:p w14:paraId="4408564A" w14:textId="77777777" w:rsidR="00D8105A" w:rsidRPr="00E751DF" w:rsidRDefault="00D8105A" w:rsidP="0089179A">
            <w:pPr>
              <w:rPr>
                <w:sz w:val="20"/>
                <w:szCs w:val="20"/>
              </w:rPr>
            </w:pPr>
            <w:r>
              <w:rPr>
                <w:sz w:val="20"/>
                <w:szCs w:val="20"/>
              </w:rPr>
              <w:t>(b)</w:t>
            </w:r>
          </w:p>
        </w:tc>
        <w:tc>
          <w:tcPr>
            <w:tcW w:w="4320" w:type="dxa"/>
          </w:tcPr>
          <w:p w14:paraId="0EE32E5A" w14:textId="17AC2EA7" w:rsidR="00D8105A" w:rsidRPr="00E751DF" w:rsidRDefault="00D8105A" w:rsidP="0089179A">
            <w:pPr>
              <w:rPr>
                <w:sz w:val="20"/>
                <w:szCs w:val="20"/>
              </w:rPr>
            </w:pPr>
            <w:r>
              <w:rPr>
                <w:sz w:val="20"/>
                <w:szCs w:val="20"/>
              </w:rPr>
              <w:t>Plan de gestion de l’élimination des HCFC (phase II, troisième tranche)</w:t>
            </w:r>
          </w:p>
        </w:tc>
        <w:tc>
          <w:tcPr>
            <w:tcW w:w="1461" w:type="dxa"/>
          </w:tcPr>
          <w:p w14:paraId="3C75E187" w14:textId="31331E83" w:rsidR="00D8105A" w:rsidRPr="00E751DF" w:rsidRDefault="00CC3A7B" w:rsidP="0089179A">
            <w:pPr>
              <w:jc w:val="right"/>
              <w:rPr>
                <w:sz w:val="20"/>
                <w:szCs w:val="20"/>
                <w:highlight w:val="cyan"/>
              </w:rPr>
            </w:pPr>
            <w:r>
              <w:rPr>
                <w:sz w:val="20"/>
                <w:szCs w:val="20"/>
              </w:rPr>
              <w:t>26 400</w:t>
            </w:r>
          </w:p>
        </w:tc>
        <w:tc>
          <w:tcPr>
            <w:tcW w:w="1461" w:type="dxa"/>
          </w:tcPr>
          <w:p w14:paraId="1159BFAD" w14:textId="39833CDA" w:rsidR="00D8105A" w:rsidRPr="00E751DF" w:rsidRDefault="00CC3A7B" w:rsidP="0089179A">
            <w:pPr>
              <w:jc w:val="right"/>
            </w:pPr>
            <w:r>
              <w:rPr>
                <w:sz w:val="20"/>
                <w:szCs w:val="20"/>
              </w:rPr>
              <w:t>3 432</w:t>
            </w:r>
          </w:p>
        </w:tc>
        <w:tc>
          <w:tcPr>
            <w:tcW w:w="1461" w:type="dxa"/>
          </w:tcPr>
          <w:p w14:paraId="3B1B1C33" w14:textId="300D15BD" w:rsidR="00D8105A" w:rsidRPr="00E751DF" w:rsidRDefault="00CC3A7B" w:rsidP="0089179A">
            <w:pPr>
              <w:jc w:val="center"/>
              <w:rPr>
                <w:sz w:val="20"/>
                <w:szCs w:val="20"/>
              </w:rPr>
            </w:pPr>
            <w:r>
              <w:rPr>
                <w:sz w:val="20"/>
                <w:szCs w:val="20"/>
              </w:rPr>
              <w:t>Japon</w:t>
            </w:r>
          </w:p>
        </w:tc>
      </w:tr>
    </w:tbl>
    <w:p w14:paraId="610E66E8" w14:textId="008EB80A" w:rsidR="0090065F" w:rsidRPr="00E751DF" w:rsidRDefault="0090065F" w:rsidP="00D8105A"/>
    <w:p w14:paraId="7E36FE5E" w14:textId="77777777" w:rsidR="0090065F" w:rsidRPr="00E751DF" w:rsidRDefault="0090065F" w:rsidP="00D810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D8105A" w:rsidRPr="00E751DF" w14:paraId="1774D89A" w14:textId="77777777" w:rsidTr="0089179A">
        <w:tc>
          <w:tcPr>
            <w:tcW w:w="1871" w:type="dxa"/>
          </w:tcPr>
          <w:p w14:paraId="54B0F3D7" w14:textId="77777777" w:rsidR="00D8105A" w:rsidRPr="00E751DF" w:rsidRDefault="00D8105A" w:rsidP="0089179A"/>
        </w:tc>
        <w:tc>
          <w:tcPr>
            <w:tcW w:w="1872" w:type="dxa"/>
          </w:tcPr>
          <w:p w14:paraId="23875B0B" w14:textId="77777777" w:rsidR="00D8105A" w:rsidRPr="00E751DF" w:rsidRDefault="00D8105A" w:rsidP="0089179A"/>
        </w:tc>
        <w:tc>
          <w:tcPr>
            <w:tcW w:w="1872" w:type="dxa"/>
            <w:tcBorders>
              <w:bottom w:val="single" w:sz="4" w:space="0" w:color="auto"/>
            </w:tcBorders>
          </w:tcPr>
          <w:p w14:paraId="1ABC89F8" w14:textId="77777777" w:rsidR="00D8105A" w:rsidRPr="00E751DF" w:rsidRDefault="00D8105A" w:rsidP="0089179A"/>
        </w:tc>
        <w:tc>
          <w:tcPr>
            <w:tcW w:w="1872" w:type="dxa"/>
          </w:tcPr>
          <w:p w14:paraId="4E05A1D2" w14:textId="77777777" w:rsidR="00D8105A" w:rsidRPr="00E751DF" w:rsidRDefault="00D8105A" w:rsidP="0089179A"/>
        </w:tc>
        <w:tc>
          <w:tcPr>
            <w:tcW w:w="1873" w:type="dxa"/>
          </w:tcPr>
          <w:p w14:paraId="491DCE01" w14:textId="77777777" w:rsidR="00D8105A" w:rsidRPr="00E751DF" w:rsidRDefault="00D8105A" w:rsidP="0089179A"/>
        </w:tc>
      </w:tr>
    </w:tbl>
    <w:p w14:paraId="5D83E6D4" w14:textId="77777777" w:rsidR="00D8105A" w:rsidRPr="00E751DF" w:rsidRDefault="00D8105A" w:rsidP="003B7E8D"/>
    <w:sectPr w:rsidR="00D8105A" w:rsidRPr="00E751DF"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9B6E2" w14:textId="77777777" w:rsidR="00772025" w:rsidRDefault="00772025" w:rsidP="004A504B">
      <w:r>
        <w:separator/>
      </w:r>
    </w:p>
  </w:endnote>
  <w:endnote w:type="continuationSeparator" w:id="0">
    <w:p w14:paraId="079D5CA4" w14:textId="77777777" w:rsidR="00772025" w:rsidRDefault="00772025"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6A060" w14:textId="12D38EA4" w:rsidR="0098141F" w:rsidRPr="0033525D" w:rsidRDefault="0098141F">
    <w:pPr>
      <w:jc w:val="center"/>
    </w:pPr>
    <w:r>
      <w:fldChar w:fldCharType="begin"/>
    </w:r>
    <w:r>
      <w:instrText xml:space="preserve"> PAGE </w:instrText>
    </w:r>
    <w:r>
      <w:fldChar w:fldCharType="separate"/>
    </w:r>
    <w:r w:rsidR="00211159">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B0DA5" w14:textId="0B9807FB" w:rsidR="0098141F" w:rsidRPr="0033525D" w:rsidRDefault="0098141F">
    <w:pPr>
      <w:jc w:val="center"/>
    </w:pPr>
    <w:r>
      <w:fldChar w:fldCharType="begin"/>
    </w:r>
    <w:r>
      <w:instrText xml:space="preserve"> PAGE </w:instrText>
    </w:r>
    <w:r>
      <w:fldChar w:fldCharType="separate"/>
    </w:r>
    <w:r w:rsidR="00211159">
      <w:rPr>
        <w:noProof/>
      </w:rPr>
      <w:t>9</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9EA24" w14:textId="3A29CDDE" w:rsidR="0098141F" w:rsidRDefault="0098141F" w:rsidP="000551C8">
    <w:pPr>
      <w:pBdr>
        <w:top w:val="single" w:sz="4" w:space="1" w:color="auto"/>
        <w:left w:val="single" w:sz="4" w:space="4" w:color="auto"/>
        <w:bottom w:val="single" w:sz="4" w:space="1" w:color="auto"/>
        <w:right w:val="single" w:sz="4" w:space="4" w:color="auto"/>
      </w:pBdr>
      <w:jc w:val="center"/>
      <w:rPr>
        <w:sz w:val="18"/>
        <w:szCs w:val="18"/>
      </w:rPr>
    </w:pPr>
    <w:r>
      <w:rPr>
        <w:sz w:val="18"/>
        <w:szCs w:val="18"/>
      </w:rPr>
      <w:t xml:space="preserve">Les documents de </w:t>
    </w:r>
    <w:proofErr w:type="spellStart"/>
    <w:r>
      <w:rPr>
        <w:sz w:val="18"/>
        <w:szCs w:val="18"/>
      </w:rPr>
      <w:t>présession</w:t>
    </w:r>
    <w:proofErr w:type="spellEnd"/>
    <w:r>
      <w:rPr>
        <w:sz w:val="18"/>
        <w:szCs w:val="18"/>
      </w:rPr>
      <w:t xml:space="preserve"> du Comité exécutif du Fonds multilatéral aux fins d’application du Protocole de </w:t>
    </w:r>
    <w:r w:rsidR="000551C8">
      <w:rPr>
        <w:sz w:val="18"/>
        <w:szCs w:val="18"/>
      </w:rPr>
      <w:br/>
    </w:r>
    <w:r>
      <w:rPr>
        <w:sz w:val="18"/>
        <w:szCs w:val="18"/>
      </w:rPr>
      <w:t>Montréal sont présentés sous réserve des décisions pouvant être prises par le Comité exécutif après leur publication.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C6536" w14:textId="77777777" w:rsidR="00772025" w:rsidRDefault="00772025" w:rsidP="004A504B">
      <w:r>
        <w:separator/>
      </w:r>
    </w:p>
  </w:footnote>
  <w:footnote w:type="continuationSeparator" w:id="0">
    <w:p w14:paraId="2A604D32" w14:textId="77777777" w:rsidR="00772025" w:rsidRDefault="00772025" w:rsidP="004A504B">
      <w:r>
        <w:continuationSeparator/>
      </w:r>
    </w:p>
  </w:footnote>
  <w:footnote w:id="1">
    <w:p w14:paraId="7DAAEB3F" w14:textId="390AD2B3" w:rsidR="000551C8" w:rsidRDefault="000551C8" w:rsidP="000551C8">
      <w:pPr>
        <w:pStyle w:val="FootnoteText"/>
      </w:pPr>
      <w:r>
        <w:rPr>
          <w:rStyle w:val="FootnoteReference"/>
        </w:rPr>
        <w:footnoteRef/>
      </w:r>
      <w:r w:rsidRPr="003029F8">
        <w:t xml:space="preserve"> </w:t>
      </w:r>
      <w:r w:rsidRPr="0004647F">
        <w:t>Des réunions en ligne et un processus d’approbation intersessio</w:t>
      </w:r>
      <w:r>
        <w:t xml:space="preserve">ns se tiendront </w:t>
      </w:r>
      <w:r w:rsidRPr="0004647F">
        <w:t>e</w:t>
      </w:r>
      <w:r>
        <w:t>n juin et juillet 2021 à cause du coronaviru</w:t>
      </w:r>
      <w:r w:rsidRPr="0004647F">
        <w:t>s</w:t>
      </w:r>
      <w:r>
        <w:t xml:space="preserve"> (COVID-19)</w:t>
      </w:r>
    </w:p>
    <w:p w14:paraId="6F41EBB4" w14:textId="7877D51B" w:rsidR="007F463C" w:rsidRDefault="007F463C" w:rsidP="000551C8">
      <w:pPr>
        <w:pStyle w:val="FootnoteText"/>
      </w:pPr>
    </w:p>
    <w:p w14:paraId="2837781A" w14:textId="77777777" w:rsidR="007F463C" w:rsidRPr="003029F8" w:rsidRDefault="007F463C" w:rsidP="000551C8">
      <w:pPr>
        <w:pStyle w:val="FootnoteText"/>
      </w:pPr>
    </w:p>
  </w:footnote>
  <w:footnote w:id="2">
    <w:p w14:paraId="6B656E7F" w14:textId="19C88233" w:rsidR="0098141F" w:rsidRPr="007535E4" w:rsidRDefault="0098141F" w:rsidP="00283833">
      <w:pPr>
        <w:pStyle w:val="FootnoteText"/>
      </w:pPr>
      <w:r>
        <w:rPr>
          <w:rStyle w:val="FootnoteReference"/>
        </w:rPr>
        <w:footnoteRef/>
      </w:r>
      <w:r>
        <w:t xml:space="preserve"> Selon la lettre du ministère des ressources naturelles et de l’environnement (MONRE) du Viet Nam, datée du 19</w:t>
      </w:r>
      <w:r w:rsidR="002F0834">
        <w:t> </w:t>
      </w:r>
      <w:r>
        <w:t>avril</w:t>
      </w:r>
      <w:r w:rsidR="002F0834">
        <w:t> </w:t>
      </w:r>
      <w:r>
        <w:t>2021 et adressée à la Banque mondiale.</w:t>
      </w:r>
    </w:p>
  </w:footnote>
  <w:footnote w:id="3">
    <w:p w14:paraId="1114A871" w14:textId="5E74A539" w:rsidR="00AA549D" w:rsidRDefault="00AA549D" w:rsidP="00AA549D">
      <w:pPr>
        <w:pStyle w:val="FootnoteText"/>
      </w:pPr>
      <w:r>
        <w:rPr>
          <w:rStyle w:val="FootnoteReference"/>
        </w:rPr>
        <w:footnoteRef/>
      </w:r>
      <w:r>
        <w:t xml:space="preserve"> Les décaissements déclarés englobent les décaissements faits dans le cadre de la première tranche. </w:t>
      </w:r>
    </w:p>
  </w:footnote>
  <w:footnote w:id="4">
    <w:p w14:paraId="4CDADB3A" w14:textId="3F586DA3" w:rsidR="0098141F" w:rsidRDefault="0098141F">
      <w:pPr>
        <w:pStyle w:val="FootnoteText"/>
      </w:pPr>
      <w:r>
        <w:rPr>
          <w:rStyle w:val="FootnoteReference"/>
        </w:rPr>
        <w:footnoteRef/>
      </w:r>
      <w:r>
        <w:t xml:space="preserve"> Les tranches ne sont pas traitées comme des projets dans le système de la Banque mondiale, ni conservées dans des </w:t>
      </w:r>
      <w:proofErr w:type="spellStart"/>
      <w:r>
        <w:t>sous-comptes</w:t>
      </w:r>
      <w:proofErr w:type="spellEnd"/>
      <w:r>
        <w:t xml:space="preserve"> séparés. En conséquence, la Banque mondiale n’a pas été en mesure d’allouer les activités par tranches et aurait utilisé les soldes restants de la deuxième tranche et le financement de la troisième tranche pour mettre en œuvre les activités prévues pour 2021-2022, dont la valeur est plus élevée que celle de la troisième tranche.  </w:t>
      </w:r>
    </w:p>
  </w:footnote>
  <w:footnote w:id="5">
    <w:p w14:paraId="7275E371" w14:textId="70103AB3" w:rsidR="0098141F" w:rsidRPr="006253DF" w:rsidRDefault="0098141F" w:rsidP="006253DF">
      <w:pPr>
        <w:pStyle w:val="FootnoteText"/>
      </w:pPr>
      <w:r>
        <w:rPr>
          <w:rStyle w:val="FootnoteReference"/>
        </w:rPr>
        <w:footnoteRef/>
      </w:r>
      <w:r>
        <w:t xml:space="preserve"> Une chambre d’essai automatisée dans laquelle un produit subit le choc des changements de températures extrêmes pour tester sa performance. </w:t>
      </w:r>
      <w:r>
        <w:rPr>
          <w:rFonts w:ascii="Arial" w:hAnsi="Arial"/>
          <w:color w:val="000000"/>
          <w:sz w:val="21"/>
          <w:szCs w:val="21"/>
          <w:shd w:val="clear" w:color="auto" w:fill="FFFFFF"/>
        </w:rPr>
        <w:t xml:space="preserve"> </w:t>
      </w:r>
    </w:p>
  </w:footnote>
  <w:footnote w:id="6">
    <w:p w14:paraId="6CC63B67" w14:textId="77777777" w:rsidR="0098141F" w:rsidRPr="00382D3E" w:rsidRDefault="0098141F" w:rsidP="00D8105A">
      <w:pPr>
        <w:pStyle w:val="FootnoteText"/>
      </w:pPr>
      <w:r>
        <w:rPr>
          <w:rStyle w:val="FootnoteReference"/>
        </w:rPr>
        <w:footnoteRef/>
      </w:r>
      <w:r>
        <w:t xml:space="preserve"> La décision 84/92(d) demandait aux agences bilatérale et d’exécution d’appliquer une politique opérationnelle sur l’intégration des sexes tout au long du cycle du projet.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AC17" w14:textId="40BFFA3B" w:rsidR="0098141F" w:rsidRPr="0033525D" w:rsidRDefault="00211159">
    <w:r>
      <w:fldChar w:fldCharType="begin"/>
    </w:r>
    <w:r>
      <w:instrText xml:space="preserve"> DOCPROPERTY "Document number"  \* MERGEFORMAT </w:instrText>
    </w:r>
    <w:r>
      <w:fldChar w:fldCharType="separate"/>
    </w:r>
    <w:r w:rsidR="00D70D7C">
      <w:t>UNEP/</w:t>
    </w:r>
    <w:proofErr w:type="spellStart"/>
    <w:r w:rsidR="00D70D7C">
      <w:t>OzL.Pro</w:t>
    </w:r>
    <w:proofErr w:type="spellEnd"/>
    <w:r w:rsidR="00D70D7C">
      <w:t>/</w:t>
    </w:r>
    <w:proofErr w:type="spellStart"/>
    <w:r w:rsidR="00D70D7C">
      <w:t>ExCom</w:t>
    </w:r>
    <w:proofErr w:type="spellEnd"/>
    <w:r w:rsidR="00D70D7C">
      <w:t>/87/40</w:t>
    </w:r>
    <w:r>
      <w:fldChar w:fldCharType="end"/>
    </w:r>
  </w:p>
  <w:p w14:paraId="2682C280" w14:textId="77777777" w:rsidR="0098141F" w:rsidRPr="0033525D" w:rsidRDefault="0098141F"/>
  <w:p w14:paraId="016C81AB" w14:textId="77777777" w:rsidR="0098141F" w:rsidRPr="0033525D" w:rsidRDefault="0098141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652B" w14:textId="7348AA2D" w:rsidR="0098141F" w:rsidRPr="0033525D" w:rsidRDefault="00211159">
    <w:pPr>
      <w:jc w:val="right"/>
    </w:pPr>
    <w:r>
      <w:fldChar w:fldCharType="begin"/>
    </w:r>
    <w:r>
      <w:instrText xml:space="preserve"> DOCPROPERTY "Document number"  \* MERGEFORMAT </w:instrText>
    </w:r>
    <w:r>
      <w:fldChar w:fldCharType="separate"/>
    </w:r>
    <w:r w:rsidR="00882BA1">
      <w:t>UNEP/</w:t>
    </w:r>
    <w:proofErr w:type="spellStart"/>
    <w:r w:rsidR="00882BA1">
      <w:t>OzL.Pro</w:t>
    </w:r>
    <w:proofErr w:type="spellEnd"/>
    <w:r w:rsidR="00882BA1">
      <w:t>/</w:t>
    </w:r>
    <w:proofErr w:type="spellStart"/>
    <w:r w:rsidR="00882BA1">
      <w:t>ExCom</w:t>
    </w:r>
    <w:proofErr w:type="spellEnd"/>
    <w:r w:rsidR="00882BA1">
      <w:t>/87/40</w:t>
    </w:r>
    <w:r>
      <w:fldChar w:fldCharType="end"/>
    </w:r>
  </w:p>
  <w:p w14:paraId="0725F8F1" w14:textId="77777777" w:rsidR="0098141F" w:rsidRPr="0033525D" w:rsidRDefault="0098141F"/>
  <w:p w14:paraId="56CBF29E" w14:textId="77777777" w:rsidR="0098141F" w:rsidRPr="0033525D" w:rsidRDefault="009814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BA6C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4EF2E33"/>
    <w:multiLevelType w:val="hybridMultilevel"/>
    <w:tmpl w:val="A146A75C"/>
    <w:lvl w:ilvl="0" w:tplc="40603730">
      <w:start w:val="2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F5B6308"/>
    <w:multiLevelType w:val="multilevel"/>
    <w:tmpl w:val="FA66A0DE"/>
    <w:lvl w:ilvl="0">
      <w:start w:val="2"/>
      <w:numFmt w:val="bullet"/>
      <w:pStyle w:val="ListBullet3"/>
      <w:lvlText w:val="-"/>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8"/>
  </w:num>
  <w:num w:numId="20">
    <w:abstractNumId w:val="13"/>
  </w:num>
  <w:num w:numId="21">
    <w:abstractNumId w:val="17"/>
  </w:num>
  <w:num w:numId="22">
    <w:abstractNumId w:val="16"/>
  </w:num>
  <w:num w:numId="2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hideSpellingErrors/>
  <w:hideGrammaticalError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oFAJPtCKstAAAA"/>
  </w:docVars>
  <w:rsids>
    <w:rsidRoot w:val="0098161B"/>
    <w:rsid w:val="000003B3"/>
    <w:rsid w:val="00000FED"/>
    <w:rsid w:val="0000122A"/>
    <w:rsid w:val="0000434E"/>
    <w:rsid w:val="000211A9"/>
    <w:rsid w:val="000213CA"/>
    <w:rsid w:val="0002601D"/>
    <w:rsid w:val="00031260"/>
    <w:rsid w:val="00033116"/>
    <w:rsid w:val="0003681A"/>
    <w:rsid w:val="000372B7"/>
    <w:rsid w:val="000400CE"/>
    <w:rsid w:val="00050F6E"/>
    <w:rsid w:val="00052C77"/>
    <w:rsid w:val="00053D89"/>
    <w:rsid w:val="000551C8"/>
    <w:rsid w:val="00061EC2"/>
    <w:rsid w:val="00066CE8"/>
    <w:rsid w:val="00067B89"/>
    <w:rsid w:val="00070DE0"/>
    <w:rsid w:val="00075F65"/>
    <w:rsid w:val="00080ED0"/>
    <w:rsid w:val="00084E7C"/>
    <w:rsid w:val="00085B8F"/>
    <w:rsid w:val="00090481"/>
    <w:rsid w:val="00095CD0"/>
    <w:rsid w:val="00096BF4"/>
    <w:rsid w:val="000A2592"/>
    <w:rsid w:val="000A2EF4"/>
    <w:rsid w:val="000A3826"/>
    <w:rsid w:val="000A610A"/>
    <w:rsid w:val="000A6C26"/>
    <w:rsid w:val="000C66AF"/>
    <w:rsid w:val="000D00BC"/>
    <w:rsid w:val="000D2972"/>
    <w:rsid w:val="000D3417"/>
    <w:rsid w:val="000D52A4"/>
    <w:rsid w:val="000E07BC"/>
    <w:rsid w:val="000F0C7A"/>
    <w:rsid w:val="000F0EF2"/>
    <w:rsid w:val="000F1CD4"/>
    <w:rsid w:val="000F4103"/>
    <w:rsid w:val="000F70A7"/>
    <w:rsid w:val="001043C0"/>
    <w:rsid w:val="00113CCA"/>
    <w:rsid w:val="00122F25"/>
    <w:rsid w:val="00132AA5"/>
    <w:rsid w:val="00133C08"/>
    <w:rsid w:val="001350F3"/>
    <w:rsid w:val="00135980"/>
    <w:rsid w:val="00141459"/>
    <w:rsid w:val="00145357"/>
    <w:rsid w:val="00164719"/>
    <w:rsid w:val="00166FC4"/>
    <w:rsid w:val="001677AC"/>
    <w:rsid w:val="001804EA"/>
    <w:rsid w:val="001835F9"/>
    <w:rsid w:val="0018665C"/>
    <w:rsid w:val="00190A61"/>
    <w:rsid w:val="00193956"/>
    <w:rsid w:val="00194672"/>
    <w:rsid w:val="001A2215"/>
    <w:rsid w:val="001A3342"/>
    <w:rsid w:val="001A3E3D"/>
    <w:rsid w:val="001A7049"/>
    <w:rsid w:val="001B0C61"/>
    <w:rsid w:val="001B1E40"/>
    <w:rsid w:val="001C764E"/>
    <w:rsid w:val="001E1052"/>
    <w:rsid w:val="001E21B1"/>
    <w:rsid w:val="001E2F93"/>
    <w:rsid w:val="001E4554"/>
    <w:rsid w:val="001E5536"/>
    <w:rsid w:val="001E61E5"/>
    <w:rsid w:val="001F2159"/>
    <w:rsid w:val="00210B8B"/>
    <w:rsid w:val="00211159"/>
    <w:rsid w:val="00213356"/>
    <w:rsid w:val="00214863"/>
    <w:rsid w:val="002156B4"/>
    <w:rsid w:val="00224FCD"/>
    <w:rsid w:val="002272F3"/>
    <w:rsid w:val="00235BC0"/>
    <w:rsid w:val="0024773A"/>
    <w:rsid w:val="00253222"/>
    <w:rsid w:val="002560BD"/>
    <w:rsid w:val="00260EE3"/>
    <w:rsid w:val="00262847"/>
    <w:rsid w:val="002645E1"/>
    <w:rsid w:val="00265DAB"/>
    <w:rsid w:val="00274910"/>
    <w:rsid w:val="00275F9E"/>
    <w:rsid w:val="00281BB2"/>
    <w:rsid w:val="00283833"/>
    <w:rsid w:val="002841FB"/>
    <w:rsid w:val="00286847"/>
    <w:rsid w:val="002A16C1"/>
    <w:rsid w:val="002A4838"/>
    <w:rsid w:val="002B254E"/>
    <w:rsid w:val="002B72E9"/>
    <w:rsid w:val="002C6A98"/>
    <w:rsid w:val="002C7998"/>
    <w:rsid w:val="002D1C8C"/>
    <w:rsid w:val="002F0834"/>
    <w:rsid w:val="002F1E53"/>
    <w:rsid w:val="002F2CAA"/>
    <w:rsid w:val="0030052C"/>
    <w:rsid w:val="003018FF"/>
    <w:rsid w:val="00307F64"/>
    <w:rsid w:val="00327A28"/>
    <w:rsid w:val="003306E1"/>
    <w:rsid w:val="003320E4"/>
    <w:rsid w:val="0033525D"/>
    <w:rsid w:val="003414F3"/>
    <w:rsid w:val="00344E97"/>
    <w:rsid w:val="00347759"/>
    <w:rsid w:val="0035613E"/>
    <w:rsid w:val="00363EE9"/>
    <w:rsid w:val="00365A6F"/>
    <w:rsid w:val="00376128"/>
    <w:rsid w:val="0037742E"/>
    <w:rsid w:val="00377D56"/>
    <w:rsid w:val="0038245A"/>
    <w:rsid w:val="003840E6"/>
    <w:rsid w:val="00385CFC"/>
    <w:rsid w:val="0039337A"/>
    <w:rsid w:val="00393723"/>
    <w:rsid w:val="00394636"/>
    <w:rsid w:val="00394A10"/>
    <w:rsid w:val="00397F0B"/>
    <w:rsid w:val="003A3189"/>
    <w:rsid w:val="003A3CA7"/>
    <w:rsid w:val="003A4E1D"/>
    <w:rsid w:val="003A59BB"/>
    <w:rsid w:val="003B33BD"/>
    <w:rsid w:val="003B569D"/>
    <w:rsid w:val="003B6D62"/>
    <w:rsid w:val="003B749D"/>
    <w:rsid w:val="003B7E8D"/>
    <w:rsid w:val="003C227C"/>
    <w:rsid w:val="003C3C0E"/>
    <w:rsid w:val="003C47DE"/>
    <w:rsid w:val="003D42A6"/>
    <w:rsid w:val="003D477E"/>
    <w:rsid w:val="003D4F21"/>
    <w:rsid w:val="003D4FAC"/>
    <w:rsid w:val="003D7734"/>
    <w:rsid w:val="003E1925"/>
    <w:rsid w:val="003E7906"/>
    <w:rsid w:val="003E7E9C"/>
    <w:rsid w:val="003F23E1"/>
    <w:rsid w:val="003F3C50"/>
    <w:rsid w:val="004004A2"/>
    <w:rsid w:val="0040496C"/>
    <w:rsid w:val="00406A6A"/>
    <w:rsid w:val="00406B22"/>
    <w:rsid w:val="00426C71"/>
    <w:rsid w:val="004328A7"/>
    <w:rsid w:val="00434C74"/>
    <w:rsid w:val="004368D7"/>
    <w:rsid w:val="004400D3"/>
    <w:rsid w:val="00442A35"/>
    <w:rsid w:val="004446FF"/>
    <w:rsid w:val="004503C6"/>
    <w:rsid w:val="00456EB4"/>
    <w:rsid w:val="004664CA"/>
    <w:rsid w:val="004718F3"/>
    <w:rsid w:val="00475040"/>
    <w:rsid w:val="00486823"/>
    <w:rsid w:val="00493D40"/>
    <w:rsid w:val="004967B6"/>
    <w:rsid w:val="004A504B"/>
    <w:rsid w:val="004A6314"/>
    <w:rsid w:val="004A6911"/>
    <w:rsid w:val="004B331D"/>
    <w:rsid w:val="004B54E0"/>
    <w:rsid w:val="004B7384"/>
    <w:rsid w:val="004C084F"/>
    <w:rsid w:val="004C2A62"/>
    <w:rsid w:val="004C4269"/>
    <w:rsid w:val="004D6236"/>
    <w:rsid w:val="004D72FA"/>
    <w:rsid w:val="004D7F90"/>
    <w:rsid w:val="004E4DBB"/>
    <w:rsid w:val="004E4E41"/>
    <w:rsid w:val="004E52B7"/>
    <w:rsid w:val="004E5693"/>
    <w:rsid w:val="004E583B"/>
    <w:rsid w:val="004E7F9C"/>
    <w:rsid w:val="004F1741"/>
    <w:rsid w:val="004F3493"/>
    <w:rsid w:val="004F5143"/>
    <w:rsid w:val="0050057A"/>
    <w:rsid w:val="0050418F"/>
    <w:rsid w:val="00512B09"/>
    <w:rsid w:val="005220ED"/>
    <w:rsid w:val="00527860"/>
    <w:rsid w:val="00533796"/>
    <w:rsid w:val="00534806"/>
    <w:rsid w:val="00537343"/>
    <w:rsid w:val="0054249D"/>
    <w:rsid w:val="0054298C"/>
    <w:rsid w:val="00545332"/>
    <w:rsid w:val="00545B16"/>
    <w:rsid w:val="00546E63"/>
    <w:rsid w:val="00552E3B"/>
    <w:rsid w:val="00555D75"/>
    <w:rsid w:val="00560DF0"/>
    <w:rsid w:val="0056759C"/>
    <w:rsid w:val="0059513E"/>
    <w:rsid w:val="00595834"/>
    <w:rsid w:val="005A6010"/>
    <w:rsid w:val="005A6AA4"/>
    <w:rsid w:val="005A6D9F"/>
    <w:rsid w:val="005A7BD0"/>
    <w:rsid w:val="005B16B1"/>
    <w:rsid w:val="005B48FF"/>
    <w:rsid w:val="005B6C61"/>
    <w:rsid w:val="005D363F"/>
    <w:rsid w:val="005D3656"/>
    <w:rsid w:val="005D7EF5"/>
    <w:rsid w:val="005E22D4"/>
    <w:rsid w:val="005E2F07"/>
    <w:rsid w:val="00604C15"/>
    <w:rsid w:val="00606021"/>
    <w:rsid w:val="00607A1B"/>
    <w:rsid w:val="0061299E"/>
    <w:rsid w:val="006158D5"/>
    <w:rsid w:val="006253DF"/>
    <w:rsid w:val="00625976"/>
    <w:rsid w:val="00625D83"/>
    <w:rsid w:val="00625F0A"/>
    <w:rsid w:val="006319AB"/>
    <w:rsid w:val="0063684E"/>
    <w:rsid w:val="006424E6"/>
    <w:rsid w:val="00645BA3"/>
    <w:rsid w:val="006623E7"/>
    <w:rsid w:val="00662B80"/>
    <w:rsid w:val="00670F6C"/>
    <w:rsid w:val="006852C7"/>
    <w:rsid w:val="006852CE"/>
    <w:rsid w:val="00685F9F"/>
    <w:rsid w:val="00687183"/>
    <w:rsid w:val="00691342"/>
    <w:rsid w:val="00692026"/>
    <w:rsid w:val="00692D14"/>
    <w:rsid w:val="006A06CC"/>
    <w:rsid w:val="006A0FCE"/>
    <w:rsid w:val="006A1AC1"/>
    <w:rsid w:val="006A2306"/>
    <w:rsid w:val="006B65C7"/>
    <w:rsid w:val="006B65ED"/>
    <w:rsid w:val="006B6C6E"/>
    <w:rsid w:val="006C048E"/>
    <w:rsid w:val="006C1727"/>
    <w:rsid w:val="006C32FD"/>
    <w:rsid w:val="006C39CE"/>
    <w:rsid w:val="006D0FCC"/>
    <w:rsid w:val="006D21F5"/>
    <w:rsid w:val="006E126D"/>
    <w:rsid w:val="006E1FC3"/>
    <w:rsid w:val="006F0588"/>
    <w:rsid w:val="006F25C8"/>
    <w:rsid w:val="00704CE9"/>
    <w:rsid w:val="0070616B"/>
    <w:rsid w:val="00706295"/>
    <w:rsid w:val="00706FDA"/>
    <w:rsid w:val="00711F9A"/>
    <w:rsid w:val="00713810"/>
    <w:rsid w:val="0071642B"/>
    <w:rsid w:val="007259A5"/>
    <w:rsid w:val="00727605"/>
    <w:rsid w:val="007303A5"/>
    <w:rsid w:val="007304BF"/>
    <w:rsid w:val="00730B3E"/>
    <w:rsid w:val="0073420B"/>
    <w:rsid w:val="007354A8"/>
    <w:rsid w:val="0074760E"/>
    <w:rsid w:val="00750E85"/>
    <w:rsid w:val="00752009"/>
    <w:rsid w:val="00754ABA"/>
    <w:rsid w:val="00757681"/>
    <w:rsid w:val="007626D3"/>
    <w:rsid w:val="00764D07"/>
    <w:rsid w:val="00772025"/>
    <w:rsid w:val="00780628"/>
    <w:rsid w:val="00787150"/>
    <w:rsid w:val="00790789"/>
    <w:rsid w:val="007A1546"/>
    <w:rsid w:val="007A228C"/>
    <w:rsid w:val="007A2DCC"/>
    <w:rsid w:val="007A368E"/>
    <w:rsid w:val="007A3A7B"/>
    <w:rsid w:val="007A4A3F"/>
    <w:rsid w:val="007A5868"/>
    <w:rsid w:val="007B04CE"/>
    <w:rsid w:val="007B6871"/>
    <w:rsid w:val="007B6C39"/>
    <w:rsid w:val="007B7A2F"/>
    <w:rsid w:val="007C33D3"/>
    <w:rsid w:val="007C3D33"/>
    <w:rsid w:val="007D294A"/>
    <w:rsid w:val="007D3D2B"/>
    <w:rsid w:val="007D47D2"/>
    <w:rsid w:val="007D52CA"/>
    <w:rsid w:val="007D6EC0"/>
    <w:rsid w:val="007D7E1D"/>
    <w:rsid w:val="007E7E63"/>
    <w:rsid w:val="007F0CEE"/>
    <w:rsid w:val="007F463C"/>
    <w:rsid w:val="007F46F2"/>
    <w:rsid w:val="00812E11"/>
    <w:rsid w:val="008234E3"/>
    <w:rsid w:val="00831979"/>
    <w:rsid w:val="00833B73"/>
    <w:rsid w:val="00842F26"/>
    <w:rsid w:val="008445DD"/>
    <w:rsid w:val="00851352"/>
    <w:rsid w:val="00857077"/>
    <w:rsid w:val="00860A90"/>
    <w:rsid w:val="00860EE8"/>
    <w:rsid w:val="00862BC1"/>
    <w:rsid w:val="00863230"/>
    <w:rsid w:val="00863AC0"/>
    <w:rsid w:val="00865BD0"/>
    <w:rsid w:val="0086615D"/>
    <w:rsid w:val="00870345"/>
    <w:rsid w:val="008717D8"/>
    <w:rsid w:val="0087215C"/>
    <w:rsid w:val="00875D25"/>
    <w:rsid w:val="00880E35"/>
    <w:rsid w:val="00882BA1"/>
    <w:rsid w:val="0088302B"/>
    <w:rsid w:val="008875FE"/>
    <w:rsid w:val="00887F8E"/>
    <w:rsid w:val="0089179A"/>
    <w:rsid w:val="00896234"/>
    <w:rsid w:val="00897E43"/>
    <w:rsid w:val="008C5738"/>
    <w:rsid w:val="008C5B85"/>
    <w:rsid w:val="008C7EAD"/>
    <w:rsid w:val="008D0BD0"/>
    <w:rsid w:val="008D0CFE"/>
    <w:rsid w:val="008D6152"/>
    <w:rsid w:val="008D69AB"/>
    <w:rsid w:val="008E7BA9"/>
    <w:rsid w:val="008F0F81"/>
    <w:rsid w:val="008F27BF"/>
    <w:rsid w:val="008F5551"/>
    <w:rsid w:val="0090065F"/>
    <w:rsid w:val="009135DC"/>
    <w:rsid w:val="009142EC"/>
    <w:rsid w:val="009154C3"/>
    <w:rsid w:val="00923540"/>
    <w:rsid w:val="00926767"/>
    <w:rsid w:val="0093306E"/>
    <w:rsid w:val="009361D5"/>
    <w:rsid w:val="009428A4"/>
    <w:rsid w:val="00953C31"/>
    <w:rsid w:val="00954D62"/>
    <w:rsid w:val="009563EF"/>
    <w:rsid w:val="0095777A"/>
    <w:rsid w:val="00961B07"/>
    <w:rsid w:val="009659F4"/>
    <w:rsid w:val="00970D60"/>
    <w:rsid w:val="00972C9E"/>
    <w:rsid w:val="00975C93"/>
    <w:rsid w:val="0098141F"/>
    <w:rsid w:val="0098161B"/>
    <w:rsid w:val="009842FB"/>
    <w:rsid w:val="00984B54"/>
    <w:rsid w:val="00984E68"/>
    <w:rsid w:val="0099390E"/>
    <w:rsid w:val="00995842"/>
    <w:rsid w:val="009960E5"/>
    <w:rsid w:val="009A2B91"/>
    <w:rsid w:val="009A37AC"/>
    <w:rsid w:val="009A3B62"/>
    <w:rsid w:val="009A7ADC"/>
    <w:rsid w:val="009A7C6E"/>
    <w:rsid w:val="009B0D30"/>
    <w:rsid w:val="009B13FD"/>
    <w:rsid w:val="009B1C7F"/>
    <w:rsid w:val="009C19B7"/>
    <w:rsid w:val="009C5ABB"/>
    <w:rsid w:val="009D0F15"/>
    <w:rsid w:val="009D2369"/>
    <w:rsid w:val="009D7C51"/>
    <w:rsid w:val="009E196C"/>
    <w:rsid w:val="009E1D77"/>
    <w:rsid w:val="009F36BF"/>
    <w:rsid w:val="00A111B6"/>
    <w:rsid w:val="00A1516D"/>
    <w:rsid w:val="00A2404C"/>
    <w:rsid w:val="00A26D27"/>
    <w:rsid w:val="00A26D7D"/>
    <w:rsid w:val="00A34D5B"/>
    <w:rsid w:val="00A376EE"/>
    <w:rsid w:val="00A42A99"/>
    <w:rsid w:val="00A42AC0"/>
    <w:rsid w:val="00A44E8B"/>
    <w:rsid w:val="00A47421"/>
    <w:rsid w:val="00A5151A"/>
    <w:rsid w:val="00A57E0A"/>
    <w:rsid w:val="00A62155"/>
    <w:rsid w:val="00A649A3"/>
    <w:rsid w:val="00A823F6"/>
    <w:rsid w:val="00A8719E"/>
    <w:rsid w:val="00A938A9"/>
    <w:rsid w:val="00AA0A89"/>
    <w:rsid w:val="00AA36FF"/>
    <w:rsid w:val="00AA549D"/>
    <w:rsid w:val="00AA6429"/>
    <w:rsid w:val="00AB266F"/>
    <w:rsid w:val="00AB58A0"/>
    <w:rsid w:val="00AB651B"/>
    <w:rsid w:val="00AC01AA"/>
    <w:rsid w:val="00AC06BC"/>
    <w:rsid w:val="00AC3C41"/>
    <w:rsid w:val="00AC4F72"/>
    <w:rsid w:val="00AC63FF"/>
    <w:rsid w:val="00AF202D"/>
    <w:rsid w:val="00AF2C00"/>
    <w:rsid w:val="00AF5F25"/>
    <w:rsid w:val="00AF741A"/>
    <w:rsid w:val="00B01ADB"/>
    <w:rsid w:val="00B02478"/>
    <w:rsid w:val="00B04161"/>
    <w:rsid w:val="00B0449A"/>
    <w:rsid w:val="00B056F9"/>
    <w:rsid w:val="00B10754"/>
    <w:rsid w:val="00B11E3D"/>
    <w:rsid w:val="00B155C2"/>
    <w:rsid w:val="00B17E82"/>
    <w:rsid w:val="00B33CA2"/>
    <w:rsid w:val="00B33EAB"/>
    <w:rsid w:val="00B36C42"/>
    <w:rsid w:val="00B4575A"/>
    <w:rsid w:val="00B53DFB"/>
    <w:rsid w:val="00B575BA"/>
    <w:rsid w:val="00B57F41"/>
    <w:rsid w:val="00B601D7"/>
    <w:rsid w:val="00B62E6B"/>
    <w:rsid w:val="00B71608"/>
    <w:rsid w:val="00B76429"/>
    <w:rsid w:val="00B925B1"/>
    <w:rsid w:val="00B956D4"/>
    <w:rsid w:val="00B97446"/>
    <w:rsid w:val="00B97A4D"/>
    <w:rsid w:val="00BA4F47"/>
    <w:rsid w:val="00BA7432"/>
    <w:rsid w:val="00BA7A66"/>
    <w:rsid w:val="00BB2764"/>
    <w:rsid w:val="00BB3D46"/>
    <w:rsid w:val="00BB70A6"/>
    <w:rsid w:val="00BC1AA0"/>
    <w:rsid w:val="00BC2495"/>
    <w:rsid w:val="00BC67F1"/>
    <w:rsid w:val="00BC7EB9"/>
    <w:rsid w:val="00BD2643"/>
    <w:rsid w:val="00BD56B1"/>
    <w:rsid w:val="00BD6558"/>
    <w:rsid w:val="00BE211A"/>
    <w:rsid w:val="00BE4176"/>
    <w:rsid w:val="00BF1C45"/>
    <w:rsid w:val="00BF2F76"/>
    <w:rsid w:val="00BF3022"/>
    <w:rsid w:val="00BF3214"/>
    <w:rsid w:val="00BF4FAD"/>
    <w:rsid w:val="00BF5573"/>
    <w:rsid w:val="00BF5FA2"/>
    <w:rsid w:val="00C15867"/>
    <w:rsid w:val="00C21E1F"/>
    <w:rsid w:val="00C2296D"/>
    <w:rsid w:val="00C23155"/>
    <w:rsid w:val="00C301FB"/>
    <w:rsid w:val="00C3459E"/>
    <w:rsid w:val="00C40C41"/>
    <w:rsid w:val="00C43465"/>
    <w:rsid w:val="00C45885"/>
    <w:rsid w:val="00C45D8A"/>
    <w:rsid w:val="00C5014C"/>
    <w:rsid w:val="00C50867"/>
    <w:rsid w:val="00C50F22"/>
    <w:rsid w:val="00C57971"/>
    <w:rsid w:val="00C65BD7"/>
    <w:rsid w:val="00C7207B"/>
    <w:rsid w:val="00C76BA4"/>
    <w:rsid w:val="00C83A48"/>
    <w:rsid w:val="00C85865"/>
    <w:rsid w:val="00C85E85"/>
    <w:rsid w:val="00C91AB6"/>
    <w:rsid w:val="00CA2EAE"/>
    <w:rsid w:val="00CA4AC1"/>
    <w:rsid w:val="00CB0316"/>
    <w:rsid w:val="00CB0B11"/>
    <w:rsid w:val="00CB426A"/>
    <w:rsid w:val="00CB5354"/>
    <w:rsid w:val="00CC3A7B"/>
    <w:rsid w:val="00CC3C9E"/>
    <w:rsid w:val="00CC6A14"/>
    <w:rsid w:val="00CC70A3"/>
    <w:rsid w:val="00CC7298"/>
    <w:rsid w:val="00CD0248"/>
    <w:rsid w:val="00CD4442"/>
    <w:rsid w:val="00CD53C3"/>
    <w:rsid w:val="00CD574E"/>
    <w:rsid w:val="00CD7689"/>
    <w:rsid w:val="00CE4C22"/>
    <w:rsid w:val="00CF41EC"/>
    <w:rsid w:val="00CF5D04"/>
    <w:rsid w:val="00CF7CF0"/>
    <w:rsid w:val="00D04DE4"/>
    <w:rsid w:val="00D063F1"/>
    <w:rsid w:val="00D078A8"/>
    <w:rsid w:val="00D13152"/>
    <w:rsid w:val="00D14F22"/>
    <w:rsid w:val="00D245D0"/>
    <w:rsid w:val="00D3471D"/>
    <w:rsid w:val="00D361DE"/>
    <w:rsid w:val="00D45250"/>
    <w:rsid w:val="00D4741C"/>
    <w:rsid w:val="00D57918"/>
    <w:rsid w:val="00D62D13"/>
    <w:rsid w:val="00D67A2C"/>
    <w:rsid w:val="00D70D7C"/>
    <w:rsid w:val="00D73DC6"/>
    <w:rsid w:val="00D746DB"/>
    <w:rsid w:val="00D74C1A"/>
    <w:rsid w:val="00D754C1"/>
    <w:rsid w:val="00D76946"/>
    <w:rsid w:val="00D77393"/>
    <w:rsid w:val="00D77A35"/>
    <w:rsid w:val="00D8105A"/>
    <w:rsid w:val="00D81B3E"/>
    <w:rsid w:val="00D90C70"/>
    <w:rsid w:val="00D90E49"/>
    <w:rsid w:val="00D916C2"/>
    <w:rsid w:val="00D96ADE"/>
    <w:rsid w:val="00DA09D3"/>
    <w:rsid w:val="00DA0CE2"/>
    <w:rsid w:val="00DA1F2B"/>
    <w:rsid w:val="00DA330E"/>
    <w:rsid w:val="00DA5DE8"/>
    <w:rsid w:val="00DB64D8"/>
    <w:rsid w:val="00DC18A1"/>
    <w:rsid w:val="00DC67FB"/>
    <w:rsid w:val="00DC6A10"/>
    <w:rsid w:val="00DD649F"/>
    <w:rsid w:val="00DE51D7"/>
    <w:rsid w:val="00DE5309"/>
    <w:rsid w:val="00DE657E"/>
    <w:rsid w:val="00DF0E67"/>
    <w:rsid w:val="00DF3655"/>
    <w:rsid w:val="00DF4704"/>
    <w:rsid w:val="00DF7809"/>
    <w:rsid w:val="00E024AA"/>
    <w:rsid w:val="00E15C77"/>
    <w:rsid w:val="00E212D4"/>
    <w:rsid w:val="00E24778"/>
    <w:rsid w:val="00E250F1"/>
    <w:rsid w:val="00E342CC"/>
    <w:rsid w:val="00E34FF3"/>
    <w:rsid w:val="00E3550D"/>
    <w:rsid w:val="00E379F4"/>
    <w:rsid w:val="00E45743"/>
    <w:rsid w:val="00E52838"/>
    <w:rsid w:val="00E57050"/>
    <w:rsid w:val="00E61416"/>
    <w:rsid w:val="00E614E0"/>
    <w:rsid w:val="00E630F9"/>
    <w:rsid w:val="00E73F7F"/>
    <w:rsid w:val="00E751DF"/>
    <w:rsid w:val="00E77322"/>
    <w:rsid w:val="00E77AD7"/>
    <w:rsid w:val="00E8305D"/>
    <w:rsid w:val="00E85409"/>
    <w:rsid w:val="00E864CB"/>
    <w:rsid w:val="00E86896"/>
    <w:rsid w:val="00E92316"/>
    <w:rsid w:val="00E926B3"/>
    <w:rsid w:val="00E95087"/>
    <w:rsid w:val="00EA429F"/>
    <w:rsid w:val="00EA4F9E"/>
    <w:rsid w:val="00EA507E"/>
    <w:rsid w:val="00EA5EB8"/>
    <w:rsid w:val="00EA63CA"/>
    <w:rsid w:val="00EA6D3B"/>
    <w:rsid w:val="00EB00AD"/>
    <w:rsid w:val="00EB136C"/>
    <w:rsid w:val="00EB27DB"/>
    <w:rsid w:val="00EB480E"/>
    <w:rsid w:val="00EB5EC6"/>
    <w:rsid w:val="00EB69F3"/>
    <w:rsid w:val="00EB7FC9"/>
    <w:rsid w:val="00EC071D"/>
    <w:rsid w:val="00EC21A1"/>
    <w:rsid w:val="00EC50B8"/>
    <w:rsid w:val="00EC6218"/>
    <w:rsid w:val="00ED27E8"/>
    <w:rsid w:val="00ED2A8F"/>
    <w:rsid w:val="00ED7137"/>
    <w:rsid w:val="00EE23BD"/>
    <w:rsid w:val="00EE597A"/>
    <w:rsid w:val="00EF06EA"/>
    <w:rsid w:val="00EF50B8"/>
    <w:rsid w:val="00EF607F"/>
    <w:rsid w:val="00F03613"/>
    <w:rsid w:val="00F06AC9"/>
    <w:rsid w:val="00F10442"/>
    <w:rsid w:val="00F21088"/>
    <w:rsid w:val="00F327E7"/>
    <w:rsid w:val="00F34631"/>
    <w:rsid w:val="00F35746"/>
    <w:rsid w:val="00F447C7"/>
    <w:rsid w:val="00F459B4"/>
    <w:rsid w:val="00F5211B"/>
    <w:rsid w:val="00F527A5"/>
    <w:rsid w:val="00F554A9"/>
    <w:rsid w:val="00F70C93"/>
    <w:rsid w:val="00F716FD"/>
    <w:rsid w:val="00F72586"/>
    <w:rsid w:val="00F743A2"/>
    <w:rsid w:val="00F80355"/>
    <w:rsid w:val="00F83DE1"/>
    <w:rsid w:val="00F87C43"/>
    <w:rsid w:val="00F9487E"/>
    <w:rsid w:val="00FA4A87"/>
    <w:rsid w:val="00FA5722"/>
    <w:rsid w:val="00FA74B0"/>
    <w:rsid w:val="00FB088F"/>
    <w:rsid w:val="00FB08F6"/>
    <w:rsid w:val="00FB0C81"/>
    <w:rsid w:val="00FB2C4C"/>
    <w:rsid w:val="00FB750B"/>
    <w:rsid w:val="00FC2200"/>
    <w:rsid w:val="00FC2540"/>
    <w:rsid w:val="00FD10B8"/>
    <w:rsid w:val="00FE078D"/>
    <w:rsid w:val="00FF0204"/>
    <w:rsid w:val="00FF3AED"/>
    <w:rsid w:val="00FF50FF"/>
    <w:rsid w:val="00FF68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89146"/>
  <w15:docId w15:val="{3B9830DE-5D69-4B68-91B0-DD3DEDF4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2"/>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qFormat/>
    <w:rsid w:val="0033525D"/>
    <w:pPr>
      <w:widowControl w:val="0"/>
      <w:numPr>
        <w:ilvl w:val="2"/>
        <w:numId w:val="2"/>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2"/>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2"/>
      </w:numPr>
      <w:spacing w:before="240" w:after="60"/>
      <w:outlineLvl w:val="5"/>
    </w:pPr>
    <w:rPr>
      <w:rFonts w:ascii="Arial" w:hAnsi="Arial"/>
      <w:i/>
    </w:rPr>
  </w:style>
  <w:style w:type="paragraph" w:styleId="Heading7">
    <w:name w:val="heading 7"/>
    <w:basedOn w:val="Normal"/>
    <w:next w:val="Normal"/>
    <w:qFormat/>
    <w:rsid w:val="00A5151A"/>
    <w:pPr>
      <w:numPr>
        <w:ilvl w:val="6"/>
        <w:numId w:val="2"/>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fr-CA"/>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fr-CA"/>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fr-CA"/>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fr-CA"/>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 Char1, Char1 Char Char,Fußnotentextf,FOOTNOTES,fn,single space,Footnote,Footnote Text Char1 Char,Footnote Text Char Char Char,Footnote Text Char1 Char Char Char,Footnote Text Char Char Char Char Char"/>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 Char1 Char, Char1 Char Char Char,Fußnotentextf Char,FOOTNOTES Char,fn Char,single space Char,Footnote Char,Footnote Text Char1 Char Char,Footnote Text Char Char Char Char"/>
    <w:basedOn w:val="DefaultParagraphFont"/>
    <w:link w:val="FootnoteText"/>
    <w:uiPriority w:val="99"/>
    <w:rsid w:val="006E126D"/>
    <w:rPr>
      <w:lang w:val="fr-CA"/>
    </w:rPr>
  </w:style>
  <w:style w:type="character" w:styleId="FootnoteReference">
    <w:name w:val="footnote reference"/>
    <w:aliases w:val="Footnote text,Footnote Text1,Footnote Text2,ftref"/>
    <w:basedOn w:val="DefaultParagraphFont"/>
    <w:uiPriority w:val="99"/>
    <w:unhideWhenUsed/>
    <w:rsid w:val="006E126D"/>
    <w:rPr>
      <w:vertAlign w:val="superscript"/>
    </w:rPr>
  </w:style>
  <w:style w:type="paragraph" w:styleId="ListParagraph">
    <w:name w:val="List Paragraph"/>
    <w:basedOn w:val="Normal"/>
    <w:uiPriority w:val="34"/>
    <w:qFormat/>
    <w:rsid w:val="00D8105A"/>
    <w:pPr>
      <w:ind w:left="720"/>
      <w:contextualSpacing/>
    </w:pPr>
  </w:style>
  <w:style w:type="paragraph" w:styleId="Revision">
    <w:name w:val="Revision"/>
    <w:hidden/>
    <w:uiPriority w:val="99"/>
    <w:semiHidden/>
    <w:rsid w:val="00D8105A"/>
    <w:rPr>
      <w:sz w:val="22"/>
      <w:szCs w:val="22"/>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283833"/>
    <w:rPr>
      <w:sz w:val="22"/>
      <w:szCs w:val="22"/>
      <w:lang w:val="fr-CA"/>
    </w:rPr>
  </w:style>
  <w:style w:type="paragraph" w:styleId="ListBullet3">
    <w:name w:val="List Bullet 3"/>
    <w:basedOn w:val="Normal"/>
    <w:rsid w:val="00E92316"/>
    <w:pPr>
      <w:numPr>
        <w:numId w:val="22"/>
      </w:numPr>
      <w:spacing w:line="1" w:lineRule="atLeast"/>
      <w:ind w:leftChars="-1" w:left="-1" w:hangingChars="1" w:hanging="1"/>
      <w:textAlignment w:val="top"/>
      <w:outlineLvl w:val="0"/>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057815">
      <w:bodyDiv w:val="1"/>
      <w:marLeft w:val="0"/>
      <w:marRight w:val="0"/>
      <w:marTop w:val="0"/>
      <w:marBottom w:val="0"/>
      <w:divBdr>
        <w:top w:val="none" w:sz="0" w:space="0" w:color="auto"/>
        <w:left w:val="none" w:sz="0" w:space="0" w:color="auto"/>
        <w:bottom w:val="none" w:sz="0" w:space="0" w:color="auto"/>
        <w:right w:val="none" w:sz="0" w:space="0" w:color="auto"/>
      </w:divBdr>
    </w:div>
    <w:div w:id="871192480">
      <w:bodyDiv w:val="1"/>
      <w:marLeft w:val="0"/>
      <w:marRight w:val="0"/>
      <w:marTop w:val="0"/>
      <w:marBottom w:val="0"/>
      <w:divBdr>
        <w:top w:val="none" w:sz="0" w:space="0" w:color="auto"/>
        <w:left w:val="none" w:sz="0" w:space="0" w:color="auto"/>
        <w:bottom w:val="none" w:sz="0" w:space="0" w:color="auto"/>
        <w:right w:val="none" w:sz="0" w:space="0" w:color="auto"/>
      </w:divBdr>
    </w:div>
    <w:div w:id="1048260038">
      <w:bodyDiv w:val="1"/>
      <w:marLeft w:val="0"/>
      <w:marRight w:val="0"/>
      <w:marTop w:val="0"/>
      <w:marBottom w:val="0"/>
      <w:divBdr>
        <w:top w:val="none" w:sz="0" w:space="0" w:color="auto"/>
        <w:left w:val="none" w:sz="0" w:space="0" w:color="auto"/>
        <w:bottom w:val="none" w:sz="0" w:space="0" w:color="auto"/>
        <w:right w:val="none" w:sz="0" w:space="0" w:color="auto"/>
      </w:divBdr>
    </w:div>
    <w:div w:id="1622805052">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1123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4131ACC863C4CBCCC233143506327" ma:contentTypeVersion="2" ma:contentTypeDescription="Create a new document." ma:contentTypeScope="" ma:versionID="26ea6887eafcd2303a147d91da7b0ce2">
  <xsd:schema xmlns:xsd="http://www.w3.org/2001/XMLSchema" xmlns:p="http://schemas.microsoft.com/office/2006/metadata/properties" xmlns:ns2="8662b4aa-cf42-4f00-a3f0-9d3b4acad230" xmlns:ns3="310e179b-1379-4e79-9b74-d5a32b1812d3" targetNamespace="http://schemas.microsoft.com/office/2006/metadata/properties" ma:root="true" ma:fieldsID="1af4cf771546dc1ce13f690658318891"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UNEP/OzL.Pro/ExCom/87/40</Document_x0020_Number>
  </documentManagement>
</p:properties>
</file>

<file path=customXml/itemProps1.xml><?xml version="1.0" encoding="utf-8"?>
<ds:datastoreItem xmlns:ds="http://schemas.openxmlformats.org/officeDocument/2006/customXml" ds:itemID="{E61CC812-18CB-4EAC-A8CE-B9242253B01B}"/>
</file>

<file path=customXml/itemProps2.xml><?xml version="1.0" encoding="utf-8"?>
<ds:datastoreItem xmlns:ds="http://schemas.openxmlformats.org/officeDocument/2006/customXml" ds:itemID="{FB61BDE4-D139-4A9D-B2EB-F00B63D4E2B2}"/>
</file>

<file path=customXml/itemProps3.xml><?xml version="1.0" encoding="utf-8"?>
<ds:datastoreItem xmlns:ds="http://schemas.openxmlformats.org/officeDocument/2006/customXml" ds:itemID="{88F492AC-84A3-4255-8DE1-7A94238384F0}"/>
</file>

<file path=customXml/itemProps4.xml><?xml version="1.0" encoding="utf-8"?>
<ds:datastoreItem xmlns:ds="http://schemas.openxmlformats.org/officeDocument/2006/customXml" ds:itemID="{D6ECF2DD-1B36-43F3-9BE7-1D950787D8A6}"/>
</file>

<file path=docProps/app.xml><?xml version="1.0" encoding="utf-8"?>
<Properties xmlns="http://schemas.openxmlformats.org/officeDocument/2006/extended-properties" xmlns:vt="http://schemas.openxmlformats.org/officeDocument/2006/docPropsVTypes">
  <Template>Normal</Template>
  <TotalTime>1</TotalTime>
  <Pages>10</Pages>
  <Words>4757</Words>
  <Characters>25405</Characters>
  <Application>Microsoft Office Word</Application>
  <DocSecurity>0</DocSecurity>
  <Lines>211</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Proposition de projet : Viet Nam</vt:lpstr>
      <vt:lpstr>Project proposal:  Viet Nam</vt:lpstr>
    </vt:vector>
  </TitlesOfParts>
  <Company>UNMFS</Company>
  <LinksUpToDate>false</LinksUpToDate>
  <CharactersWithSpaces>30102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projet : Viet Nam</dc:title>
  <dc:subject>87th</dc:subject>
  <dc:creator>FSM &amp; JS</dc:creator>
  <cp:keywords/>
  <dc:description/>
  <cp:lastModifiedBy>HB</cp:lastModifiedBy>
  <cp:revision>4</cp:revision>
  <cp:lastPrinted>2021-06-11T13:10:00Z</cp:lastPrinted>
  <dcterms:created xsi:type="dcterms:W3CDTF">2021-06-23T18:30:00Z</dcterms:created>
  <dcterms:modified xsi:type="dcterms:W3CDTF">2021-06-27T14:05:00Z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UNEP/OzL.Pro/ExCom/87/40</vt:lpwstr>
  </property>
  <property fmtid="{D5CDD505-2E9C-101B-9397-08002B2CF9AE}" pid="3" name="Revision date">
    <vt:lpwstr>06/11/2021</vt:lpwstr>
  </property>
  <property fmtid="{D5CDD505-2E9C-101B-9397-08002B2CF9AE}" pid="4" name="ContentTypeId">
    <vt:lpwstr>0x0101006D54131ACC863C4CBCCC233143506327</vt:lpwstr>
  </property>
</Properties>
</file>