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A37AA1" w14:paraId="4DC0DDDD" w14:textId="77777777" w:rsidTr="00FE06A2">
        <w:trPr>
          <w:trHeight w:val="720"/>
        </w:trPr>
        <w:tc>
          <w:tcPr>
            <w:tcW w:w="7061" w:type="dxa"/>
            <w:gridSpan w:val="2"/>
            <w:tcBorders>
              <w:bottom w:val="single" w:sz="18" w:space="0" w:color="auto"/>
            </w:tcBorders>
          </w:tcPr>
          <w:p w14:paraId="3DAC5F07" w14:textId="77777777" w:rsidR="00A37AA1" w:rsidRDefault="00A37AA1" w:rsidP="00FE06A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18C661D1" w14:textId="77777777" w:rsidR="00A37AA1" w:rsidRDefault="00A37AA1" w:rsidP="00FE06A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14:paraId="0DA35357" w14:textId="3B578B79" w:rsidR="00A37AA1" w:rsidRDefault="00FE06A2" w:rsidP="00FE06A2">
            <w:pPr>
              <w:tabs>
                <w:tab w:val="left" w:pos="3010"/>
              </w:tabs>
              <w:jc w:val="center"/>
              <w:rPr>
                <w:sz w:val="52"/>
                <w:szCs w:val="52"/>
              </w:rPr>
            </w:pPr>
            <w:r>
              <w:rPr>
                <w:rFonts w:ascii="Univers Bold" w:hAnsi="Univers Bold"/>
                <w:b/>
                <w:sz w:val="72"/>
                <w:lang w:val="fr-CA"/>
              </w:rPr>
              <w:t>     </w:t>
            </w:r>
            <w:r w:rsidR="00A37AA1">
              <w:rPr>
                <w:rFonts w:ascii="Univers Bold" w:hAnsi="Univers Bold"/>
                <w:b/>
                <w:sz w:val="72"/>
                <w:lang w:val="fr-CA"/>
              </w:rPr>
              <w:t>EP</w:t>
            </w:r>
          </w:p>
        </w:tc>
      </w:tr>
      <w:tr w:rsidR="00A37AA1" w14:paraId="1062C975" w14:textId="77777777" w:rsidTr="00FE0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7B0C3608" w14:textId="77777777" w:rsidR="00A37AA1" w:rsidRDefault="00A37AA1" w:rsidP="00FE06A2">
            <w:pPr>
              <w:spacing w:before="120"/>
            </w:pPr>
            <w:r>
              <w:rPr>
                <w:noProof/>
                <w:lang w:val="en-US"/>
              </w:rPr>
              <w:drawing>
                <wp:anchor distT="0" distB="0" distL="114300" distR="114300" simplePos="0" relativeHeight="251664384" behindDoc="0" locked="0" layoutInCell="1" allowOverlap="1" wp14:anchorId="2FF7F259" wp14:editId="2A0AED53">
                  <wp:simplePos x="0" y="0"/>
                  <wp:positionH relativeFrom="column">
                    <wp:posOffset>347980</wp:posOffset>
                  </wp:positionH>
                  <wp:positionV relativeFrom="paragraph">
                    <wp:posOffset>934630</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5408" behindDoc="1" locked="0" layoutInCell="0" allowOverlap="1" wp14:anchorId="1B72A2A4" wp14:editId="17D63F54">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1E81CD70" w14:textId="77777777" w:rsidR="00A37AA1" w:rsidRDefault="00A37AA1" w:rsidP="00FE06A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74B31754" w14:textId="77777777" w:rsidR="00A37AA1" w:rsidRDefault="00A37AA1" w:rsidP="00FE06A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14:paraId="1592E2F6" w14:textId="77777777" w:rsidR="00A37AA1" w:rsidRDefault="00A37AA1" w:rsidP="00FE06A2">
            <w:pPr>
              <w:rPr>
                <w:rFonts w:ascii="Univers" w:hAnsi="Univers"/>
                <w:b/>
                <w:sz w:val="32"/>
                <w:lang w:val="fr-CA"/>
              </w:rPr>
            </w:pPr>
            <w:r>
              <w:rPr>
                <w:rFonts w:ascii="Univers" w:hAnsi="Univers"/>
                <w:b/>
                <w:sz w:val="32"/>
                <w:lang w:val="fr-CA"/>
              </w:rPr>
              <w:t>Nations Unies pour</w:t>
            </w:r>
          </w:p>
          <w:p w14:paraId="3F19AB25" w14:textId="15DC5F13" w:rsidR="00A37AA1" w:rsidRDefault="00A37AA1" w:rsidP="00FE06A2">
            <w:pPr>
              <w:rPr>
                <w:rFonts w:ascii="Univers" w:hAnsi="Univers"/>
                <w:b/>
                <w:sz w:val="32"/>
                <w:lang w:val="fr-CA"/>
              </w:rPr>
            </w:pPr>
            <w:r>
              <w:rPr>
                <w:rFonts w:ascii="Univers" w:hAnsi="Univers"/>
                <w:b/>
                <w:sz w:val="32"/>
                <w:lang w:val="fr-CA"/>
              </w:rPr>
              <w:t>l</w:t>
            </w:r>
            <w:r w:rsidR="00330498">
              <w:rPr>
                <w:rFonts w:ascii="Univers" w:hAnsi="Univers"/>
                <w:b/>
                <w:sz w:val="32"/>
                <w:lang w:val="fr-CA"/>
              </w:rPr>
              <w:t>’</w:t>
            </w:r>
            <w:r>
              <w:rPr>
                <w:rFonts w:ascii="Univers" w:hAnsi="Univers"/>
                <w:b/>
                <w:sz w:val="32"/>
                <w:lang w:val="fr-CA"/>
              </w:rPr>
              <w:t>environnement</w:t>
            </w:r>
          </w:p>
          <w:p w14:paraId="56C7719F" w14:textId="77777777" w:rsidR="00A37AA1" w:rsidRDefault="00A37AA1" w:rsidP="00FE06A2">
            <w:pPr>
              <w:spacing w:before="720"/>
              <w:ind w:left="158"/>
              <w:rPr>
                <w:lang w:val="fr-FR"/>
              </w:rPr>
            </w:pPr>
            <w:r>
              <w:rPr>
                <w:lang w:val="fr-FR"/>
              </w:rPr>
              <w:t xml:space="preserve"> </w:t>
            </w:r>
            <w:bookmarkStart w:id="0" w:name="_GoBack"/>
            <w:bookmarkEnd w:id="0"/>
          </w:p>
        </w:tc>
        <w:tc>
          <w:tcPr>
            <w:tcW w:w="3544" w:type="dxa"/>
            <w:tcBorders>
              <w:top w:val="nil"/>
              <w:left w:val="nil"/>
              <w:bottom w:val="single" w:sz="36" w:space="0" w:color="auto"/>
              <w:right w:val="nil"/>
            </w:tcBorders>
          </w:tcPr>
          <w:p w14:paraId="3C5ED008" w14:textId="77777777" w:rsidR="00A37AA1" w:rsidRDefault="00A37AA1" w:rsidP="00FE06A2">
            <w:pPr>
              <w:rPr>
                <w:lang w:val="fr-FR"/>
              </w:rPr>
            </w:pPr>
          </w:p>
          <w:p w14:paraId="1C5F92A2" w14:textId="77777777" w:rsidR="00A37AA1" w:rsidRPr="00DD3433" w:rsidRDefault="00A37AA1" w:rsidP="00FE06A2">
            <w:pPr>
              <w:rPr>
                <w:lang w:val="fr-FR"/>
              </w:rPr>
            </w:pPr>
            <w:r w:rsidRPr="00DD3433">
              <w:rPr>
                <w:lang w:val="fr-FR"/>
              </w:rPr>
              <w:t>Distr.</w:t>
            </w:r>
          </w:p>
          <w:p w14:paraId="19890E85" w14:textId="77777777" w:rsidR="00A37AA1" w:rsidRPr="00DD3433" w:rsidRDefault="00A37AA1" w:rsidP="00FE06A2">
            <w:pPr>
              <w:rPr>
                <w:lang w:val="fr-FR"/>
              </w:rPr>
            </w:pPr>
            <w:r w:rsidRPr="00DD3433">
              <w:rPr>
                <w:lang w:val="fr-FR"/>
              </w:rPr>
              <w:t>GÉNÉRALE</w:t>
            </w:r>
          </w:p>
          <w:p w14:paraId="39FECA9A" w14:textId="77777777" w:rsidR="00A37AA1" w:rsidRPr="00DD3433" w:rsidRDefault="00A37AA1" w:rsidP="00FE06A2">
            <w:pPr>
              <w:rPr>
                <w:lang w:val="fr-FR"/>
              </w:rPr>
            </w:pPr>
          </w:p>
          <w:p w14:paraId="7EAF37F4" w14:textId="4EDF093C" w:rsidR="00A37AA1" w:rsidRPr="00C50AC4" w:rsidRDefault="00A37AA1" w:rsidP="00FE06A2">
            <w:pPr>
              <w:rPr>
                <w:lang w:val="fr-FR"/>
              </w:rPr>
            </w:pPr>
            <w:r>
              <w:fldChar w:fldCharType="begin"/>
            </w:r>
            <w:r w:rsidRPr="00C50AC4">
              <w:rPr>
                <w:lang w:val="fr-FR"/>
              </w:rPr>
              <w:instrText xml:space="preserve"> DOCPROPERTY "Document number"  \* MERGEFORMAT </w:instrText>
            </w:r>
            <w:r>
              <w:fldChar w:fldCharType="separate"/>
            </w:r>
            <w:r w:rsidR="00340958">
              <w:rPr>
                <w:lang w:val="fr-FR"/>
              </w:rPr>
              <w:t>UNEP/OzL.Pro/ExCom/87/46</w:t>
            </w:r>
            <w:r>
              <w:fldChar w:fldCharType="end"/>
            </w:r>
          </w:p>
          <w:p w14:paraId="23028CD2" w14:textId="1C711A91" w:rsidR="00A37AA1" w:rsidRPr="00C50AC4" w:rsidRDefault="00A37AA1" w:rsidP="00FE06A2">
            <w:pPr>
              <w:rPr>
                <w:lang w:val="fr-FR"/>
              </w:rPr>
            </w:pPr>
            <w:r>
              <w:fldChar w:fldCharType="begin"/>
            </w:r>
            <w:r w:rsidRPr="00C50AC4">
              <w:rPr>
                <w:lang w:val="fr-FR"/>
              </w:rPr>
              <w:instrText xml:space="preserve"> DOCPROPERTY "Revision date" \@ "d MMMM YYYY"  \* MERGEFORMAT </w:instrText>
            </w:r>
            <w:r>
              <w:fldChar w:fldCharType="separate"/>
            </w:r>
            <w:r w:rsidRPr="00C50AC4">
              <w:rPr>
                <w:lang w:val="fr-FR"/>
              </w:rPr>
              <w:t>2 juin 2021</w:t>
            </w:r>
            <w:r>
              <w:fldChar w:fldCharType="end"/>
            </w:r>
          </w:p>
          <w:p w14:paraId="33E10D76" w14:textId="77777777" w:rsidR="00A37AA1" w:rsidRDefault="00A37AA1" w:rsidP="00FE06A2">
            <w:pPr>
              <w:rPr>
                <w:caps/>
                <w:lang w:val="fr-FR"/>
              </w:rPr>
            </w:pPr>
            <w:r w:rsidRPr="00C50AC4">
              <w:rPr>
                <w:caps/>
                <w:lang w:val="fr-FR"/>
              </w:rPr>
              <w:br/>
            </w:r>
            <w:r>
              <w:rPr>
                <w:caps/>
                <w:lang w:val="fr-FR"/>
              </w:rPr>
              <w:t>FRANÇAIS</w:t>
            </w:r>
          </w:p>
          <w:p w14:paraId="5BCE320B" w14:textId="32C33515" w:rsidR="00A37AA1" w:rsidRDefault="00A37AA1" w:rsidP="00FE06A2">
            <w:r>
              <w:t>ORIGINAL</w:t>
            </w:r>
            <w:r w:rsidR="000C5998">
              <w:t> </w:t>
            </w:r>
            <w:r>
              <w:t>: ANGLAIS</w:t>
            </w:r>
          </w:p>
        </w:tc>
      </w:tr>
    </w:tbl>
    <w:p w14:paraId="220DF31B" w14:textId="7FB21FDE" w:rsidR="00704CE9" w:rsidRPr="00C50AC4" w:rsidRDefault="00A37AA1" w:rsidP="00A37AA1">
      <w:pPr>
        <w:pBdr>
          <w:top w:val="single" w:sz="4" w:space="1" w:color="E9FFFF"/>
          <w:left w:val="single" w:sz="4" w:space="4" w:color="E9FFFF"/>
          <w:bottom w:val="single" w:sz="4" w:space="1" w:color="E9FFFF"/>
          <w:right w:val="single" w:sz="4" w:space="4" w:color="E9FFFF"/>
        </w:pBdr>
        <w:jc w:val="left"/>
        <w:rPr>
          <w:lang w:val="fr-CA"/>
        </w:rPr>
      </w:pPr>
      <w:r>
        <w:rPr>
          <w:lang w:val="fr-CA"/>
        </w:rPr>
        <w:t xml:space="preserve">COMITÉ EXÉCUTIF </w:t>
      </w:r>
      <w:r>
        <w:rPr>
          <w:lang w:val="fr-CA"/>
        </w:rPr>
        <w:br/>
      </w:r>
      <w:r w:rsidR="00FE06A2">
        <w:rPr>
          <w:lang w:val="fr-FR"/>
        </w:rPr>
        <w:t> </w:t>
      </w:r>
      <w:r w:rsidR="009A67D5" w:rsidRPr="009A67D5">
        <w:rPr>
          <w:lang w:val="fr-FR"/>
        </w:rPr>
        <w:t xml:space="preserve">DU FONDS MULTILATÉRAL AUX FINS </w:t>
      </w:r>
      <w:r w:rsidR="009A67D5" w:rsidRPr="009A67D5">
        <w:rPr>
          <w:lang w:val="fr-FR"/>
        </w:rPr>
        <w:br/>
      </w:r>
      <w:r w:rsidR="00FE06A2">
        <w:rPr>
          <w:lang w:val="fr-FR"/>
        </w:rPr>
        <w:t> </w:t>
      </w:r>
      <w:r w:rsidR="009A67D5" w:rsidRPr="009A67D5">
        <w:rPr>
          <w:lang w:val="fr-FR"/>
        </w:rPr>
        <w:t>D</w:t>
      </w:r>
      <w:r w:rsidR="00330498">
        <w:rPr>
          <w:lang w:val="fr-FR"/>
        </w:rPr>
        <w:t>’</w:t>
      </w:r>
      <w:r w:rsidR="009A67D5" w:rsidRPr="009A67D5">
        <w:rPr>
          <w:lang w:val="fr-FR"/>
        </w:rPr>
        <w:t>APPLICATION DU PROTOCOLE DE MONTRÉAL</w:t>
      </w:r>
      <w:r w:rsidR="009A67D5" w:rsidRPr="009A67D5">
        <w:rPr>
          <w:lang w:val="fr-FR"/>
        </w:rPr>
        <w:br/>
        <w:t>Quatre-vingt-septième réunion</w:t>
      </w:r>
    </w:p>
    <w:p w14:paraId="0C341E57" w14:textId="4372BC00" w:rsidR="00066CE8" w:rsidRPr="00C50AC4" w:rsidRDefault="009A67D5" w:rsidP="00066CE8">
      <w:pPr>
        <w:jc w:val="left"/>
        <w:rPr>
          <w:lang w:val="fr-CA"/>
        </w:rPr>
      </w:pPr>
      <w:r w:rsidRPr="009A67D5">
        <w:rPr>
          <w:lang w:val="fr-FR"/>
        </w:rPr>
        <w:t>Montréal, 28 juin – 2 juillet 2021</w:t>
      </w:r>
      <w:r w:rsidRPr="009A67D5">
        <w:rPr>
          <w:rStyle w:val="FootnoteReference"/>
          <w:lang w:val="fr-FR"/>
        </w:rPr>
        <w:footnoteReference w:id="1"/>
      </w:r>
    </w:p>
    <w:p w14:paraId="467CA6AD" w14:textId="77777777" w:rsidR="00C15867" w:rsidRPr="00C50AC4" w:rsidRDefault="00C15867" w:rsidP="00857077">
      <w:pPr>
        <w:jc w:val="left"/>
        <w:rPr>
          <w:lang w:val="fr-CA"/>
        </w:rPr>
      </w:pPr>
    </w:p>
    <w:p w14:paraId="37132818" w14:textId="32CEA9C0" w:rsidR="00066CE8" w:rsidRPr="00C50AC4" w:rsidRDefault="00066CE8" w:rsidP="00857077">
      <w:pPr>
        <w:jc w:val="left"/>
        <w:rPr>
          <w:lang w:val="fr-CA"/>
        </w:rPr>
      </w:pPr>
    </w:p>
    <w:p w14:paraId="3D52FF4F" w14:textId="77777777" w:rsidR="0000056C" w:rsidRPr="00C50AC4" w:rsidRDefault="0000056C" w:rsidP="00857077">
      <w:pPr>
        <w:jc w:val="left"/>
        <w:rPr>
          <w:lang w:val="fr-CA"/>
        </w:rPr>
      </w:pPr>
    </w:p>
    <w:p w14:paraId="2F2342BB" w14:textId="3C5BD8C1" w:rsidR="00A37AA1" w:rsidRDefault="009A67D5" w:rsidP="00A37AA1">
      <w:pPr>
        <w:jc w:val="center"/>
        <w:rPr>
          <w:b/>
          <w:caps/>
          <w:lang w:val="fr-FR"/>
        </w:rPr>
      </w:pPr>
      <w:r w:rsidRPr="006D7A57">
        <w:rPr>
          <w:b/>
          <w:lang w:val="fr-FR"/>
        </w:rPr>
        <w:t xml:space="preserve">PROJET DE LIGNES DIRECTRICES </w:t>
      </w:r>
      <w:r w:rsidR="00E65AE2">
        <w:rPr>
          <w:b/>
          <w:lang w:val="fr-FR"/>
        </w:rPr>
        <w:t xml:space="preserve">RELATIVES À </w:t>
      </w:r>
      <w:r w:rsidRPr="006D7A57">
        <w:rPr>
          <w:b/>
          <w:lang w:val="fr-FR"/>
        </w:rPr>
        <w:t xml:space="preserve">LA </w:t>
      </w:r>
      <w:r w:rsidRPr="006D7A57">
        <w:rPr>
          <w:b/>
          <w:caps/>
          <w:lang w:val="fr-FR"/>
        </w:rPr>
        <w:t>prÉparation DES plans DE rÉduction progressive des HFC POUR les pays visÉ</w:t>
      </w:r>
      <w:r w:rsidR="00E65AE2">
        <w:rPr>
          <w:b/>
          <w:caps/>
          <w:lang w:val="fr-FR"/>
        </w:rPr>
        <w:t>S</w:t>
      </w:r>
      <w:r w:rsidRPr="006D7A57">
        <w:rPr>
          <w:b/>
          <w:caps/>
          <w:lang w:val="fr-FR"/>
        </w:rPr>
        <w:t xml:space="preserve"> À l</w:t>
      </w:r>
      <w:r w:rsidR="00330498">
        <w:rPr>
          <w:b/>
          <w:caps/>
          <w:lang w:val="fr-FR"/>
        </w:rPr>
        <w:t>’</w:t>
      </w:r>
      <w:r w:rsidRPr="006D7A57">
        <w:rPr>
          <w:b/>
          <w:caps/>
          <w:lang w:val="fr-FR"/>
        </w:rPr>
        <w:t>article 5</w:t>
      </w:r>
    </w:p>
    <w:p w14:paraId="1D27B89A" w14:textId="175FBFDB" w:rsidR="00FE06A2" w:rsidRDefault="009A67D5" w:rsidP="00A37AA1">
      <w:pPr>
        <w:jc w:val="center"/>
        <w:rPr>
          <w:b/>
          <w:caps/>
          <w:lang w:val="fr-FR"/>
        </w:rPr>
      </w:pPr>
      <w:r w:rsidRPr="006D7A57">
        <w:rPr>
          <w:b/>
          <w:caps/>
          <w:lang w:val="fr-FR"/>
        </w:rPr>
        <w:t>(dÉcisio</w:t>
      </w:r>
      <w:r w:rsidR="00E65AE2">
        <w:rPr>
          <w:b/>
          <w:caps/>
          <w:lang w:val="fr-FR"/>
        </w:rPr>
        <w:t>N 86/93)</w:t>
      </w:r>
    </w:p>
    <w:p w14:paraId="463D7D71" w14:textId="77777777" w:rsidR="00FE06A2" w:rsidRDefault="00FE06A2" w:rsidP="00A37AA1">
      <w:pPr>
        <w:jc w:val="center"/>
        <w:rPr>
          <w:b/>
          <w:caps/>
          <w:lang w:val="fr-FR"/>
        </w:rPr>
      </w:pPr>
    </w:p>
    <w:p w14:paraId="40022334" w14:textId="3546731F" w:rsidR="00FE06A2" w:rsidRPr="00DD2CEF" w:rsidRDefault="00FE06A2" w:rsidP="00FE06A2">
      <w:pPr>
        <w:jc w:val="center"/>
        <w:rPr>
          <w:b/>
        </w:rPr>
      </w:pPr>
      <w:r w:rsidRPr="00DD2CEF">
        <w:rPr>
          <w:b/>
        </w:rPr>
        <w:t xml:space="preserve">Note </w:t>
      </w:r>
      <w:r>
        <w:rPr>
          <w:b/>
        </w:rPr>
        <w:t xml:space="preserve">du </w:t>
      </w:r>
      <w:r w:rsidRPr="00DD2CEF">
        <w:rPr>
          <w:b/>
        </w:rPr>
        <w:t>Secr</w:t>
      </w:r>
      <w:r>
        <w:rPr>
          <w:b/>
        </w:rPr>
        <w:t>é</w:t>
      </w:r>
      <w:r w:rsidRPr="00DD2CEF">
        <w:rPr>
          <w:b/>
        </w:rPr>
        <w:t>tariat</w:t>
      </w:r>
    </w:p>
    <w:p w14:paraId="036A264F" w14:textId="17E1A32C" w:rsidR="00A37AA1" w:rsidRDefault="00A37AA1" w:rsidP="00A37AA1">
      <w:pPr>
        <w:jc w:val="center"/>
        <w:rPr>
          <w:b/>
          <w:caps/>
          <w:lang w:val="fr-FR"/>
        </w:rPr>
      </w:pPr>
    </w:p>
    <w:p w14:paraId="5C4D0CDC" w14:textId="4D020FEC" w:rsidR="000F1514" w:rsidRPr="006D7A57" w:rsidRDefault="006D7A57" w:rsidP="000F1514">
      <w:pPr>
        <w:jc w:val="left"/>
      </w:pPr>
      <w:r w:rsidRPr="006D7A57">
        <w:rPr>
          <w:b/>
          <w:lang w:val="fr-FR"/>
        </w:rPr>
        <w:t>Contexte</w:t>
      </w:r>
    </w:p>
    <w:p w14:paraId="12F3352F" w14:textId="77777777" w:rsidR="000F1514" w:rsidRDefault="000F1514" w:rsidP="000F1514">
      <w:pPr>
        <w:jc w:val="left"/>
      </w:pPr>
    </w:p>
    <w:p w14:paraId="3117D47D" w14:textId="5D20149A" w:rsidR="006D7A57" w:rsidRPr="00C50AC4" w:rsidRDefault="006D7A57" w:rsidP="006D7A57">
      <w:pPr>
        <w:pStyle w:val="Heading1"/>
        <w:rPr>
          <w:lang w:val="fr-CA"/>
        </w:rPr>
      </w:pPr>
      <w:r w:rsidRPr="006D7A57">
        <w:rPr>
          <w:lang w:val="fr-FR"/>
        </w:rPr>
        <w:t>Le plan d</w:t>
      </w:r>
      <w:r w:rsidR="00330498">
        <w:rPr>
          <w:lang w:val="fr-FR"/>
        </w:rPr>
        <w:t>’</w:t>
      </w:r>
      <w:r w:rsidRPr="006D7A57">
        <w:rPr>
          <w:lang w:val="fr-FR"/>
        </w:rPr>
        <w:t>urgence conçu pour l</w:t>
      </w:r>
      <w:r w:rsidR="00330498">
        <w:rPr>
          <w:lang w:val="fr-FR"/>
        </w:rPr>
        <w:t>’</w:t>
      </w:r>
      <w:r w:rsidRPr="006D7A57">
        <w:rPr>
          <w:lang w:val="fr-FR"/>
        </w:rPr>
        <w:t>organisation des 85</w:t>
      </w:r>
      <w:r w:rsidRPr="006D7A57">
        <w:rPr>
          <w:vertAlign w:val="superscript"/>
          <w:lang w:val="fr-FR"/>
        </w:rPr>
        <w:t>e</w:t>
      </w:r>
      <w:r w:rsidRPr="006D7A57">
        <w:rPr>
          <w:lang w:val="fr-FR"/>
        </w:rPr>
        <w:t xml:space="preserve"> et 86</w:t>
      </w:r>
      <w:r w:rsidRPr="006D7A57">
        <w:rPr>
          <w:vertAlign w:val="superscript"/>
          <w:lang w:val="fr-FR"/>
        </w:rPr>
        <w:t>e</w:t>
      </w:r>
      <w:r w:rsidR="00FE06A2">
        <w:rPr>
          <w:rStyle w:val="FootnoteReference"/>
        </w:rPr>
        <w:footnoteReference w:id="2"/>
      </w:r>
      <w:r w:rsidR="00FE06A2" w:rsidRPr="00C50AC4">
        <w:rPr>
          <w:lang w:val="fr-CA"/>
        </w:rPr>
        <w:t xml:space="preserve"> </w:t>
      </w:r>
      <w:r w:rsidRPr="006D7A57">
        <w:rPr>
          <w:lang w:val="fr-FR"/>
        </w:rPr>
        <w:t>réunion</w:t>
      </w:r>
      <w:r w:rsidR="00E65AE2">
        <w:rPr>
          <w:lang w:val="fr-FR"/>
        </w:rPr>
        <w:t>s</w:t>
      </w:r>
      <w:r w:rsidRPr="006D7A57">
        <w:rPr>
          <w:lang w:val="fr-FR"/>
        </w:rPr>
        <w:t xml:space="preserve"> a été modifié et adapté à plusieurs reprises en fonction de l</w:t>
      </w:r>
      <w:r w:rsidR="00330498">
        <w:rPr>
          <w:lang w:val="fr-FR"/>
        </w:rPr>
        <w:t>’</w:t>
      </w:r>
      <w:r w:rsidRPr="006D7A57">
        <w:rPr>
          <w:lang w:val="fr-FR"/>
        </w:rPr>
        <w:t>évolution de la pandémie de COVID-19. La dernière modification, datant de mars</w:t>
      </w:r>
      <w:r w:rsidR="00FE06A2">
        <w:rPr>
          <w:lang w:val="fr-FR"/>
        </w:rPr>
        <w:t> </w:t>
      </w:r>
      <w:r w:rsidRPr="006D7A57">
        <w:rPr>
          <w:lang w:val="fr-FR"/>
        </w:rPr>
        <w:t>2021</w:t>
      </w:r>
      <w:r w:rsidRPr="006D7A57">
        <w:rPr>
          <w:rStyle w:val="FootnoteReference"/>
          <w:lang w:val="fr-FR"/>
        </w:rPr>
        <w:footnoteReference w:id="3"/>
      </w:r>
      <w:r w:rsidRPr="006D7A57">
        <w:rPr>
          <w:lang w:val="fr-FR"/>
        </w:rPr>
        <w:t>, présentait les procédures convenues, notamment le fait de tenir la 86</w:t>
      </w:r>
      <w:r w:rsidRPr="006D7A57">
        <w:rPr>
          <w:vertAlign w:val="superscript"/>
          <w:lang w:val="fr-FR"/>
        </w:rPr>
        <w:t>e</w:t>
      </w:r>
      <w:r w:rsidRPr="006D7A57">
        <w:rPr>
          <w:lang w:val="fr-FR"/>
        </w:rPr>
        <w:t xml:space="preserve"> réunion reportée dans le cadre </w:t>
      </w:r>
      <w:r w:rsidR="000C5998" w:rsidRPr="006D7A57">
        <w:rPr>
          <w:lang w:val="fr-FR"/>
        </w:rPr>
        <w:t xml:space="preserve">entre autres </w:t>
      </w:r>
      <w:r w:rsidRPr="006D7A57">
        <w:rPr>
          <w:lang w:val="fr-FR"/>
        </w:rPr>
        <w:t>de réunions officielles en ligne</w:t>
      </w:r>
      <w:r w:rsidRPr="006D7A57">
        <w:rPr>
          <w:rStyle w:val="FootnoteReference"/>
          <w:lang w:val="fr-FR"/>
        </w:rPr>
        <w:footnoteReference w:id="4"/>
      </w:r>
      <w:r w:rsidRPr="006D7A57">
        <w:rPr>
          <w:lang w:val="fr-FR"/>
        </w:rPr>
        <w:t xml:space="preserve"> afin d</w:t>
      </w:r>
      <w:r w:rsidR="00330498">
        <w:rPr>
          <w:lang w:val="fr-FR"/>
        </w:rPr>
        <w:t>’</w:t>
      </w:r>
      <w:r w:rsidRPr="006D7A57">
        <w:rPr>
          <w:lang w:val="fr-FR"/>
        </w:rPr>
        <w:t>examiner plusieurs points de l</w:t>
      </w:r>
      <w:r w:rsidR="00330498">
        <w:rPr>
          <w:lang w:val="fr-FR"/>
        </w:rPr>
        <w:t>’</w:t>
      </w:r>
      <w:r w:rsidRPr="006D7A57">
        <w:rPr>
          <w:lang w:val="fr-FR"/>
        </w:rPr>
        <w:t xml:space="preserve">ordre du jour, notamment le point 13(c) sur le </w:t>
      </w:r>
      <w:r w:rsidR="000C5998">
        <w:rPr>
          <w:lang w:val="fr-FR"/>
        </w:rPr>
        <w:t>P</w:t>
      </w:r>
      <w:r w:rsidRPr="006D7A57">
        <w:rPr>
          <w:lang w:val="fr-FR"/>
        </w:rPr>
        <w:t xml:space="preserve">rojet de lignes directrices </w:t>
      </w:r>
      <w:r w:rsidR="00E65AE2">
        <w:rPr>
          <w:lang w:val="fr-FR"/>
        </w:rPr>
        <w:t>relatives à</w:t>
      </w:r>
      <w:r w:rsidRPr="006D7A57">
        <w:rPr>
          <w:lang w:val="fr-FR"/>
        </w:rPr>
        <w:t xml:space="preserve"> la préparation des plans de réduction progressive </w:t>
      </w:r>
      <w:r w:rsidRPr="006D7A57">
        <w:rPr>
          <w:rFonts w:eastAsia="Calibri"/>
          <w:lang w:val="fr-FR"/>
        </w:rPr>
        <w:t>des HCF pour les pays visés à l</w:t>
      </w:r>
      <w:r w:rsidR="00330498">
        <w:rPr>
          <w:rFonts w:eastAsia="Calibri"/>
          <w:lang w:val="fr-FR"/>
        </w:rPr>
        <w:t>’</w:t>
      </w:r>
      <w:r w:rsidRPr="006D7A57">
        <w:rPr>
          <w:rFonts w:eastAsia="Calibri"/>
          <w:lang w:val="fr-FR"/>
        </w:rPr>
        <w:t>article 5 (décision 84/54(a)).</w:t>
      </w:r>
      <w:r w:rsidRPr="00C50AC4">
        <w:rPr>
          <w:rFonts w:eastAsia="Calibri"/>
          <w:lang w:val="fr-CA"/>
        </w:rPr>
        <w:t xml:space="preserve"> </w:t>
      </w:r>
    </w:p>
    <w:p w14:paraId="45C220F1" w14:textId="56F63F81" w:rsidR="006D7A57" w:rsidRPr="00C50AC4" w:rsidRDefault="00B66E3E" w:rsidP="00B66E3E">
      <w:pPr>
        <w:pStyle w:val="Heading1"/>
        <w:rPr>
          <w:rFonts w:eastAsia="Calibri"/>
          <w:lang w:val="fr-CA"/>
        </w:rPr>
      </w:pPr>
      <w:r w:rsidRPr="00B66E3E">
        <w:rPr>
          <w:rFonts w:eastAsia="Calibri"/>
          <w:lang w:val="fr-FR"/>
        </w:rPr>
        <w:t>Les discussions porta</w:t>
      </w:r>
      <w:r>
        <w:rPr>
          <w:rFonts w:eastAsia="Calibri"/>
          <w:lang w:val="fr-FR"/>
        </w:rPr>
        <w:t>nt</w:t>
      </w:r>
      <w:r w:rsidRPr="00B66E3E">
        <w:rPr>
          <w:rFonts w:eastAsia="Calibri"/>
          <w:lang w:val="fr-FR"/>
        </w:rPr>
        <w:t xml:space="preserve"> sur le point 13 (c) de l</w:t>
      </w:r>
      <w:r w:rsidR="00330498">
        <w:rPr>
          <w:rFonts w:eastAsia="Calibri"/>
          <w:lang w:val="fr-FR"/>
        </w:rPr>
        <w:t>’</w:t>
      </w:r>
      <w:r w:rsidRPr="00B66E3E">
        <w:rPr>
          <w:rFonts w:eastAsia="Calibri"/>
          <w:lang w:val="fr-FR"/>
        </w:rPr>
        <w:t>ordre du jour, qui s</w:t>
      </w:r>
      <w:r w:rsidR="00330498">
        <w:rPr>
          <w:rFonts w:eastAsia="Calibri"/>
          <w:lang w:val="fr-FR"/>
        </w:rPr>
        <w:t>’</w:t>
      </w:r>
      <w:r w:rsidRPr="00B66E3E">
        <w:rPr>
          <w:rFonts w:eastAsia="Calibri"/>
          <w:lang w:val="fr-FR"/>
        </w:rPr>
        <w:t>appuyaient sur le document UNEP/OzL.Pro/ExCom/86/88, ont d</w:t>
      </w:r>
      <w:r w:rsidR="00330498">
        <w:rPr>
          <w:rFonts w:eastAsia="Calibri"/>
          <w:lang w:val="fr-FR"/>
        </w:rPr>
        <w:t>’</w:t>
      </w:r>
      <w:r w:rsidRPr="00B66E3E">
        <w:rPr>
          <w:rFonts w:eastAsia="Calibri"/>
          <w:lang w:val="fr-FR"/>
        </w:rPr>
        <w:t>abord eu lieu dans le cadre d</w:t>
      </w:r>
      <w:r w:rsidR="00330498">
        <w:rPr>
          <w:rFonts w:eastAsia="Calibri"/>
          <w:lang w:val="fr-FR"/>
        </w:rPr>
        <w:t>’</w:t>
      </w:r>
      <w:r w:rsidRPr="00B66E3E">
        <w:rPr>
          <w:rFonts w:eastAsia="Calibri"/>
          <w:lang w:val="fr-FR"/>
        </w:rPr>
        <w:t>une réunion officielle en ligne puis au sein d</w:t>
      </w:r>
      <w:r w:rsidR="00330498">
        <w:rPr>
          <w:rFonts w:eastAsia="Calibri"/>
          <w:lang w:val="fr-FR"/>
        </w:rPr>
        <w:t>’</w:t>
      </w:r>
      <w:r w:rsidRPr="00B66E3E">
        <w:rPr>
          <w:rFonts w:eastAsia="Calibri"/>
          <w:lang w:val="fr-FR"/>
        </w:rPr>
        <w:t>un groupe de contact.</w:t>
      </w:r>
      <w:r w:rsidRPr="00C50AC4">
        <w:rPr>
          <w:rFonts w:eastAsia="Calibri"/>
          <w:lang w:val="fr-CA"/>
        </w:rPr>
        <w:t xml:space="preserve"> </w:t>
      </w:r>
    </w:p>
    <w:p w14:paraId="52E97C7B" w14:textId="2DBA675E" w:rsidR="000F1514" w:rsidRPr="00C50AC4" w:rsidRDefault="00B66E3E" w:rsidP="00B66E3E">
      <w:pPr>
        <w:rPr>
          <w:b/>
          <w:lang w:val="fr-CA"/>
        </w:rPr>
      </w:pPr>
      <w:r w:rsidRPr="00B66E3E">
        <w:rPr>
          <w:b/>
          <w:lang w:val="fr-FR"/>
        </w:rPr>
        <w:t>Résumé de</w:t>
      </w:r>
      <w:r w:rsidR="00FE06A2">
        <w:rPr>
          <w:b/>
          <w:lang w:val="fr-FR"/>
        </w:rPr>
        <w:t>s</w:t>
      </w:r>
      <w:r w:rsidRPr="00B66E3E">
        <w:rPr>
          <w:b/>
          <w:lang w:val="fr-FR"/>
        </w:rPr>
        <w:t xml:space="preserve"> discussion</w:t>
      </w:r>
      <w:r w:rsidR="00FE06A2">
        <w:rPr>
          <w:b/>
          <w:lang w:val="fr-FR"/>
        </w:rPr>
        <w:t>s</w:t>
      </w:r>
      <w:r w:rsidRPr="00B66E3E">
        <w:rPr>
          <w:b/>
          <w:lang w:val="fr-FR"/>
        </w:rPr>
        <w:t xml:space="preserve"> lors de la 86</w:t>
      </w:r>
      <w:r w:rsidRPr="00B66E3E">
        <w:rPr>
          <w:b/>
          <w:vertAlign w:val="superscript"/>
          <w:lang w:val="fr-FR"/>
        </w:rPr>
        <w:t>e</w:t>
      </w:r>
      <w:r w:rsidRPr="00B66E3E">
        <w:rPr>
          <w:b/>
          <w:lang w:val="fr-FR"/>
        </w:rPr>
        <w:t xml:space="preserve"> réunion</w:t>
      </w:r>
    </w:p>
    <w:p w14:paraId="6259696D" w14:textId="77777777" w:rsidR="000F1514" w:rsidRPr="00C50AC4" w:rsidRDefault="000F1514" w:rsidP="000F1514">
      <w:pPr>
        <w:rPr>
          <w:lang w:val="fr-CA"/>
        </w:rPr>
      </w:pPr>
    </w:p>
    <w:p w14:paraId="25C15E31" w14:textId="6B9A896C" w:rsidR="00DA3AE7" w:rsidRPr="00C50AC4" w:rsidRDefault="003E5D62" w:rsidP="00DA3AE7">
      <w:pPr>
        <w:pStyle w:val="Heading1"/>
        <w:rPr>
          <w:lang w:val="fr-CA"/>
        </w:rPr>
      </w:pPr>
      <w:r w:rsidRPr="003E5D62">
        <w:rPr>
          <w:lang w:val="fr-FR"/>
        </w:rPr>
        <w:t>Au cours de la réunion officielle en ligne, l</w:t>
      </w:r>
      <w:r w:rsidR="00E65AE2">
        <w:rPr>
          <w:lang w:val="fr-FR"/>
        </w:rPr>
        <w:t>a</w:t>
      </w:r>
      <w:r w:rsidRPr="003E5D62">
        <w:rPr>
          <w:lang w:val="fr-FR"/>
        </w:rPr>
        <w:t xml:space="preserve"> représentant</w:t>
      </w:r>
      <w:r w:rsidR="00E65AE2">
        <w:rPr>
          <w:lang w:val="fr-FR"/>
        </w:rPr>
        <w:t xml:space="preserve">e </w:t>
      </w:r>
      <w:r w:rsidRPr="003E5D62">
        <w:rPr>
          <w:lang w:val="fr-FR"/>
        </w:rPr>
        <w:t>du Secrétariat a présenté le document UNEP/OzL.Pro/ExCom/86/88. Plusieurs membres ont remercié le Secrétariat pour la préparation de ce document qui constituait un</w:t>
      </w:r>
      <w:r w:rsidR="0098353B">
        <w:rPr>
          <w:lang w:val="fr-FR"/>
        </w:rPr>
        <w:t>e bonne base</w:t>
      </w:r>
      <w:r w:rsidR="00A37AA1">
        <w:rPr>
          <w:lang w:val="fr-FR"/>
        </w:rPr>
        <w:t xml:space="preserve"> </w:t>
      </w:r>
      <w:r w:rsidRPr="003E5D62">
        <w:rPr>
          <w:lang w:val="fr-FR"/>
        </w:rPr>
        <w:t>pour la</w:t>
      </w:r>
      <w:r w:rsidR="00FE06A2">
        <w:rPr>
          <w:lang w:val="fr-FR"/>
        </w:rPr>
        <w:t> </w:t>
      </w:r>
      <w:r w:rsidRPr="003E5D62">
        <w:rPr>
          <w:lang w:val="fr-FR"/>
        </w:rPr>
        <w:t>discussion.</w:t>
      </w:r>
      <w:r w:rsidRPr="00C50AC4">
        <w:rPr>
          <w:lang w:val="fr-CA"/>
        </w:rPr>
        <w:t xml:space="preserve"> </w:t>
      </w:r>
      <w:r w:rsidRPr="003E5D62">
        <w:rPr>
          <w:lang w:val="fr-FR"/>
        </w:rPr>
        <w:t>Certains d</w:t>
      </w:r>
      <w:r w:rsidR="00330498">
        <w:rPr>
          <w:lang w:val="fr-FR"/>
        </w:rPr>
        <w:t>’</w:t>
      </w:r>
      <w:r w:rsidRPr="003E5D62">
        <w:rPr>
          <w:lang w:val="fr-FR"/>
        </w:rPr>
        <w:t>entre eux ont souligné l</w:t>
      </w:r>
      <w:r w:rsidR="00330498">
        <w:rPr>
          <w:lang w:val="fr-FR"/>
        </w:rPr>
        <w:t>’</w:t>
      </w:r>
      <w:r w:rsidRPr="003E5D62">
        <w:rPr>
          <w:lang w:val="fr-FR"/>
        </w:rPr>
        <w:t>importance d</w:t>
      </w:r>
      <w:r w:rsidR="00330498">
        <w:rPr>
          <w:lang w:val="fr-FR"/>
        </w:rPr>
        <w:t>’</w:t>
      </w:r>
      <w:r w:rsidRPr="003E5D62">
        <w:rPr>
          <w:lang w:val="fr-FR"/>
        </w:rPr>
        <w:t xml:space="preserve">approuver les lignes directrices dès que possible afin de permettre aux pays visés à </w:t>
      </w:r>
      <w:r w:rsidRPr="003E5D62">
        <w:rPr>
          <w:lang w:val="fr-FR"/>
        </w:rPr>
        <w:lastRenderedPageBreak/>
        <w:t>l</w:t>
      </w:r>
      <w:r w:rsidR="00330498">
        <w:rPr>
          <w:lang w:val="fr-FR"/>
        </w:rPr>
        <w:t>’</w:t>
      </w:r>
      <w:r w:rsidRPr="003E5D62">
        <w:rPr>
          <w:lang w:val="fr-FR"/>
        </w:rPr>
        <w:t>article 5 de prendre des mesures pour se préparer à la réduction progressive des HFC.</w:t>
      </w:r>
      <w:r w:rsidRPr="00C50AC4">
        <w:rPr>
          <w:lang w:val="fr-CA"/>
        </w:rPr>
        <w:t xml:space="preserve"> </w:t>
      </w:r>
      <w:r w:rsidR="00DA3AE7" w:rsidRPr="00DA3AE7">
        <w:rPr>
          <w:lang w:val="fr-FR"/>
        </w:rPr>
        <w:t xml:space="preserve">En réponse aux observations </w:t>
      </w:r>
      <w:r w:rsidR="00E65AE2">
        <w:rPr>
          <w:lang w:val="fr-FR"/>
        </w:rPr>
        <w:t>faites sur</w:t>
      </w:r>
      <w:r w:rsidR="00DA3AE7" w:rsidRPr="00DA3AE7">
        <w:rPr>
          <w:lang w:val="fr-FR"/>
        </w:rPr>
        <w:t xml:space="preserve"> le</w:t>
      </w:r>
      <w:r w:rsidR="0098353B">
        <w:rPr>
          <w:lang w:val="fr-FR"/>
        </w:rPr>
        <w:t>s</w:t>
      </w:r>
      <w:r w:rsidR="00DA3AE7" w:rsidRPr="00DA3AE7">
        <w:rPr>
          <w:lang w:val="fr-FR"/>
        </w:rPr>
        <w:t xml:space="preserve"> document</w:t>
      </w:r>
      <w:r w:rsidR="0098353B">
        <w:rPr>
          <w:lang w:val="fr-FR"/>
        </w:rPr>
        <w:t>s</w:t>
      </w:r>
      <w:r w:rsidR="00DA3AE7" w:rsidRPr="00DA3AE7">
        <w:rPr>
          <w:lang w:val="fr-FR"/>
        </w:rPr>
        <w:t xml:space="preserve"> UNEP/OzL.Pro/ExCom/86/88 et UNEP/OzL.Pro/ExCom/86/87 (sur les stratégies politiques générales et engagements possibles, </w:t>
      </w:r>
      <w:r w:rsidR="00DD4D0F">
        <w:rPr>
          <w:lang w:val="fr-FR"/>
        </w:rPr>
        <w:t xml:space="preserve">ainsi que les </w:t>
      </w:r>
      <w:r w:rsidR="00DA3AE7" w:rsidRPr="00DA3AE7">
        <w:rPr>
          <w:lang w:val="fr-FR"/>
        </w:rPr>
        <w:t>projets et activités pouvant être intégrés à la phase I des plans de réduction progressive des HFC pour les pays visés à l</w:t>
      </w:r>
      <w:r w:rsidR="00330498">
        <w:rPr>
          <w:lang w:val="fr-FR"/>
        </w:rPr>
        <w:t>’</w:t>
      </w:r>
      <w:r w:rsidR="00DA3AE7" w:rsidRPr="00DA3AE7">
        <w:rPr>
          <w:lang w:val="fr-FR"/>
        </w:rPr>
        <w:t xml:space="preserve">article 5) </w:t>
      </w:r>
      <w:r w:rsidR="00DD4D0F">
        <w:rPr>
          <w:lang w:val="fr-FR"/>
        </w:rPr>
        <w:t>exprimant qu</w:t>
      </w:r>
      <w:r w:rsidR="000C5998">
        <w:rPr>
          <w:lang w:val="fr-FR"/>
        </w:rPr>
        <w:t>e ces documents</w:t>
      </w:r>
      <w:r w:rsidR="0098353B">
        <w:rPr>
          <w:lang w:val="fr-FR"/>
        </w:rPr>
        <w:t xml:space="preserve"> </w:t>
      </w:r>
      <w:r w:rsidR="00DD4D0F">
        <w:rPr>
          <w:lang w:val="fr-FR"/>
        </w:rPr>
        <w:t>pourraient être examinés conjointement, la</w:t>
      </w:r>
      <w:r w:rsidR="00DA3AE7" w:rsidRPr="00DA3AE7">
        <w:rPr>
          <w:lang w:val="fr-FR"/>
        </w:rPr>
        <w:t xml:space="preserve"> représentant</w:t>
      </w:r>
      <w:r w:rsidR="00DD4D0F">
        <w:rPr>
          <w:lang w:val="fr-FR"/>
        </w:rPr>
        <w:t>e</w:t>
      </w:r>
      <w:r w:rsidR="00DA3AE7" w:rsidRPr="00DA3AE7">
        <w:rPr>
          <w:lang w:val="fr-FR"/>
        </w:rPr>
        <w:t xml:space="preserve"> du Secrétariat a expliqué que </w:t>
      </w:r>
      <w:r w:rsidR="00DD4D0F">
        <w:rPr>
          <w:lang w:val="fr-FR"/>
        </w:rPr>
        <w:t>le fait de ne pas reprendre</w:t>
      </w:r>
      <w:r w:rsidR="00DA3AE7" w:rsidRPr="00DA3AE7">
        <w:rPr>
          <w:lang w:val="fr-FR"/>
        </w:rPr>
        <w:t xml:space="preserve"> dans un document des sujets traités dans un autre avait fait l</w:t>
      </w:r>
      <w:r w:rsidR="00330498">
        <w:rPr>
          <w:lang w:val="fr-FR"/>
        </w:rPr>
        <w:t>’</w:t>
      </w:r>
      <w:r w:rsidR="00DA3AE7" w:rsidRPr="00DA3AE7">
        <w:rPr>
          <w:lang w:val="fr-FR"/>
        </w:rPr>
        <w:t>objet d</w:t>
      </w:r>
      <w:r w:rsidR="00330498">
        <w:rPr>
          <w:lang w:val="fr-FR"/>
        </w:rPr>
        <w:t>’</w:t>
      </w:r>
      <w:r w:rsidR="00DA3AE7" w:rsidRPr="00DA3AE7">
        <w:rPr>
          <w:lang w:val="fr-FR"/>
        </w:rPr>
        <w:t>une décision délibérée.</w:t>
      </w:r>
      <w:r w:rsidR="00DA3AE7" w:rsidRPr="00C50AC4">
        <w:rPr>
          <w:lang w:val="fr-CA"/>
        </w:rPr>
        <w:t xml:space="preserve"> </w:t>
      </w:r>
      <w:r w:rsidR="00DA3AE7" w:rsidRPr="00DA3AE7">
        <w:rPr>
          <w:lang w:val="fr-FR"/>
        </w:rPr>
        <w:t>Le document UNEP/OzL.Pro/ExCom/86/88</w:t>
      </w:r>
      <w:r w:rsidR="00892816">
        <w:rPr>
          <w:lang w:val="fr-FR"/>
        </w:rPr>
        <w:t xml:space="preserve"> </w:t>
      </w:r>
      <w:r w:rsidR="00DD4D0F">
        <w:rPr>
          <w:lang w:val="fr-FR"/>
        </w:rPr>
        <w:t>prioris</w:t>
      </w:r>
      <w:r w:rsidR="00892816">
        <w:rPr>
          <w:lang w:val="fr-FR"/>
        </w:rPr>
        <w:t>ait</w:t>
      </w:r>
      <w:r w:rsidR="00DA3AE7" w:rsidRPr="00DA3AE7">
        <w:rPr>
          <w:lang w:val="fr-FR"/>
        </w:rPr>
        <w:t xml:space="preserve"> l</w:t>
      </w:r>
      <w:r w:rsidR="00330498">
        <w:rPr>
          <w:lang w:val="fr-FR"/>
        </w:rPr>
        <w:t>’</w:t>
      </w:r>
      <w:r w:rsidR="00DA3AE7" w:rsidRPr="00DA3AE7">
        <w:rPr>
          <w:lang w:val="fr-FR"/>
        </w:rPr>
        <w:t xml:space="preserve">examen des niveaux de financement afin de </w:t>
      </w:r>
      <w:r w:rsidR="00DD4D0F" w:rsidRPr="00DA3AE7">
        <w:rPr>
          <w:lang w:val="fr-FR"/>
        </w:rPr>
        <w:t>permettre</w:t>
      </w:r>
      <w:r w:rsidR="00DA3AE7" w:rsidRPr="00DA3AE7">
        <w:rPr>
          <w:lang w:val="fr-FR"/>
        </w:rPr>
        <w:t xml:space="preserve"> aux pays de travailler à la réduction progressive des HFC.</w:t>
      </w:r>
    </w:p>
    <w:p w14:paraId="7CCC6FCF" w14:textId="0375A562" w:rsidR="00A73F21" w:rsidRPr="00C50AC4" w:rsidRDefault="00DA3AE7" w:rsidP="00A73F21">
      <w:pPr>
        <w:pStyle w:val="Heading1"/>
        <w:rPr>
          <w:lang w:val="fr-CA"/>
        </w:rPr>
      </w:pPr>
      <w:r w:rsidRPr="00DA3AE7">
        <w:rPr>
          <w:lang w:val="fr-FR"/>
        </w:rPr>
        <w:t xml:space="preserve">Plusieurs membres ont mis en avant la </w:t>
      </w:r>
      <w:r w:rsidR="00DD4D0F" w:rsidRPr="00DA3AE7">
        <w:rPr>
          <w:lang w:val="fr-FR"/>
        </w:rPr>
        <w:t>nécessité</w:t>
      </w:r>
      <w:r w:rsidRPr="00DA3AE7">
        <w:rPr>
          <w:lang w:val="fr-FR"/>
        </w:rPr>
        <w:t xml:space="preserve"> d</w:t>
      </w:r>
      <w:r w:rsidR="00330498">
        <w:rPr>
          <w:lang w:val="fr-FR"/>
        </w:rPr>
        <w:t>’</w:t>
      </w:r>
      <w:r w:rsidRPr="00DA3AE7">
        <w:rPr>
          <w:lang w:val="fr-FR"/>
        </w:rPr>
        <w:t>une approche intégrée de l</w:t>
      </w:r>
      <w:r w:rsidR="00330498">
        <w:rPr>
          <w:lang w:val="fr-FR"/>
        </w:rPr>
        <w:t>’</w:t>
      </w:r>
      <w:r w:rsidRPr="00DA3AE7">
        <w:rPr>
          <w:lang w:val="fr-FR"/>
        </w:rPr>
        <w:t>élimination des HCFC et de la réduction progressive des HFC afin d</w:t>
      </w:r>
      <w:r w:rsidR="00330498">
        <w:rPr>
          <w:lang w:val="fr-FR"/>
        </w:rPr>
        <w:t>’</w:t>
      </w:r>
      <w:r w:rsidR="00DD4D0F" w:rsidRPr="00DA3AE7">
        <w:rPr>
          <w:lang w:val="fr-FR"/>
        </w:rPr>
        <w:t>éviter</w:t>
      </w:r>
      <w:r w:rsidRPr="00DA3AE7">
        <w:rPr>
          <w:lang w:val="fr-FR"/>
        </w:rPr>
        <w:t xml:space="preserve"> chevauchements ou </w:t>
      </w:r>
      <w:r w:rsidR="00892816">
        <w:rPr>
          <w:lang w:val="fr-FR"/>
        </w:rPr>
        <w:t>répétitions</w:t>
      </w:r>
      <w:r w:rsidRPr="00DA3AE7">
        <w:rPr>
          <w:lang w:val="fr-FR"/>
        </w:rPr>
        <w:t>, de maximiser les synergies et d</w:t>
      </w:r>
      <w:r w:rsidR="00330498">
        <w:rPr>
          <w:lang w:val="fr-FR"/>
        </w:rPr>
        <w:t>’</w:t>
      </w:r>
      <w:r w:rsidRPr="00DA3AE7">
        <w:rPr>
          <w:lang w:val="fr-FR"/>
        </w:rPr>
        <w:t>assurer l</w:t>
      </w:r>
      <w:r w:rsidR="00330498">
        <w:rPr>
          <w:lang w:val="fr-FR"/>
        </w:rPr>
        <w:t>’</w:t>
      </w:r>
      <w:r w:rsidRPr="00DA3AE7">
        <w:rPr>
          <w:lang w:val="fr-FR"/>
        </w:rPr>
        <w:t>utilisation la plus efficace possible des ressources du Fonds Multilatéral.</w:t>
      </w:r>
      <w:r w:rsidRPr="00C50AC4">
        <w:rPr>
          <w:lang w:val="fr-CA"/>
        </w:rPr>
        <w:t xml:space="preserve"> </w:t>
      </w:r>
      <w:r w:rsidR="00A73F21" w:rsidRPr="00A73F21">
        <w:rPr>
          <w:lang w:val="fr-FR"/>
        </w:rPr>
        <w:t>Un membre a fait remarquer l</w:t>
      </w:r>
      <w:r w:rsidR="00330498">
        <w:rPr>
          <w:lang w:val="fr-FR"/>
        </w:rPr>
        <w:t>’</w:t>
      </w:r>
      <w:r w:rsidR="00A73F21" w:rsidRPr="00A73F21">
        <w:rPr>
          <w:lang w:val="fr-FR"/>
        </w:rPr>
        <w:t>absence</w:t>
      </w:r>
      <w:r w:rsidR="00892816">
        <w:rPr>
          <w:lang w:val="fr-FR"/>
        </w:rPr>
        <w:t>,</w:t>
      </w:r>
      <w:r w:rsidR="00A73F21" w:rsidRPr="00A73F21">
        <w:rPr>
          <w:lang w:val="fr-FR"/>
        </w:rPr>
        <w:t xml:space="preserve"> dans le projet de décision</w:t>
      </w:r>
      <w:r w:rsidR="00892816">
        <w:rPr>
          <w:lang w:val="fr-FR"/>
        </w:rPr>
        <w:t>,</w:t>
      </w:r>
      <w:r w:rsidR="00A73F21" w:rsidRPr="00A73F21">
        <w:rPr>
          <w:lang w:val="fr-FR"/>
        </w:rPr>
        <w:t xml:space="preserve"> de toute mention d</w:t>
      </w:r>
      <w:r w:rsidR="00330498">
        <w:rPr>
          <w:lang w:val="fr-FR"/>
        </w:rPr>
        <w:t>’</w:t>
      </w:r>
      <w:r w:rsidR="00A73F21" w:rsidRPr="00A73F21">
        <w:rPr>
          <w:lang w:val="fr-FR"/>
        </w:rPr>
        <w:t>une stratégie d</w:t>
      </w:r>
      <w:r w:rsidR="00330498">
        <w:rPr>
          <w:lang w:val="fr-FR"/>
        </w:rPr>
        <w:t>’</w:t>
      </w:r>
      <w:r w:rsidR="00A73F21" w:rsidRPr="00A73F21">
        <w:rPr>
          <w:lang w:val="fr-FR"/>
        </w:rPr>
        <w:t>ensemble concernant les</w:t>
      </w:r>
      <w:r w:rsidR="00FE06A2">
        <w:rPr>
          <w:lang w:val="fr-FR"/>
        </w:rPr>
        <w:t> </w:t>
      </w:r>
      <w:r w:rsidR="00A73F21" w:rsidRPr="00A73F21">
        <w:rPr>
          <w:lang w:val="fr-FR"/>
        </w:rPr>
        <w:t xml:space="preserve">HCFC et les HFC pour </w:t>
      </w:r>
      <w:r w:rsidR="00892816">
        <w:rPr>
          <w:lang w:val="fr-FR"/>
        </w:rPr>
        <w:t>parvenir aux</w:t>
      </w:r>
      <w:r w:rsidR="00A73F21" w:rsidRPr="00A73F21">
        <w:rPr>
          <w:lang w:val="fr-FR"/>
        </w:rPr>
        <w:t xml:space="preserve"> objectifs de conformité du Protocole de Montréal ;</w:t>
      </w:r>
      <w:r w:rsidR="00FE06A2">
        <w:rPr>
          <w:lang w:val="fr-FR"/>
        </w:rPr>
        <w:t> </w:t>
      </w:r>
      <w:r w:rsidR="00A73F21" w:rsidRPr="00A73F21">
        <w:rPr>
          <w:lang w:val="fr-FR"/>
        </w:rPr>
        <w:t>un autre membre a souligné la possibilité d</w:t>
      </w:r>
      <w:r w:rsidR="005A5100">
        <w:rPr>
          <w:lang w:val="fr-FR"/>
        </w:rPr>
        <w:t>’une</w:t>
      </w:r>
      <w:r w:rsidR="00A73F21" w:rsidRPr="00A73F21">
        <w:rPr>
          <w:lang w:val="fr-FR"/>
        </w:rPr>
        <w:t xml:space="preserve"> « r</w:t>
      </w:r>
      <w:r w:rsidR="005A5100">
        <w:rPr>
          <w:lang w:val="fr-FR"/>
        </w:rPr>
        <w:t>éduction</w:t>
      </w:r>
      <w:r w:rsidR="00A73F21" w:rsidRPr="00A73F21">
        <w:rPr>
          <w:lang w:val="fr-FR"/>
        </w:rPr>
        <w:t> » pour les activités relatives au</w:t>
      </w:r>
      <w:r w:rsidR="00A73F21">
        <w:rPr>
          <w:lang w:val="fr-FR"/>
        </w:rPr>
        <w:t>x</w:t>
      </w:r>
      <w:r w:rsidR="00A73F21" w:rsidRPr="00A73F21">
        <w:rPr>
          <w:lang w:val="fr-FR"/>
        </w:rPr>
        <w:t xml:space="preserve"> HFC ayant été précédemment financées, comme les enquêtes et les activités de facilitation.</w:t>
      </w:r>
      <w:r w:rsidR="00A73F21" w:rsidRPr="00C50AC4">
        <w:rPr>
          <w:lang w:val="fr-CA"/>
        </w:rPr>
        <w:t xml:space="preserve"> </w:t>
      </w:r>
      <w:r w:rsidR="00A73F21" w:rsidRPr="00A73F21">
        <w:rPr>
          <w:lang w:val="fr-FR"/>
        </w:rPr>
        <w:t>Un membre a proposé que le Secrétariat prépare un document comparant le processus de préparation des PGEH avec le processus proposé pour la</w:t>
      </w:r>
      <w:r w:rsidR="00FE06A2">
        <w:rPr>
          <w:lang w:val="fr-FR"/>
        </w:rPr>
        <w:t> </w:t>
      </w:r>
      <w:r w:rsidR="00A73F21" w:rsidRPr="00A73F21">
        <w:rPr>
          <w:lang w:val="fr-FR"/>
        </w:rPr>
        <w:t>préparation des plans de réduction progressive des HFC.</w:t>
      </w:r>
    </w:p>
    <w:p w14:paraId="4536C515" w14:textId="5610F4D2" w:rsidR="006764E2" w:rsidRPr="00C50AC4" w:rsidRDefault="00A73F21" w:rsidP="004C7A01">
      <w:pPr>
        <w:pStyle w:val="Heading1"/>
        <w:rPr>
          <w:lang w:val="fr-CA"/>
        </w:rPr>
      </w:pPr>
      <w:r w:rsidRPr="00A73F21">
        <w:rPr>
          <w:lang w:val="fr-FR"/>
        </w:rPr>
        <w:t xml:space="preserve">Plusieurs membres ont </w:t>
      </w:r>
      <w:r w:rsidR="00892816" w:rsidRPr="00A73F21">
        <w:rPr>
          <w:lang w:val="fr-FR"/>
        </w:rPr>
        <w:t>insisté</w:t>
      </w:r>
      <w:r w:rsidRPr="00A73F21">
        <w:rPr>
          <w:lang w:val="fr-FR"/>
        </w:rPr>
        <w:t xml:space="preserve"> sur l</w:t>
      </w:r>
      <w:r w:rsidR="00330498">
        <w:rPr>
          <w:lang w:val="fr-FR"/>
        </w:rPr>
        <w:t>’</w:t>
      </w:r>
      <w:r w:rsidRPr="00A73F21">
        <w:rPr>
          <w:lang w:val="fr-FR"/>
        </w:rPr>
        <w:t>importance d</w:t>
      </w:r>
      <w:r w:rsidR="00330498">
        <w:rPr>
          <w:lang w:val="fr-FR"/>
        </w:rPr>
        <w:t>’</w:t>
      </w:r>
      <w:r w:rsidRPr="00A73F21">
        <w:rPr>
          <w:lang w:val="fr-FR"/>
        </w:rPr>
        <w:t>identifier et d</w:t>
      </w:r>
      <w:r w:rsidR="00330498">
        <w:rPr>
          <w:lang w:val="fr-FR"/>
        </w:rPr>
        <w:t>’</w:t>
      </w:r>
      <w:r w:rsidRPr="00A73F21">
        <w:rPr>
          <w:lang w:val="fr-FR"/>
        </w:rPr>
        <w:t>inclure dans les plans de réduction progressive les nombreux secteurs et sous-secteurs d</w:t>
      </w:r>
      <w:r w:rsidR="00330498">
        <w:rPr>
          <w:lang w:val="fr-FR"/>
        </w:rPr>
        <w:t>’</w:t>
      </w:r>
      <w:r w:rsidRPr="00A73F21">
        <w:rPr>
          <w:lang w:val="fr-FR"/>
        </w:rPr>
        <w:t xml:space="preserve">un pays utilisant des HFC, en dépit </w:t>
      </w:r>
      <w:r w:rsidR="000C5998">
        <w:rPr>
          <w:lang w:val="fr-FR"/>
        </w:rPr>
        <w:t>de</w:t>
      </w:r>
      <w:r w:rsidRPr="00A73F21">
        <w:rPr>
          <w:lang w:val="fr-FR"/>
        </w:rPr>
        <w:t xml:space="preserve"> la </w:t>
      </w:r>
      <w:r w:rsidR="00892816" w:rsidRPr="00A73F21">
        <w:rPr>
          <w:lang w:val="fr-FR"/>
        </w:rPr>
        <w:t>prédominance</w:t>
      </w:r>
      <w:r w:rsidRPr="00A73F21">
        <w:rPr>
          <w:lang w:val="fr-FR"/>
        </w:rPr>
        <w:t xml:space="preserve"> dans le document du secteur de l</w:t>
      </w:r>
      <w:r w:rsidR="00330498">
        <w:rPr>
          <w:lang w:val="fr-FR"/>
        </w:rPr>
        <w:t>’</w:t>
      </w:r>
      <w:r w:rsidRPr="00A73F21">
        <w:rPr>
          <w:lang w:val="fr-FR"/>
        </w:rPr>
        <w:t>entretien des équipements de réfrigération.</w:t>
      </w:r>
      <w:r w:rsidRPr="00C50AC4">
        <w:rPr>
          <w:lang w:val="fr-CA"/>
        </w:rPr>
        <w:t xml:space="preserve"> </w:t>
      </w:r>
      <w:r w:rsidR="00346AD6" w:rsidRPr="00346AD6">
        <w:rPr>
          <w:lang w:val="fr-FR"/>
        </w:rPr>
        <w:t xml:space="preserve">Un membre a </w:t>
      </w:r>
      <w:r w:rsidR="00892816">
        <w:rPr>
          <w:lang w:val="fr-FR"/>
        </w:rPr>
        <w:t xml:space="preserve">souligné </w:t>
      </w:r>
      <w:r w:rsidR="00346AD6" w:rsidRPr="00346AD6">
        <w:rPr>
          <w:lang w:val="fr-FR"/>
        </w:rPr>
        <w:t>le besoin d</w:t>
      </w:r>
      <w:r w:rsidR="00330498">
        <w:rPr>
          <w:lang w:val="fr-FR"/>
        </w:rPr>
        <w:t>’</w:t>
      </w:r>
      <w:r w:rsidR="00346AD6" w:rsidRPr="00346AD6">
        <w:rPr>
          <w:lang w:val="fr-FR"/>
        </w:rPr>
        <w:t>une connaissance approfondie de chaque secteur, en coopérant avec des experts en matière de règles douanières, toxicité, inflammabilité et sûreté.</w:t>
      </w:r>
      <w:r w:rsidR="00346AD6" w:rsidRPr="00C50AC4">
        <w:rPr>
          <w:lang w:val="fr-CA"/>
        </w:rPr>
        <w:t xml:space="preserve"> </w:t>
      </w:r>
      <w:r w:rsidR="00AA7293" w:rsidRPr="00AA7293">
        <w:rPr>
          <w:lang w:val="fr-FR"/>
        </w:rPr>
        <w:t>Un membre a suggéré l</w:t>
      </w:r>
      <w:r w:rsidR="00330498">
        <w:rPr>
          <w:lang w:val="fr-FR"/>
        </w:rPr>
        <w:t>’</w:t>
      </w:r>
      <w:r w:rsidR="00AA7293" w:rsidRPr="00AA7293">
        <w:rPr>
          <w:lang w:val="fr-FR"/>
        </w:rPr>
        <w:t>ajout d</w:t>
      </w:r>
      <w:r w:rsidR="00330498">
        <w:rPr>
          <w:lang w:val="fr-FR"/>
        </w:rPr>
        <w:t>’</w:t>
      </w:r>
      <w:r w:rsidR="00AA7293" w:rsidRPr="00AA7293">
        <w:rPr>
          <w:lang w:val="fr-FR"/>
        </w:rPr>
        <w:t>un texte sur les possibilités d</w:t>
      </w:r>
      <w:r w:rsidR="00330498">
        <w:rPr>
          <w:lang w:val="fr-FR"/>
        </w:rPr>
        <w:t>’</w:t>
      </w:r>
      <w:r w:rsidR="00892816" w:rsidRPr="00AA7293">
        <w:rPr>
          <w:lang w:val="fr-FR"/>
        </w:rPr>
        <w:t>amélioration</w:t>
      </w:r>
      <w:r w:rsidR="00AA7293" w:rsidRPr="00AA7293">
        <w:rPr>
          <w:lang w:val="fr-FR"/>
        </w:rPr>
        <w:t xml:space="preserve"> de l</w:t>
      </w:r>
      <w:r w:rsidR="00330498">
        <w:rPr>
          <w:lang w:val="fr-FR"/>
        </w:rPr>
        <w:t>’</w:t>
      </w:r>
      <w:r w:rsidR="00AA7293" w:rsidRPr="00AA7293">
        <w:rPr>
          <w:lang w:val="fr-FR"/>
        </w:rPr>
        <w:t>efficacité énergétique et l</w:t>
      </w:r>
      <w:r w:rsidR="00330498">
        <w:rPr>
          <w:lang w:val="fr-FR"/>
        </w:rPr>
        <w:t>’</w:t>
      </w:r>
      <w:r w:rsidR="00AA7293" w:rsidRPr="00AA7293">
        <w:rPr>
          <w:lang w:val="fr-FR"/>
        </w:rPr>
        <w:t>inclusion d</w:t>
      </w:r>
      <w:r w:rsidR="00330498">
        <w:rPr>
          <w:lang w:val="fr-FR"/>
        </w:rPr>
        <w:t>’</w:t>
      </w:r>
      <w:r w:rsidR="00AA7293" w:rsidRPr="00AA7293">
        <w:rPr>
          <w:lang w:val="fr-FR"/>
        </w:rPr>
        <w:t xml:space="preserve">une description des acteurs </w:t>
      </w:r>
      <w:r w:rsidR="00892816" w:rsidRPr="00AA7293">
        <w:rPr>
          <w:lang w:val="fr-FR"/>
        </w:rPr>
        <w:t>institutionnels</w:t>
      </w:r>
      <w:r w:rsidR="00AA7293" w:rsidRPr="00AA7293">
        <w:rPr>
          <w:lang w:val="fr-FR"/>
        </w:rPr>
        <w:t xml:space="preserve"> impliqués dans la promotion de</w:t>
      </w:r>
      <w:r w:rsidR="00FE06A2">
        <w:rPr>
          <w:lang w:val="fr-FR"/>
        </w:rPr>
        <w:t> </w:t>
      </w:r>
      <w:r w:rsidR="00AA7293" w:rsidRPr="00AA7293">
        <w:rPr>
          <w:lang w:val="fr-FR"/>
        </w:rPr>
        <w:t>l</w:t>
      </w:r>
      <w:r w:rsidR="00330498">
        <w:rPr>
          <w:lang w:val="fr-FR"/>
        </w:rPr>
        <w:t>’</w:t>
      </w:r>
      <w:r w:rsidR="00AA7293" w:rsidRPr="00AA7293">
        <w:rPr>
          <w:lang w:val="fr-FR"/>
        </w:rPr>
        <w:t>efficacité énergétique dans le secteur de la réfrigération et de la climatisation.</w:t>
      </w:r>
      <w:r w:rsidR="00AA7293" w:rsidRPr="00C50AC4">
        <w:rPr>
          <w:lang w:val="fr-CA"/>
        </w:rPr>
        <w:t xml:space="preserve"> </w:t>
      </w:r>
      <w:r w:rsidR="006764E2" w:rsidRPr="006764E2">
        <w:rPr>
          <w:lang w:val="fr-FR"/>
        </w:rPr>
        <w:t>Un autre membre a toutefois rappelé que l</w:t>
      </w:r>
      <w:r w:rsidR="00330498">
        <w:rPr>
          <w:lang w:val="fr-FR"/>
        </w:rPr>
        <w:t>’</w:t>
      </w:r>
      <w:r w:rsidR="006764E2" w:rsidRPr="006764E2">
        <w:rPr>
          <w:lang w:val="fr-FR"/>
        </w:rPr>
        <w:t>efficacité énergétique n</w:t>
      </w:r>
      <w:r w:rsidR="00330498">
        <w:rPr>
          <w:lang w:val="fr-FR"/>
        </w:rPr>
        <w:t>’</w:t>
      </w:r>
      <w:r w:rsidR="006764E2" w:rsidRPr="006764E2">
        <w:rPr>
          <w:lang w:val="fr-FR"/>
        </w:rPr>
        <w:t xml:space="preserve">était pas </w:t>
      </w:r>
      <w:r w:rsidR="00892816">
        <w:rPr>
          <w:lang w:val="fr-FR"/>
        </w:rPr>
        <w:t xml:space="preserve">un </w:t>
      </w:r>
      <w:r w:rsidR="000C5998">
        <w:rPr>
          <w:lang w:val="fr-FR"/>
        </w:rPr>
        <w:t xml:space="preserve">enjeu </w:t>
      </w:r>
      <w:r w:rsidR="00892816">
        <w:rPr>
          <w:lang w:val="fr-FR"/>
        </w:rPr>
        <w:t xml:space="preserve">de </w:t>
      </w:r>
      <w:r w:rsidR="006764E2" w:rsidRPr="006764E2">
        <w:rPr>
          <w:lang w:val="fr-FR"/>
        </w:rPr>
        <w:t>conformité</w:t>
      </w:r>
      <w:r w:rsidR="00892816">
        <w:rPr>
          <w:lang w:val="fr-FR"/>
        </w:rPr>
        <w:t xml:space="preserve"> </w:t>
      </w:r>
      <w:r w:rsidR="006764E2" w:rsidRPr="006764E2">
        <w:rPr>
          <w:lang w:val="fr-FR"/>
        </w:rPr>
        <w:t>et que si des exigences étaient posées aux pays visés à l</w:t>
      </w:r>
      <w:r w:rsidR="00330498">
        <w:rPr>
          <w:lang w:val="fr-FR"/>
        </w:rPr>
        <w:t>’</w:t>
      </w:r>
      <w:r w:rsidR="006764E2" w:rsidRPr="006764E2">
        <w:rPr>
          <w:lang w:val="fr-FR"/>
        </w:rPr>
        <w:t>article 5, les pays ne relevant pas de cet article devraient être soumis aux mêmes normes ; il a également précisé que les données recueillies par les pays visés à l</w:t>
      </w:r>
      <w:r w:rsidR="00330498">
        <w:rPr>
          <w:lang w:val="fr-FR"/>
        </w:rPr>
        <w:t>’</w:t>
      </w:r>
      <w:r w:rsidR="006764E2" w:rsidRPr="006764E2">
        <w:rPr>
          <w:lang w:val="fr-FR"/>
        </w:rPr>
        <w:t xml:space="preserve">article 5 et par </w:t>
      </w:r>
      <w:r w:rsidR="008C3C2E">
        <w:rPr>
          <w:lang w:val="fr-FR"/>
        </w:rPr>
        <w:t>l</w:t>
      </w:r>
      <w:r w:rsidR="006764E2" w:rsidRPr="006764E2">
        <w:rPr>
          <w:lang w:val="fr-FR"/>
        </w:rPr>
        <w:t>es pays non visés par cet article devraient être compatibles.</w:t>
      </w:r>
      <w:r w:rsidR="006764E2" w:rsidRPr="00C50AC4">
        <w:rPr>
          <w:lang w:val="fr-CA"/>
        </w:rPr>
        <w:t xml:space="preserve"> </w:t>
      </w:r>
      <w:r w:rsidR="006764E2" w:rsidRPr="006764E2">
        <w:rPr>
          <w:lang w:val="fr-FR"/>
        </w:rPr>
        <w:t xml:space="preserve">Un autre membre a indiqué que </w:t>
      </w:r>
      <w:r w:rsidR="005A5100">
        <w:rPr>
          <w:lang w:val="fr-FR"/>
        </w:rPr>
        <w:t>la collecte</w:t>
      </w:r>
      <w:r w:rsidR="006764E2" w:rsidRPr="006764E2">
        <w:rPr>
          <w:lang w:val="fr-FR"/>
        </w:rPr>
        <w:t xml:space="preserve"> des données devrait s</w:t>
      </w:r>
      <w:r w:rsidR="00330498">
        <w:rPr>
          <w:lang w:val="fr-FR"/>
        </w:rPr>
        <w:t>’</w:t>
      </w:r>
      <w:r w:rsidR="006764E2" w:rsidRPr="006764E2">
        <w:rPr>
          <w:lang w:val="fr-FR"/>
        </w:rPr>
        <w:t xml:space="preserve">appuyer sur les enseignements </w:t>
      </w:r>
      <w:r w:rsidR="008C3C2E">
        <w:rPr>
          <w:lang w:val="fr-FR"/>
        </w:rPr>
        <w:t xml:space="preserve">tirés </w:t>
      </w:r>
      <w:r w:rsidR="006764E2" w:rsidRPr="006764E2">
        <w:rPr>
          <w:lang w:val="fr-FR"/>
        </w:rPr>
        <w:t>de l</w:t>
      </w:r>
      <w:r w:rsidR="00330498">
        <w:rPr>
          <w:lang w:val="fr-FR"/>
        </w:rPr>
        <w:t>’</w:t>
      </w:r>
      <w:r w:rsidR="006764E2" w:rsidRPr="006764E2">
        <w:rPr>
          <w:lang w:val="fr-FR"/>
        </w:rPr>
        <w:t>élimination des HCFC et que</w:t>
      </w:r>
      <w:r w:rsidR="008C3C2E">
        <w:rPr>
          <w:lang w:val="fr-FR"/>
        </w:rPr>
        <w:t>,</w:t>
      </w:r>
      <w:r w:rsidR="006764E2" w:rsidRPr="006764E2">
        <w:rPr>
          <w:lang w:val="fr-FR"/>
        </w:rPr>
        <w:t xml:space="preserve"> dans </w:t>
      </w:r>
      <w:r w:rsidR="008C3C2E">
        <w:rPr>
          <w:lang w:val="fr-FR"/>
        </w:rPr>
        <w:t>des</w:t>
      </w:r>
      <w:r w:rsidR="006764E2" w:rsidRPr="006764E2">
        <w:rPr>
          <w:lang w:val="fr-FR"/>
        </w:rPr>
        <w:t xml:space="preserve"> cas où les projets sur les HFC ont été approuvés </w:t>
      </w:r>
      <w:r w:rsidR="008C3C2E">
        <w:rPr>
          <w:lang w:val="fr-FR"/>
        </w:rPr>
        <w:t>en l</w:t>
      </w:r>
      <w:r w:rsidR="00330498">
        <w:rPr>
          <w:lang w:val="fr-FR"/>
        </w:rPr>
        <w:t>’</w:t>
      </w:r>
      <w:r w:rsidR="008C3C2E">
        <w:rPr>
          <w:lang w:val="fr-FR"/>
        </w:rPr>
        <w:t>absence d</w:t>
      </w:r>
      <w:r w:rsidR="00330498">
        <w:rPr>
          <w:lang w:val="fr-FR"/>
        </w:rPr>
        <w:t>’</w:t>
      </w:r>
      <w:r w:rsidR="008C3C2E">
        <w:rPr>
          <w:lang w:val="fr-FR"/>
        </w:rPr>
        <w:t xml:space="preserve">un </w:t>
      </w:r>
      <w:r w:rsidR="006764E2" w:rsidRPr="006764E2">
        <w:rPr>
          <w:lang w:val="fr-FR"/>
        </w:rPr>
        <w:t>point de départ des réductions globales de la consommation de HFC, une approche semblable à celle utilisée dans le cadre des PGEH pourrait être suivie.</w:t>
      </w:r>
      <w:r w:rsidR="006764E2" w:rsidRPr="00C50AC4">
        <w:rPr>
          <w:lang w:val="fr-CA"/>
        </w:rPr>
        <w:t xml:space="preserve"> </w:t>
      </w:r>
      <w:r w:rsidR="004C7A01" w:rsidRPr="004C7A01">
        <w:rPr>
          <w:lang w:val="fr-FR"/>
        </w:rPr>
        <w:t>D</w:t>
      </w:r>
      <w:r w:rsidR="00330498">
        <w:rPr>
          <w:lang w:val="fr-FR"/>
        </w:rPr>
        <w:t>’</w:t>
      </w:r>
      <w:r w:rsidR="004C7A01" w:rsidRPr="004C7A01">
        <w:rPr>
          <w:lang w:val="fr-FR"/>
        </w:rPr>
        <w:t>autres membres ont soutenu l</w:t>
      </w:r>
      <w:r w:rsidR="00330498">
        <w:rPr>
          <w:lang w:val="fr-FR"/>
        </w:rPr>
        <w:t>’</w:t>
      </w:r>
      <w:r w:rsidR="004C7A01" w:rsidRPr="004C7A01">
        <w:rPr>
          <w:lang w:val="fr-FR"/>
        </w:rPr>
        <w:t>idée de certains projets d</w:t>
      </w:r>
      <w:r w:rsidR="00330498">
        <w:rPr>
          <w:lang w:val="fr-FR"/>
        </w:rPr>
        <w:t>’</w:t>
      </w:r>
      <w:r w:rsidR="004C7A01" w:rsidRPr="004C7A01">
        <w:rPr>
          <w:lang w:val="fr-FR"/>
        </w:rPr>
        <w:t>investissement individuels portant sur les HFC avant la finalisation du plan de la réduction progressive des HFC, comme cela s</w:t>
      </w:r>
      <w:r w:rsidR="00330498">
        <w:rPr>
          <w:lang w:val="fr-FR"/>
        </w:rPr>
        <w:t>’</w:t>
      </w:r>
      <w:r w:rsidR="004C7A01" w:rsidRPr="004C7A01">
        <w:rPr>
          <w:lang w:val="fr-FR"/>
        </w:rPr>
        <w:t>est fait pour les HCFC.</w:t>
      </w:r>
    </w:p>
    <w:p w14:paraId="02615B77" w14:textId="3DE6A5F3" w:rsidR="008328FA" w:rsidRPr="00C50AC4" w:rsidRDefault="004C7A01" w:rsidP="008328FA">
      <w:pPr>
        <w:pStyle w:val="Heading1"/>
        <w:rPr>
          <w:lang w:val="fr-CA"/>
        </w:rPr>
      </w:pPr>
      <w:r w:rsidRPr="004C7A01">
        <w:rPr>
          <w:lang w:val="fr-FR"/>
        </w:rPr>
        <w:t xml:space="preserve">Un membre a suggéré de faire davantage référence dans le </w:t>
      </w:r>
      <w:r w:rsidRPr="008C3C2E">
        <w:rPr>
          <w:lang w:val="fr-FR"/>
        </w:rPr>
        <w:t>projet</w:t>
      </w:r>
      <w:r w:rsidR="00FE06A2">
        <w:rPr>
          <w:lang w:val="fr-FR"/>
        </w:rPr>
        <w:t> </w:t>
      </w:r>
      <w:r w:rsidRPr="008C3C2E">
        <w:rPr>
          <w:lang w:val="fr-FR"/>
        </w:rPr>
        <w:t>de décision</w:t>
      </w:r>
      <w:r w:rsidRPr="004C7A01">
        <w:rPr>
          <w:lang w:val="fr-FR"/>
        </w:rPr>
        <w:t xml:space="preserve"> à l</w:t>
      </w:r>
      <w:r w:rsidR="00330498">
        <w:rPr>
          <w:lang w:val="fr-FR"/>
        </w:rPr>
        <w:t>’</w:t>
      </w:r>
      <w:r w:rsidRPr="004C7A01">
        <w:rPr>
          <w:lang w:val="fr-FR"/>
        </w:rPr>
        <w:t xml:space="preserve">engagement des gouvernements à garantir les limites de croissance de la consommation de HFC et </w:t>
      </w:r>
      <w:r w:rsidR="008C3C2E">
        <w:rPr>
          <w:lang w:val="fr-FR"/>
        </w:rPr>
        <w:t>à</w:t>
      </w:r>
      <w:r w:rsidRPr="004C7A01">
        <w:rPr>
          <w:lang w:val="fr-FR"/>
        </w:rPr>
        <w:t xml:space="preserve"> soutenir la durabilité </w:t>
      </w:r>
      <w:r w:rsidR="008C3C2E">
        <w:rPr>
          <w:lang w:val="fr-FR"/>
        </w:rPr>
        <w:t xml:space="preserve">dans le temps </w:t>
      </w:r>
      <w:r w:rsidRPr="004C7A01">
        <w:rPr>
          <w:lang w:val="fr-FR"/>
        </w:rPr>
        <w:t>de l</w:t>
      </w:r>
      <w:r w:rsidR="00330498">
        <w:rPr>
          <w:lang w:val="fr-FR"/>
        </w:rPr>
        <w:t>’</w:t>
      </w:r>
      <w:r w:rsidRPr="004C7A01">
        <w:rPr>
          <w:lang w:val="fr-FR"/>
        </w:rPr>
        <w:t>élimination de HFC réalisée.</w:t>
      </w:r>
      <w:r w:rsidRPr="00C50AC4">
        <w:rPr>
          <w:lang w:val="fr-CA"/>
        </w:rPr>
        <w:t xml:space="preserve"> </w:t>
      </w:r>
      <w:r w:rsidR="00794BC8" w:rsidRPr="00794BC8">
        <w:rPr>
          <w:lang w:val="fr-FR"/>
        </w:rPr>
        <w:t xml:space="preserve">Sur cette question, un membre a </w:t>
      </w:r>
      <w:r w:rsidR="00FB5B83">
        <w:rPr>
          <w:lang w:val="fr-FR"/>
        </w:rPr>
        <w:t>indiqué qu</w:t>
      </w:r>
      <w:r w:rsidR="00330498">
        <w:rPr>
          <w:lang w:val="fr-FR"/>
        </w:rPr>
        <w:t>’</w:t>
      </w:r>
      <w:r w:rsidR="00FB5B83">
        <w:rPr>
          <w:lang w:val="fr-FR"/>
        </w:rPr>
        <w:t xml:space="preserve">il fallait reconnaître </w:t>
      </w:r>
      <w:r w:rsidR="000C5998">
        <w:rPr>
          <w:lang w:val="fr-FR"/>
        </w:rPr>
        <w:t xml:space="preserve">que </w:t>
      </w:r>
      <w:r w:rsidR="00794BC8" w:rsidRPr="00794BC8">
        <w:rPr>
          <w:lang w:val="fr-FR"/>
        </w:rPr>
        <w:t>l</w:t>
      </w:r>
      <w:r w:rsidR="00FB5B83">
        <w:rPr>
          <w:lang w:val="fr-FR"/>
        </w:rPr>
        <w:t xml:space="preserve">es actions entreprises par </w:t>
      </w:r>
      <w:r w:rsidR="00794BC8" w:rsidRPr="00794BC8">
        <w:rPr>
          <w:lang w:val="fr-FR"/>
        </w:rPr>
        <w:t>chaque pays</w:t>
      </w:r>
      <w:r w:rsidR="00FB5B83">
        <w:rPr>
          <w:lang w:val="fr-FR"/>
        </w:rPr>
        <w:t xml:space="preserve"> </w:t>
      </w:r>
      <w:r w:rsidR="00794BC8" w:rsidRPr="00794BC8">
        <w:rPr>
          <w:lang w:val="fr-FR"/>
        </w:rPr>
        <w:t>dépendr</w:t>
      </w:r>
      <w:r w:rsidR="00FB5B83">
        <w:rPr>
          <w:lang w:val="fr-FR"/>
        </w:rPr>
        <w:t>ont</w:t>
      </w:r>
      <w:r w:rsidR="00794BC8" w:rsidRPr="00794BC8">
        <w:rPr>
          <w:lang w:val="fr-FR"/>
        </w:rPr>
        <w:t xml:space="preserve"> des conditions existantes dans ce pays, des progrès réalisés</w:t>
      </w:r>
      <w:r w:rsidR="00FB5B83">
        <w:rPr>
          <w:lang w:val="fr-FR"/>
        </w:rPr>
        <w:t xml:space="preserve"> ainsi que de </w:t>
      </w:r>
      <w:r w:rsidR="00794BC8" w:rsidRPr="00794BC8">
        <w:rPr>
          <w:lang w:val="fr-FR"/>
        </w:rPr>
        <w:t>l</w:t>
      </w:r>
      <w:r w:rsidR="00330498">
        <w:rPr>
          <w:lang w:val="fr-FR"/>
        </w:rPr>
        <w:t>’</w:t>
      </w:r>
      <w:r w:rsidR="00794BC8" w:rsidRPr="00794BC8">
        <w:rPr>
          <w:lang w:val="fr-FR"/>
        </w:rPr>
        <w:t>accessibilité et de l</w:t>
      </w:r>
      <w:r w:rsidR="00330498">
        <w:rPr>
          <w:lang w:val="fr-FR"/>
        </w:rPr>
        <w:t>’</w:t>
      </w:r>
      <w:r w:rsidR="00794BC8" w:rsidRPr="00794BC8">
        <w:rPr>
          <w:lang w:val="fr-FR"/>
        </w:rPr>
        <w:t xml:space="preserve">utilisation des </w:t>
      </w:r>
      <w:r w:rsidR="00FB5B83">
        <w:rPr>
          <w:lang w:val="fr-FR"/>
        </w:rPr>
        <w:t>solutions</w:t>
      </w:r>
      <w:r w:rsidR="00794BC8" w:rsidRPr="00794BC8">
        <w:rPr>
          <w:lang w:val="fr-FR"/>
        </w:rPr>
        <w:t xml:space="preserve"> de remplacement ; un autre membre a confirmé la nécessité d</w:t>
      </w:r>
      <w:r w:rsidR="00330498">
        <w:rPr>
          <w:lang w:val="fr-FR"/>
        </w:rPr>
        <w:t>’</w:t>
      </w:r>
      <w:r w:rsidR="00794BC8" w:rsidRPr="00794BC8">
        <w:rPr>
          <w:lang w:val="fr-FR"/>
        </w:rPr>
        <w:t>une certaine flexibilité dans l</w:t>
      </w:r>
      <w:r w:rsidR="00330498">
        <w:rPr>
          <w:lang w:val="fr-FR"/>
        </w:rPr>
        <w:t>’</w:t>
      </w:r>
      <w:r w:rsidR="00794BC8" w:rsidRPr="00794BC8">
        <w:rPr>
          <w:lang w:val="fr-FR"/>
        </w:rPr>
        <w:t>interprétation de l</w:t>
      </w:r>
      <w:r w:rsidR="00330498">
        <w:rPr>
          <w:lang w:val="fr-FR"/>
        </w:rPr>
        <w:t>’</w:t>
      </w:r>
      <w:r w:rsidR="00794BC8" w:rsidRPr="00794BC8">
        <w:rPr>
          <w:lang w:val="fr-FR"/>
        </w:rPr>
        <w:t>engagement manifesté.</w:t>
      </w:r>
      <w:r w:rsidR="00794BC8" w:rsidRPr="00C50AC4">
        <w:rPr>
          <w:lang w:val="fr-CA"/>
        </w:rPr>
        <w:t xml:space="preserve"> </w:t>
      </w:r>
      <w:r w:rsidR="008328FA" w:rsidRPr="008328FA">
        <w:rPr>
          <w:lang w:val="fr-FR"/>
        </w:rPr>
        <w:t xml:space="preserve">Un membre a demandé des informations supplémentaires, notamment sur les solutions de remplacement et sur les technologies de nature différente, et a proposé que les lignes directrices ne tiennent pas seulement compte de la disponibilité </w:t>
      </w:r>
      <w:r w:rsidR="00FB5B83">
        <w:rPr>
          <w:lang w:val="fr-FR"/>
        </w:rPr>
        <w:t>de c</w:t>
      </w:r>
      <w:r w:rsidR="008328FA" w:rsidRPr="008328FA">
        <w:rPr>
          <w:lang w:val="fr-FR"/>
        </w:rPr>
        <w:t>es solutions mais également de leur accessibilité.</w:t>
      </w:r>
    </w:p>
    <w:p w14:paraId="5F73A3F8" w14:textId="26061929" w:rsidR="008328FA" w:rsidRPr="00C50AC4" w:rsidRDefault="008328FA" w:rsidP="008328FA">
      <w:pPr>
        <w:pStyle w:val="Heading1"/>
        <w:rPr>
          <w:lang w:val="fr-CA"/>
        </w:rPr>
      </w:pPr>
      <w:r w:rsidRPr="008328FA">
        <w:rPr>
          <w:lang w:val="fr-FR"/>
        </w:rPr>
        <w:t xml:space="preserve">Quelques membres ont </w:t>
      </w:r>
      <w:r w:rsidR="00FB5B83" w:rsidRPr="008328FA">
        <w:rPr>
          <w:lang w:val="fr-FR"/>
        </w:rPr>
        <w:t>insisté</w:t>
      </w:r>
      <w:r w:rsidRPr="008328FA">
        <w:rPr>
          <w:lang w:val="fr-FR"/>
        </w:rPr>
        <w:t xml:space="preserve"> sur le besoin d</w:t>
      </w:r>
      <w:r w:rsidR="00FB5B83">
        <w:rPr>
          <w:lang w:val="fr-FR"/>
        </w:rPr>
        <w:t>e s</w:t>
      </w:r>
      <w:r w:rsidR="00330498">
        <w:rPr>
          <w:lang w:val="fr-FR"/>
        </w:rPr>
        <w:t>’</w:t>
      </w:r>
      <w:r w:rsidRPr="008328FA">
        <w:rPr>
          <w:lang w:val="fr-FR"/>
        </w:rPr>
        <w:t xml:space="preserve">assurer que la dénomination des plans de réduction progressive des HFC et </w:t>
      </w:r>
      <w:r w:rsidR="00FB5B83">
        <w:rPr>
          <w:lang w:val="fr-FR"/>
        </w:rPr>
        <w:t>leur</w:t>
      </w:r>
      <w:r w:rsidRPr="008328FA">
        <w:rPr>
          <w:lang w:val="fr-FR"/>
        </w:rPr>
        <w:t xml:space="preserve"> </w:t>
      </w:r>
      <w:r w:rsidR="00FB5B83" w:rsidRPr="008328FA">
        <w:rPr>
          <w:lang w:val="fr-FR"/>
        </w:rPr>
        <w:t>abr</w:t>
      </w:r>
      <w:r w:rsidR="00FB5B83">
        <w:rPr>
          <w:lang w:val="fr-FR"/>
        </w:rPr>
        <w:t>é</w:t>
      </w:r>
      <w:r w:rsidR="00FB5B83" w:rsidRPr="008328FA">
        <w:rPr>
          <w:lang w:val="fr-FR"/>
        </w:rPr>
        <w:t>viation</w:t>
      </w:r>
      <w:r w:rsidRPr="008328FA">
        <w:rPr>
          <w:lang w:val="fr-FR"/>
        </w:rPr>
        <w:t xml:space="preserve"> soient </w:t>
      </w:r>
      <w:r w:rsidR="00FB5B83" w:rsidRPr="008328FA">
        <w:rPr>
          <w:lang w:val="fr-FR"/>
        </w:rPr>
        <w:t>succinctes</w:t>
      </w:r>
      <w:r w:rsidRPr="008328FA">
        <w:rPr>
          <w:lang w:val="fr-FR"/>
        </w:rPr>
        <w:t xml:space="preserve"> et diffèrent suffisamment de « plan de gestion de l</w:t>
      </w:r>
      <w:r w:rsidR="00330498">
        <w:rPr>
          <w:lang w:val="fr-FR"/>
        </w:rPr>
        <w:t>’</w:t>
      </w:r>
      <w:r w:rsidRPr="008328FA">
        <w:rPr>
          <w:lang w:val="fr-FR"/>
        </w:rPr>
        <w:t xml:space="preserve">élimination des HCFC» et </w:t>
      </w:r>
      <w:r w:rsidR="00FB5B83">
        <w:rPr>
          <w:lang w:val="fr-FR"/>
        </w:rPr>
        <w:t xml:space="preserve">de </w:t>
      </w:r>
      <w:r w:rsidRPr="008328FA">
        <w:rPr>
          <w:lang w:val="fr-FR"/>
        </w:rPr>
        <w:t>«PGEH ».</w:t>
      </w:r>
      <w:r w:rsidRPr="00C50AC4">
        <w:rPr>
          <w:lang w:val="fr-CA"/>
        </w:rPr>
        <w:t xml:space="preserve"> </w:t>
      </w:r>
      <w:r w:rsidRPr="008328FA">
        <w:rPr>
          <w:lang w:val="fr-FR"/>
        </w:rPr>
        <w:t>Un membre a suggéré qu</w:t>
      </w:r>
      <w:r w:rsidR="00330498">
        <w:rPr>
          <w:lang w:val="fr-FR"/>
        </w:rPr>
        <w:t>’</w:t>
      </w:r>
      <w:r w:rsidRPr="008328FA">
        <w:rPr>
          <w:lang w:val="fr-FR"/>
        </w:rPr>
        <w:t xml:space="preserve">ils </w:t>
      </w:r>
      <w:r w:rsidR="00FB5B83" w:rsidRPr="008328FA">
        <w:rPr>
          <w:lang w:val="fr-FR"/>
        </w:rPr>
        <w:t>soient</w:t>
      </w:r>
      <w:r w:rsidRPr="008328FA">
        <w:rPr>
          <w:lang w:val="fr-FR"/>
        </w:rPr>
        <w:t xml:space="preserve"> appelés «</w:t>
      </w:r>
      <w:r w:rsidR="006B012A">
        <w:rPr>
          <w:lang w:val="fr-FR"/>
        </w:rPr>
        <w:t xml:space="preserve"> p</w:t>
      </w:r>
      <w:r w:rsidRPr="008328FA">
        <w:rPr>
          <w:lang w:val="fr-FR"/>
        </w:rPr>
        <w:t>lans d</w:t>
      </w:r>
      <w:r w:rsidR="00330498">
        <w:rPr>
          <w:lang w:val="fr-FR"/>
        </w:rPr>
        <w:t>’</w:t>
      </w:r>
      <w:r w:rsidRPr="008328FA">
        <w:rPr>
          <w:lang w:val="fr-FR"/>
        </w:rPr>
        <w:t>application de Kigali » (</w:t>
      </w:r>
      <w:r w:rsidR="004E4279">
        <w:rPr>
          <w:lang w:val="fr-FR"/>
        </w:rPr>
        <w:t>PAK</w:t>
      </w:r>
      <w:r w:rsidRPr="008328FA">
        <w:rPr>
          <w:lang w:val="fr-FR"/>
        </w:rPr>
        <w:t>), tandis que d</w:t>
      </w:r>
      <w:r w:rsidR="00330498">
        <w:rPr>
          <w:lang w:val="fr-FR"/>
        </w:rPr>
        <w:t>’</w:t>
      </w:r>
      <w:r w:rsidRPr="008328FA">
        <w:rPr>
          <w:lang w:val="fr-FR"/>
        </w:rPr>
        <w:t xml:space="preserve">autres membres indiquaient que HFC devait faire partie du nom et </w:t>
      </w:r>
      <w:r w:rsidR="006B012A" w:rsidRPr="008328FA">
        <w:rPr>
          <w:lang w:val="fr-FR"/>
        </w:rPr>
        <w:t>proposaient</w:t>
      </w:r>
      <w:r w:rsidRPr="008328FA">
        <w:rPr>
          <w:lang w:val="fr-FR"/>
        </w:rPr>
        <w:t xml:space="preserve"> comme autres solutions « plan de gestion de Kigali pour les HFC » (PGKH)</w:t>
      </w:r>
      <w:r w:rsidR="00FE06A2">
        <w:rPr>
          <w:lang w:val="fr-FR"/>
        </w:rPr>
        <w:t> </w:t>
      </w:r>
      <w:r w:rsidRPr="008328FA">
        <w:rPr>
          <w:lang w:val="fr-FR"/>
        </w:rPr>
        <w:t>ou encore « plan de mise en œuvre des HFC</w:t>
      </w:r>
      <w:r w:rsidR="004E4279">
        <w:rPr>
          <w:lang w:val="fr-FR"/>
        </w:rPr>
        <w:t> »</w:t>
      </w:r>
      <w:r w:rsidRPr="008328FA">
        <w:rPr>
          <w:lang w:val="fr-FR"/>
        </w:rPr>
        <w:t xml:space="preserve"> (PMH).</w:t>
      </w:r>
    </w:p>
    <w:p w14:paraId="377B7DE8" w14:textId="230B6528" w:rsidR="008328FA" w:rsidRPr="00C50AC4" w:rsidRDefault="00762E09" w:rsidP="00762E09">
      <w:pPr>
        <w:pStyle w:val="Heading1"/>
        <w:rPr>
          <w:lang w:val="fr-CA"/>
        </w:rPr>
      </w:pPr>
      <w:r w:rsidRPr="00762E09">
        <w:rPr>
          <w:lang w:val="fr-FR"/>
        </w:rPr>
        <w:lastRenderedPageBreak/>
        <w:t>La représentante du Secrétariat a expliqué que l</w:t>
      </w:r>
      <w:r w:rsidR="00330498">
        <w:rPr>
          <w:lang w:val="fr-FR"/>
        </w:rPr>
        <w:t>’</w:t>
      </w:r>
      <w:r w:rsidRPr="00762E09">
        <w:rPr>
          <w:lang w:val="fr-FR"/>
        </w:rPr>
        <w:t>inclusion d</w:t>
      </w:r>
      <w:r w:rsidR="00330498">
        <w:rPr>
          <w:lang w:val="fr-FR"/>
        </w:rPr>
        <w:t>’</w:t>
      </w:r>
      <w:r w:rsidRPr="00762E09">
        <w:rPr>
          <w:lang w:val="fr-FR"/>
        </w:rPr>
        <w:t>une aide pour l</w:t>
      </w:r>
      <w:r w:rsidR="00330498">
        <w:rPr>
          <w:lang w:val="fr-FR"/>
        </w:rPr>
        <w:t>’</w:t>
      </w:r>
      <w:r w:rsidRPr="00762E09">
        <w:rPr>
          <w:lang w:val="fr-FR"/>
        </w:rPr>
        <w:t>élaboration d</w:t>
      </w:r>
      <w:r w:rsidR="00330498">
        <w:rPr>
          <w:lang w:val="fr-FR"/>
        </w:rPr>
        <w:t>’</w:t>
      </w:r>
      <w:r w:rsidR="006B012A">
        <w:rPr>
          <w:lang w:val="fr-FR"/>
        </w:rPr>
        <w:t>une</w:t>
      </w:r>
      <w:r w:rsidRPr="00762E09">
        <w:rPr>
          <w:lang w:val="fr-FR"/>
        </w:rPr>
        <w:t xml:space="preserve"> législation, de politiques générales et de réglementations dans le financement de la préparation d</w:t>
      </w:r>
      <w:r w:rsidR="00330498">
        <w:rPr>
          <w:lang w:val="fr-FR"/>
        </w:rPr>
        <w:t>’</w:t>
      </w:r>
      <w:r w:rsidRPr="00762E09">
        <w:rPr>
          <w:lang w:val="fr-FR"/>
        </w:rPr>
        <w:t>une stratégie d</w:t>
      </w:r>
      <w:r w:rsidR="00330498">
        <w:rPr>
          <w:lang w:val="fr-FR"/>
        </w:rPr>
        <w:t>’</w:t>
      </w:r>
      <w:r w:rsidRPr="00762E09">
        <w:rPr>
          <w:lang w:val="fr-FR"/>
        </w:rPr>
        <w:t>ensemble était une approche identique à celle utilisée pour le PGEH.</w:t>
      </w:r>
    </w:p>
    <w:p w14:paraId="6E96DEDF" w14:textId="04F47014" w:rsidR="00940E64" w:rsidRPr="00C50AC4" w:rsidRDefault="009D6003" w:rsidP="00940E64">
      <w:pPr>
        <w:pStyle w:val="Heading1"/>
        <w:rPr>
          <w:rStyle w:val="tw4winMark"/>
          <w:rFonts w:ascii="Times New Roman" w:hAnsi="Times New Roman" w:cs="Times New Roman"/>
          <w:noProof w:val="0"/>
          <w:vanish w:val="0"/>
          <w:color w:val="auto"/>
          <w:kern w:val="0"/>
          <w:sz w:val="22"/>
          <w:vertAlign w:val="baseline"/>
          <w:lang w:val="fr-CA"/>
        </w:rPr>
      </w:pPr>
      <w:r w:rsidRPr="009D6003">
        <w:rPr>
          <w:lang w:val="fr-FR"/>
        </w:rPr>
        <w:t>La discussion n</w:t>
      </w:r>
      <w:r w:rsidR="00330498">
        <w:rPr>
          <w:lang w:val="fr-FR"/>
        </w:rPr>
        <w:t>’</w:t>
      </w:r>
      <w:r w:rsidRPr="009D6003">
        <w:rPr>
          <w:lang w:val="fr-FR"/>
        </w:rPr>
        <w:t>ayant pas pu aboutir à une conclusion au</w:t>
      </w:r>
      <w:r w:rsidR="00FE06A2">
        <w:rPr>
          <w:lang w:val="fr-FR"/>
        </w:rPr>
        <w:t> </w:t>
      </w:r>
      <w:r w:rsidRPr="009D6003">
        <w:rPr>
          <w:lang w:val="fr-FR"/>
        </w:rPr>
        <w:t xml:space="preserve">cours de la réunion </w:t>
      </w:r>
      <w:r w:rsidR="000C5998">
        <w:rPr>
          <w:lang w:val="fr-FR"/>
        </w:rPr>
        <w:t>en ligne</w:t>
      </w:r>
      <w:r w:rsidRPr="009D6003">
        <w:rPr>
          <w:lang w:val="fr-FR"/>
        </w:rPr>
        <w:t>, le Comité a convenu de mettre en place un groupe de contact afin de poursuivre l</w:t>
      </w:r>
      <w:r w:rsidR="00330498">
        <w:rPr>
          <w:lang w:val="fr-FR"/>
        </w:rPr>
        <w:t>’</w:t>
      </w:r>
      <w:r w:rsidRPr="009D6003">
        <w:rPr>
          <w:lang w:val="fr-FR"/>
        </w:rPr>
        <w:t>examen de cette question.</w:t>
      </w:r>
      <w:r w:rsidRPr="00C50AC4">
        <w:rPr>
          <w:lang w:val="fr-CA"/>
        </w:rPr>
        <w:t xml:space="preserve"> </w:t>
      </w:r>
      <w:r w:rsidR="00940E64" w:rsidRPr="00940E64">
        <w:rPr>
          <w:lang w:val="fr-FR"/>
        </w:rPr>
        <w:t xml:space="preserve">En faisant son rapport au Comité exécutif, </w:t>
      </w:r>
      <w:r w:rsidR="00940E64" w:rsidRPr="00E449E2">
        <w:rPr>
          <w:lang w:val="fr-FR"/>
        </w:rPr>
        <w:t>l</w:t>
      </w:r>
      <w:r w:rsidR="006B012A" w:rsidRPr="00E449E2">
        <w:rPr>
          <w:lang w:val="fr-FR"/>
        </w:rPr>
        <w:t>e responsable</w:t>
      </w:r>
      <w:r w:rsidR="00940E64" w:rsidRPr="00E449E2">
        <w:rPr>
          <w:lang w:val="fr-FR"/>
        </w:rPr>
        <w:t xml:space="preserve"> du</w:t>
      </w:r>
      <w:r w:rsidR="00940E64" w:rsidRPr="00940E64">
        <w:rPr>
          <w:lang w:val="fr-FR"/>
        </w:rPr>
        <w:t xml:space="preserve"> groupe de contact a indiqué que ce dernier n</w:t>
      </w:r>
      <w:r w:rsidR="00330498">
        <w:rPr>
          <w:lang w:val="fr-FR"/>
        </w:rPr>
        <w:t>’</w:t>
      </w:r>
      <w:r w:rsidR="00940E64" w:rsidRPr="00940E64">
        <w:rPr>
          <w:lang w:val="fr-FR"/>
        </w:rPr>
        <w:t>avait pas été en mesure de parvenir à un consensus sur le projet de lignes directrices.</w:t>
      </w:r>
      <w:r w:rsidR="00940E64" w:rsidRPr="00C50AC4">
        <w:rPr>
          <w:lang w:val="fr-CA"/>
        </w:rPr>
        <w:t xml:space="preserve"> </w:t>
      </w:r>
      <w:r w:rsidR="00940E64" w:rsidRPr="00940E64">
        <w:rPr>
          <w:lang w:val="fr-FR"/>
        </w:rPr>
        <w:t xml:space="preserve">Faisant part de son point de vue personnel, il a indiqué que le Comité pourrait adopter, </w:t>
      </w:r>
      <w:r w:rsidR="00E449E2">
        <w:rPr>
          <w:lang w:val="fr-FR"/>
        </w:rPr>
        <w:t>à titre</w:t>
      </w:r>
      <w:r w:rsidR="00940E64" w:rsidRPr="00940E64">
        <w:rPr>
          <w:lang w:val="fr-FR"/>
        </w:rPr>
        <w:t xml:space="preserve"> provisoire, le projet de lignes directrices tel que proposé initialement par le Secr</w:t>
      </w:r>
      <w:r w:rsidR="006B012A">
        <w:rPr>
          <w:lang w:val="fr-FR"/>
        </w:rPr>
        <w:t>é</w:t>
      </w:r>
      <w:r w:rsidR="00940E64" w:rsidRPr="00940E64">
        <w:rPr>
          <w:lang w:val="fr-FR"/>
        </w:rPr>
        <w:t>tariat afin de permettre au Comité d</w:t>
      </w:r>
      <w:r w:rsidR="00330498">
        <w:rPr>
          <w:lang w:val="fr-FR"/>
        </w:rPr>
        <w:t>’</w:t>
      </w:r>
      <w:r w:rsidR="00940E64" w:rsidRPr="00940E64">
        <w:rPr>
          <w:lang w:val="fr-FR"/>
        </w:rPr>
        <w:t xml:space="preserve">avancer </w:t>
      </w:r>
      <w:r w:rsidR="00E449E2">
        <w:rPr>
          <w:lang w:val="fr-FR"/>
        </w:rPr>
        <w:t xml:space="preserve">et traiter </w:t>
      </w:r>
      <w:r w:rsidR="00940E64" w:rsidRPr="00940E64">
        <w:rPr>
          <w:lang w:val="fr-FR"/>
        </w:rPr>
        <w:t xml:space="preserve">de manière uniforme </w:t>
      </w:r>
      <w:r w:rsidR="00E449E2">
        <w:rPr>
          <w:lang w:val="fr-FR"/>
        </w:rPr>
        <w:t>les</w:t>
      </w:r>
      <w:r w:rsidR="00940E64" w:rsidRPr="00940E64">
        <w:rPr>
          <w:lang w:val="fr-FR"/>
        </w:rPr>
        <w:t xml:space="preserve"> demandes déjà soumises de financement de préparation de projets de réduction progressive des HFC, étant entendu que le niveau de financement approuvé pourrait </w:t>
      </w:r>
      <w:r w:rsidR="00B12318">
        <w:rPr>
          <w:lang w:val="fr-FR"/>
        </w:rPr>
        <w:t>ê</w:t>
      </w:r>
      <w:r w:rsidR="00940E64" w:rsidRPr="00940E64">
        <w:rPr>
          <w:lang w:val="fr-FR"/>
        </w:rPr>
        <w:t>tre ajusté, si nécessaire, lors d</w:t>
      </w:r>
      <w:r w:rsidR="00330498">
        <w:rPr>
          <w:lang w:val="fr-FR"/>
        </w:rPr>
        <w:t>’</w:t>
      </w:r>
      <w:r w:rsidR="00940E64" w:rsidRPr="00940E64">
        <w:rPr>
          <w:lang w:val="fr-FR"/>
        </w:rPr>
        <w:t>une prochaine réunion.</w:t>
      </w:r>
      <w:r w:rsidR="00940E64" w:rsidRPr="00C50AC4">
        <w:rPr>
          <w:lang w:val="fr-CA"/>
        </w:rPr>
        <w:t xml:space="preserve"> </w:t>
      </w:r>
    </w:p>
    <w:p w14:paraId="44E27AFE" w14:textId="2B45F7B7" w:rsidR="00940E64" w:rsidRPr="00C50AC4" w:rsidRDefault="000C5998" w:rsidP="00940E64">
      <w:pPr>
        <w:pStyle w:val="Heading1"/>
        <w:rPr>
          <w:rStyle w:val="tw4winMark"/>
          <w:rFonts w:ascii="Times New Roman" w:hAnsi="Times New Roman" w:cs="Times New Roman"/>
          <w:noProof w:val="0"/>
          <w:vanish w:val="0"/>
          <w:color w:val="auto"/>
          <w:kern w:val="0"/>
          <w:sz w:val="22"/>
          <w:vertAlign w:val="baseline"/>
          <w:lang w:val="fr-CA"/>
        </w:rPr>
      </w:pPr>
      <w:r>
        <w:rPr>
          <w:lang w:val="fr-FR"/>
        </w:rPr>
        <w:t>Ultérieurement</w:t>
      </w:r>
      <w:r w:rsidR="00940E64" w:rsidRPr="00940E64">
        <w:rPr>
          <w:lang w:val="fr-FR"/>
        </w:rPr>
        <w:t>, les gouvernements de l</w:t>
      </w:r>
      <w:r w:rsidR="00330498">
        <w:rPr>
          <w:lang w:val="fr-FR"/>
        </w:rPr>
        <w:t>’</w:t>
      </w:r>
      <w:r w:rsidR="00940E64" w:rsidRPr="00940E64">
        <w:rPr>
          <w:lang w:val="fr-FR"/>
        </w:rPr>
        <w:t>Australie et des États-Unis d</w:t>
      </w:r>
      <w:r w:rsidR="00330498">
        <w:rPr>
          <w:lang w:val="fr-FR"/>
        </w:rPr>
        <w:t>’</w:t>
      </w:r>
      <w:r w:rsidR="00940E64" w:rsidRPr="00940E64">
        <w:rPr>
          <w:lang w:val="fr-FR"/>
        </w:rPr>
        <w:t>Amérique ont soumis un projet de décision propos</w:t>
      </w:r>
      <w:r w:rsidR="00E449E2">
        <w:rPr>
          <w:lang w:val="fr-FR"/>
        </w:rPr>
        <w:t>ant la poursuite de</w:t>
      </w:r>
      <w:r w:rsidR="00FE06A2">
        <w:rPr>
          <w:lang w:val="fr-FR"/>
        </w:rPr>
        <w:t> </w:t>
      </w:r>
      <w:r w:rsidR="00940E64" w:rsidRPr="00940E64">
        <w:rPr>
          <w:lang w:val="fr-FR"/>
        </w:rPr>
        <w:t>l</w:t>
      </w:r>
      <w:r w:rsidR="00330498">
        <w:rPr>
          <w:lang w:val="fr-FR"/>
        </w:rPr>
        <w:t>’</w:t>
      </w:r>
      <w:r w:rsidR="00940E64" w:rsidRPr="00940E64">
        <w:rPr>
          <w:lang w:val="fr-FR"/>
        </w:rPr>
        <w:t>examen du projet de lignes directrices lors de la 87</w:t>
      </w:r>
      <w:r w:rsidR="00940E64" w:rsidRPr="00940E64">
        <w:rPr>
          <w:vertAlign w:val="superscript"/>
          <w:lang w:val="fr-FR"/>
        </w:rPr>
        <w:t>e</w:t>
      </w:r>
      <w:r w:rsidR="00940E64" w:rsidRPr="00940E64">
        <w:rPr>
          <w:lang w:val="fr-FR"/>
        </w:rPr>
        <w:t xml:space="preserve"> réunion et entre-temps, en l</w:t>
      </w:r>
      <w:r w:rsidR="00330498">
        <w:rPr>
          <w:lang w:val="fr-FR"/>
        </w:rPr>
        <w:t>’</w:t>
      </w:r>
      <w:r w:rsidR="00940E64" w:rsidRPr="00940E64">
        <w:rPr>
          <w:lang w:val="fr-FR"/>
        </w:rPr>
        <w:t xml:space="preserve">absence de lignes directrices adoptées, la mise à disposition à </w:t>
      </w:r>
      <w:r w:rsidR="005A5100">
        <w:rPr>
          <w:lang w:val="fr-FR"/>
        </w:rPr>
        <w:t>titre exceptionnel</w:t>
      </w:r>
      <w:r w:rsidR="00940E64" w:rsidRPr="00940E64">
        <w:rPr>
          <w:lang w:val="fr-FR"/>
        </w:rPr>
        <w:t xml:space="preserve"> d</w:t>
      </w:r>
      <w:r w:rsidR="00330498">
        <w:rPr>
          <w:lang w:val="fr-FR"/>
        </w:rPr>
        <w:t>’</w:t>
      </w:r>
      <w:r w:rsidR="00940E64" w:rsidRPr="00940E64">
        <w:rPr>
          <w:lang w:val="fr-FR"/>
        </w:rPr>
        <w:t>un préfinancement de 50 000 $US aux pays ayant soumis des demandes de financement de préparation des plans de réduction progressive des HFC.</w:t>
      </w:r>
      <w:r w:rsidR="00940E64" w:rsidRPr="00C50AC4">
        <w:rPr>
          <w:lang w:val="fr-CA"/>
        </w:rPr>
        <w:t xml:space="preserve"> </w:t>
      </w:r>
    </w:p>
    <w:p w14:paraId="4A7CF45B" w14:textId="21701591" w:rsidR="00B12318" w:rsidRPr="00C50AC4" w:rsidRDefault="00B12318" w:rsidP="00B12318">
      <w:pPr>
        <w:pStyle w:val="Heading1"/>
        <w:rPr>
          <w:lang w:val="fr-CA"/>
        </w:rPr>
      </w:pPr>
      <w:r w:rsidRPr="00B12318">
        <w:rPr>
          <w:lang w:val="fr-FR"/>
        </w:rPr>
        <w:t>Plusieurs membres ont fait savoir qu</w:t>
      </w:r>
      <w:r w:rsidR="00330498">
        <w:rPr>
          <w:lang w:val="fr-FR"/>
        </w:rPr>
        <w:t>’</w:t>
      </w:r>
      <w:r w:rsidRPr="00B12318">
        <w:rPr>
          <w:lang w:val="fr-FR"/>
        </w:rPr>
        <w:t xml:space="preserve">ils accordaient la préférence à la proposition faite par le </w:t>
      </w:r>
      <w:r w:rsidR="00E449E2">
        <w:rPr>
          <w:lang w:val="fr-FR"/>
        </w:rPr>
        <w:t xml:space="preserve">responsable </w:t>
      </w:r>
      <w:r w:rsidRPr="00B12318">
        <w:rPr>
          <w:lang w:val="fr-FR"/>
        </w:rPr>
        <w:t xml:space="preserve">du groupe de contact </w:t>
      </w:r>
      <w:r w:rsidR="00E449E2" w:rsidRPr="00E449E2">
        <w:rPr>
          <w:lang w:val="fr-FR"/>
        </w:rPr>
        <w:t>relative à</w:t>
      </w:r>
      <w:r w:rsidRPr="00B12318">
        <w:rPr>
          <w:lang w:val="fr-FR"/>
        </w:rPr>
        <w:t xml:space="preserve"> l</w:t>
      </w:r>
      <w:r w:rsidR="00330498">
        <w:rPr>
          <w:lang w:val="fr-FR"/>
        </w:rPr>
        <w:t>’</w:t>
      </w:r>
      <w:r w:rsidRPr="00B12318">
        <w:rPr>
          <w:lang w:val="fr-FR"/>
        </w:rPr>
        <w:t>utilisation provisoire des lignes directrices proposées par le</w:t>
      </w:r>
      <w:r w:rsidR="00FE06A2">
        <w:rPr>
          <w:lang w:val="fr-FR"/>
        </w:rPr>
        <w:t> </w:t>
      </w:r>
      <w:r w:rsidRPr="00B12318">
        <w:rPr>
          <w:lang w:val="fr-FR"/>
        </w:rPr>
        <w:t>Secr</w:t>
      </w:r>
      <w:r w:rsidR="00E449E2">
        <w:rPr>
          <w:lang w:val="fr-FR"/>
        </w:rPr>
        <w:t>é</w:t>
      </w:r>
      <w:r w:rsidRPr="00B12318">
        <w:rPr>
          <w:lang w:val="fr-FR"/>
        </w:rPr>
        <w:t>tariat.</w:t>
      </w:r>
      <w:r w:rsidRPr="00C50AC4">
        <w:rPr>
          <w:lang w:val="fr-CA"/>
        </w:rPr>
        <w:t xml:space="preserve"> </w:t>
      </w:r>
      <w:r w:rsidRPr="00B12318">
        <w:rPr>
          <w:lang w:val="fr-FR"/>
        </w:rPr>
        <w:t>L</w:t>
      </w:r>
      <w:r w:rsidR="00330498">
        <w:rPr>
          <w:lang w:val="fr-FR"/>
        </w:rPr>
        <w:t>’</w:t>
      </w:r>
      <w:r w:rsidRPr="00B12318">
        <w:rPr>
          <w:lang w:val="fr-FR"/>
        </w:rPr>
        <w:t>un d</w:t>
      </w:r>
      <w:r w:rsidR="00330498">
        <w:rPr>
          <w:lang w:val="fr-FR"/>
        </w:rPr>
        <w:t>’</w:t>
      </w:r>
      <w:r w:rsidRPr="00B12318">
        <w:rPr>
          <w:lang w:val="fr-FR"/>
        </w:rPr>
        <w:t>entre eux a dit que la proposition faite par l</w:t>
      </w:r>
      <w:r w:rsidR="00330498">
        <w:rPr>
          <w:lang w:val="fr-FR"/>
        </w:rPr>
        <w:t>’</w:t>
      </w:r>
      <w:r w:rsidRPr="00B12318">
        <w:rPr>
          <w:lang w:val="fr-FR"/>
        </w:rPr>
        <w:t>Australie et les États-Unis d</w:t>
      </w:r>
      <w:r w:rsidR="00330498">
        <w:rPr>
          <w:lang w:val="fr-FR"/>
        </w:rPr>
        <w:t>’</w:t>
      </w:r>
      <w:r w:rsidRPr="00B12318">
        <w:rPr>
          <w:lang w:val="fr-FR"/>
        </w:rPr>
        <w:t>Amérique était arrivée très tardivement et que leur délégation n</w:t>
      </w:r>
      <w:r w:rsidR="00330498">
        <w:rPr>
          <w:lang w:val="fr-FR"/>
        </w:rPr>
        <w:t>’</w:t>
      </w:r>
      <w:r w:rsidRPr="00B12318">
        <w:rPr>
          <w:lang w:val="fr-FR"/>
        </w:rPr>
        <w:t>avait pas eu le temps de se concerter.</w:t>
      </w:r>
      <w:r w:rsidRPr="00C50AC4">
        <w:rPr>
          <w:lang w:val="fr-CA"/>
        </w:rPr>
        <w:t xml:space="preserve"> </w:t>
      </w:r>
      <w:r w:rsidRPr="00B12318">
        <w:rPr>
          <w:lang w:val="fr-FR"/>
        </w:rPr>
        <w:t>Un autre membre a fait observer que le montant uniforme de 50 000</w:t>
      </w:r>
      <w:r w:rsidR="00FE06A2">
        <w:rPr>
          <w:lang w:val="fr-FR"/>
        </w:rPr>
        <w:t> </w:t>
      </w:r>
      <w:r w:rsidRPr="00B12318">
        <w:rPr>
          <w:lang w:val="fr-FR"/>
        </w:rPr>
        <w:t>$US représentait un pourcentage très</w:t>
      </w:r>
      <w:r w:rsidR="00FE06A2">
        <w:rPr>
          <w:lang w:val="fr-FR"/>
        </w:rPr>
        <w:t> </w:t>
      </w:r>
      <w:r w:rsidRPr="00B12318">
        <w:rPr>
          <w:lang w:val="fr-FR"/>
        </w:rPr>
        <w:t>variable du financement d</w:t>
      </w:r>
      <w:r w:rsidR="00330498">
        <w:rPr>
          <w:lang w:val="fr-FR"/>
        </w:rPr>
        <w:t>’</w:t>
      </w:r>
      <w:r w:rsidRPr="00B12318">
        <w:rPr>
          <w:lang w:val="fr-FR"/>
        </w:rPr>
        <w:t>ensemble demandé par chaque pays, ce qui rendait cette approche inéquitable.</w:t>
      </w:r>
      <w:r w:rsidRPr="00C50AC4">
        <w:rPr>
          <w:lang w:val="fr-CA"/>
        </w:rPr>
        <w:t xml:space="preserve"> </w:t>
      </w:r>
      <w:r w:rsidRPr="00B12318">
        <w:rPr>
          <w:lang w:val="fr-FR"/>
        </w:rPr>
        <w:t xml:space="preserve">Un membre était en faveur de la proposition de </w:t>
      </w:r>
      <w:r w:rsidR="00E449E2">
        <w:rPr>
          <w:lang w:val="fr-FR"/>
        </w:rPr>
        <w:t xml:space="preserve">la </w:t>
      </w:r>
      <w:r w:rsidRPr="00B12318">
        <w:rPr>
          <w:lang w:val="fr-FR"/>
        </w:rPr>
        <w:t>mise à disposition d</w:t>
      </w:r>
      <w:r w:rsidR="00330498">
        <w:rPr>
          <w:lang w:val="fr-FR"/>
        </w:rPr>
        <w:t>’</w:t>
      </w:r>
      <w:r w:rsidR="00E449E2">
        <w:rPr>
          <w:lang w:val="fr-FR"/>
        </w:rPr>
        <w:t>un</w:t>
      </w:r>
      <w:r w:rsidRPr="00B12318">
        <w:rPr>
          <w:lang w:val="fr-FR"/>
        </w:rPr>
        <w:t xml:space="preserve"> préfinancement comme un moyen de maintenir un</w:t>
      </w:r>
      <w:r w:rsidR="000C5998">
        <w:rPr>
          <w:lang w:val="fr-FR"/>
        </w:rPr>
        <w:t>e</w:t>
      </w:r>
      <w:r w:rsidRPr="00B12318">
        <w:rPr>
          <w:lang w:val="fr-FR"/>
        </w:rPr>
        <w:t xml:space="preserve"> certain</w:t>
      </w:r>
      <w:r w:rsidR="000C5998">
        <w:rPr>
          <w:lang w:val="fr-FR"/>
        </w:rPr>
        <w:t>e dynamique</w:t>
      </w:r>
      <w:r w:rsidRPr="00B12318">
        <w:rPr>
          <w:lang w:val="fr-FR"/>
        </w:rPr>
        <w:t xml:space="preserve"> en attendant la 87</w:t>
      </w:r>
      <w:r w:rsidRPr="00B12318">
        <w:rPr>
          <w:vertAlign w:val="superscript"/>
          <w:lang w:val="fr-FR"/>
        </w:rPr>
        <w:t>e</w:t>
      </w:r>
      <w:r w:rsidRPr="00B12318">
        <w:rPr>
          <w:lang w:val="fr-FR"/>
        </w:rPr>
        <w:t xml:space="preserve"> réunion.</w:t>
      </w:r>
      <w:r w:rsidRPr="00C50AC4">
        <w:rPr>
          <w:lang w:val="fr-CA"/>
        </w:rPr>
        <w:t xml:space="preserve"> </w:t>
      </w:r>
    </w:p>
    <w:p w14:paraId="656E9C00" w14:textId="57DBDF52" w:rsidR="002D534F" w:rsidRPr="005A5100" w:rsidRDefault="002D534F" w:rsidP="002D534F">
      <w:pPr>
        <w:pStyle w:val="Heading1"/>
        <w:spacing w:after="120"/>
        <w:rPr>
          <w:lang w:val="fr-FR"/>
        </w:rPr>
      </w:pPr>
      <w:r w:rsidRPr="002D534F">
        <w:rPr>
          <w:lang w:val="fr-FR"/>
        </w:rPr>
        <w:t>Plusieurs membres ont insisté sur l</w:t>
      </w:r>
      <w:r w:rsidR="00330498">
        <w:rPr>
          <w:lang w:val="fr-FR"/>
        </w:rPr>
        <w:t>’</w:t>
      </w:r>
      <w:r w:rsidRPr="002D534F">
        <w:rPr>
          <w:lang w:val="fr-FR"/>
        </w:rPr>
        <w:t>urgence d</w:t>
      </w:r>
      <w:r w:rsidR="00330498">
        <w:rPr>
          <w:lang w:val="fr-FR"/>
        </w:rPr>
        <w:t>’</w:t>
      </w:r>
      <w:r w:rsidRPr="002D534F">
        <w:rPr>
          <w:lang w:val="fr-FR"/>
        </w:rPr>
        <w:t>adopter les lignes directrices lors de la 87</w:t>
      </w:r>
      <w:r w:rsidRPr="002D534F">
        <w:rPr>
          <w:vertAlign w:val="superscript"/>
          <w:lang w:val="fr-FR"/>
        </w:rPr>
        <w:t>e</w:t>
      </w:r>
      <w:r w:rsidRPr="002D534F">
        <w:rPr>
          <w:lang w:val="fr-FR"/>
        </w:rPr>
        <w:t xml:space="preserve"> réunion.</w:t>
      </w:r>
      <w:r w:rsidRPr="00C50AC4">
        <w:rPr>
          <w:lang w:val="fr-CA"/>
        </w:rPr>
        <w:t xml:space="preserve"> </w:t>
      </w:r>
      <w:r w:rsidRPr="002D534F">
        <w:rPr>
          <w:lang w:val="fr-FR"/>
        </w:rPr>
        <w:t>Un membre a souligné l</w:t>
      </w:r>
      <w:r w:rsidR="00330498">
        <w:rPr>
          <w:lang w:val="fr-FR"/>
        </w:rPr>
        <w:t>’</w:t>
      </w:r>
      <w:r w:rsidRPr="002D534F">
        <w:rPr>
          <w:lang w:val="fr-FR"/>
        </w:rPr>
        <w:t>importance lors de cette réunion d</w:t>
      </w:r>
      <w:r w:rsidR="00330498">
        <w:rPr>
          <w:lang w:val="fr-FR"/>
        </w:rPr>
        <w:t>’</w:t>
      </w:r>
      <w:r w:rsidRPr="002D534F">
        <w:rPr>
          <w:lang w:val="fr-FR"/>
        </w:rPr>
        <w:t xml:space="preserve">allouer suffisamment de temps </w:t>
      </w:r>
      <w:r w:rsidR="00E96BBC">
        <w:rPr>
          <w:lang w:val="fr-FR"/>
        </w:rPr>
        <w:t>aux</w:t>
      </w:r>
      <w:r w:rsidRPr="002D534F">
        <w:rPr>
          <w:lang w:val="fr-FR"/>
        </w:rPr>
        <w:t xml:space="preserve"> discussions afin d</w:t>
      </w:r>
      <w:r w:rsidR="00330498">
        <w:rPr>
          <w:lang w:val="fr-FR"/>
        </w:rPr>
        <w:t>’</w:t>
      </w:r>
      <w:r w:rsidRPr="002D534F">
        <w:rPr>
          <w:lang w:val="fr-FR"/>
        </w:rPr>
        <w:t>y parvenir.</w:t>
      </w:r>
      <w:r w:rsidRPr="00C50AC4">
        <w:rPr>
          <w:lang w:val="fr-CA"/>
        </w:rPr>
        <w:t xml:space="preserve"> </w:t>
      </w:r>
      <w:r w:rsidRPr="002D534F">
        <w:rPr>
          <w:lang w:val="fr-FR"/>
        </w:rPr>
        <w:t xml:space="preserve">Un autre membre a proposé </w:t>
      </w:r>
      <w:r w:rsidR="00E449E2">
        <w:rPr>
          <w:lang w:val="fr-FR"/>
        </w:rPr>
        <w:t>que les discussions s</w:t>
      </w:r>
      <w:r w:rsidR="00330498">
        <w:rPr>
          <w:lang w:val="fr-FR"/>
        </w:rPr>
        <w:t>’</w:t>
      </w:r>
      <w:r w:rsidR="00E449E2">
        <w:rPr>
          <w:lang w:val="fr-FR"/>
        </w:rPr>
        <w:t>appuient</w:t>
      </w:r>
      <w:r w:rsidR="00FE06A2">
        <w:rPr>
          <w:lang w:val="fr-FR"/>
        </w:rPr>
        <w:t> </w:t>
      </w:r>
      <w:r w:rsidRPr="002D534F">
        <w:rPr>
          <w:lang w:val="fr-FR"/>
        </w:rPr>
        <w:t>sur le travail sur les lignes directrices déjà réalisé par le groupe de contact.</w:t>
      </w:r>
      <w:r w:rsidRPr="00C50AC4">
        <w:rPr>
          <w:lang w:val="fr-CA"/>
        </w:rPr>
        <w:t xml:space="preserve"> </w:t>
      </w:r>
      <w:r w:rsidRPr="002D534F">
        <w:rPr>
          <w:lang w:val="fr-FR"/>
        </w:rPr>
        <w:t>Le Comité exécutif a décidé de poursuivre l</w:t>
      </w:r>
      <w:r w:rsidR="00330498">
        <w:rPr>
          <w:lang w:val="fr-FR"/>
        </w:rPr>
        <w:t>’</w:t>
      </w:r>
      <w:r w:rsidRPr="002D534F">
        <w:rPr>
          <w:lang w:val="fr-FR"/>
        </w:rPr>
        <w:t>examen du projet de lignes directrices sur la préparation des plans de réduction progressive des HFC pour les pays visés à l</w:t>
      </w:r>
      <w:r w:rsidR="00330498">
        <w:rPr>
          <w:lang w:val="fr-FR"/>
        </w:rPr>
        <w:t>’</w:t>
      </w:r>
      <w:r w:rsidRPr="002D534F">
        <w:rPr>
          <w:lang w:val="fr-FR"/>
        </w:rPr>
        <w:t>article 5 lors de sa 87</w:t>
      </w:r>
      <w:r w:rsidRPr="002D534F">
        <w:rPr>
          <w:vertAlign w:val="superscript"/>
          <w:lang w:val="fr-FR"/>
        </w:rPr>
        <w:t>e</w:t>
      </w:r>
      <w:r w:rsidRPr="002D534F">
        <w:rPr>
          <w:lang w:val="fr-FR"/>
        </w:rPr>
        <w:t xml:space="preserve"> réunion, </w:t>
      </w:r>
      <w:r w:rsidRPr="005A5100">
        <w:rPr>
          <w:lang w:val="fr-FR"/>
        </w:rPr>
        <w:t>à partir du document de travail produit par le groupe de contact créé lors la 86</w:t>
      </w:r>
      <w:r w:rsidRPr="005A5100">
        <w:rPr>
          <w:vertAlign w:val="superscript"/>
          <w:lang w:val="fr-FR"/>
        </w:rPr>
        <w:t>e</w:t>
      </w:r>
      <w:r w:rsidR="00FE06A2" w:rsidRPr="005A5100">
        <w:rPr>
          <w:lang w:val="fr-FR"/>
        </w:rPr>
        <w:t> </w:t>
      </w:r>
      <w:r w:rsidRPr="005A5100">
        <w:rPr>
          <w:lang w:val="fr-FR"/>
        </w:rPr>
        <w:t>réunion</w:t>
      </w:r>
      <w:r w:rsidR="00340958">
        <w:rPr>
          <w:lang w:val="fr-FR"/>
        </w:rPr>
        <w:t xml:space="preserve">, figurant à l’Annexe XLVII </w:t>
      </w:r>
      <w:r w:rsidR="00654E8B" w:rsidRPr="005A5100">
        <w:rPr>
          <w:lang w:val="fr-FR"/>
        </w:rPr>
        <w:t>du rap</w:t>
      </w:r>
      <w:r w:rsidR="005A5100" w:rsidRPr="005A5100">
        <w:rPr>
          <w:lang w:val="fr-FR"/>
        </w:rPr>
        <w:t>p</w:t>
      </w:r>
      <w:r w:rsidR="00654E8B" w:rsidRPr="005A5100">
        <w:rPr>
          <w:lang w:val="fr-FR"/>
        </w:rPr>
        <w:t>ort de la réunion</w:t>
      </w:r>
      <w:r w:rsidRPr="005A5100">
        <w:rPr>
          <w:lang w:val="fr-FR"/>
        </w:rPr>
        <w:t xml:space="preserve"> (décision 86/93).</w:t>
      </w:r>
    </w:p>
    <w:p w14:paraId="13E953CC" w14:textId="77777777" w:rsidR="00A37AA1" w:rsidRDefault="00A37AA1" w:rsidP="00D67DDC">
      <w:pPr>
        <w:keepNext/>
        <w:rPr>
          <w:b/>
          <w:lang w:val="fr-FR"/>
        </w:rPr>
      </w:pPr>
    </w:p>
    <w:p w14:paraId="30749480" w14:textId="2012FFBA" w:rsidR="000F1514" w:rsidRPr="00C50AC4" w:rsidRDefault="002D534F" w:rsidP="00D67DDC">
      <w:pPr>
        <w:keepNext/>
        <w:rPr>
          <w:b/>
          <w:lang w:val="fr-CA"/>
        </w:rPr>
      </w:pPr>
      <w:r w:rsidRPr="002D534F">
        <w:rPr>
          <w:b/>
          <w:lang w:val="fr-FR"/>
        </w:rPr>
        <w:t>Discussions lors de la 87</w:t>
      </w:r>
      <w:r w:rsidRPr="002D534F">
        <w:rPr>
          <w:b/>
          <w:vertAlign w:val="superscript"/>
          <w:lang w:val="fr-FR"/>
        </w:rPr>
        <w:t>e</w:t>
      </w:r>
      <w:r w:rsidRPr="002D534F">
        <w:rPr>
          <w:b/>
          <w:lang w:val="fr-FR"/>
        </w:rPr>
        <w:t xml:space="preserve"> réunion</w:t>
      </w:r>
    </w:p>
    <w:p w14:paraId="0371CBD2" w14:textId="77777777" w:rsidR="000F1514" w:rsidRPr="00C50AC4" w:rsidRDefault="000F1514" w:rsidP="00D67DDC">
      <w:pPr>
        <w:keepNext/>
        <w:rPr>
          <w:lang w:val="fr-CA"/>
        </w:rPr>
      </w:pPr>
    </w:p>
    <w:p w14:paraId="694A2D2F" w14:textId="7DB38902" w:rsidR="002D534F" w:rsidRPr="00C50AC4" w:rsidRDefault="002D534F" w:rsidP="002D534F">
      <w:pPr>
        <w:pStyle w:val="Heading1"/>
        <w:keepNext/>
        <w:rPr>
          <w:lang w:val="fr-CA"/>
        </w:rPr>
      </w:pPr>
      <w:r w:rsidRPr="002D534F">
        <w:rPr>
          <w:lang w:val="fr-FR"/>
        </w:rPr>
        <w:t xml:space="preserve">Afin de faciliter la </w:t>
      </w:r>
      <w:r w:rsidR="00E449E2" w:rsidRPr="002D534F">
        <w:rPr>
          <w:lang w:val="fr-FR"/>
        </w:rPr>
        <w:t>discussion</w:t>
      </w:r>
      <w:r w:rsidRPr="002D534F">
        <w:rPr>
          <w:lang w:val="fr-FR"/>
        </w:rPr>
        <w:t xml:space="preserve"> et conformément à la décision 86/93, </w:t>
      </w:r>
      <w:r w:rsidR="00E449E2">
        <w:rPr>
          <w:lang w:val="fr-FR"/>
        </w:rPr>
        <w:t xml:space="preserve">le </w:t>
      </w:r>
      <w:r w:rsidRPr="002D534F">
        <w:rPr>
          <w:lang w:val="fr-FR"/>
        </w:rPr>
        <w:t xml:space="preserve">Secrétariat a préparé la </w:t>
      </w:r>
      <w:r w:rsidR="00E449E2" w:rsidRPr="002D534F">
        <w:rPr>
          <w:lang w:val="fr-FR"/>
        </w:rPr>
        <w:t>présente</w:t>
      </w:r>
      <w:r w:rsidRPr="002D534F">
        <w:rPr>
          <w:lang w:val="fr-FR"/>
        </w:rPr>
        <w:t xml:space="preserve"> </w:t>
      </w:r>
      <w:r w:rsidR="00E449E2">
        <w:rPr>
          <w:lang w:val="fr-FR"/>
        </w:rPr>
        <w:t>n</w:t>
      </w:r>
      <w:r w:rsidRPr="002D534F">
        <w:rPr>
          <w:lang w:val="fr-FR"/>
        </w:rPr>
        <w:t>ote qui contient :</w:t>
      </w:r>
    </w:p>
    <w:p w14:paraId="0F8289AD" w14:textId="57D5339C" w:rsidR="002D534F" w:rsidRPr="00C50AC4" w:rsidRDefault="002D534F" w:rsidP="002D534F">
      <w:pPr>
        <w:pStyle w:val="Heading2"/>
        <w:rPr>
          <w:lang w:val="fr-CA"/>
        </w:rPr>
      </w:pPr>
      <w:r w:rsidRPr="002D534F">
        <w:rPr>
          <w:lang w:val="fr-FR"/>
        </w:rPr>
        <w:t>Le document de travail fourni par le groupe de contact mis en place à la 86</w:t>
      </w:r>
      <w:r w:rsidRPr="002D534F">
        <w:rPr>
          <w:vertAlign w:val="superscript"/>
          <w:lang w:val="fr-FR"/>
        </w:rPr>
        <w:t>e</w:t>
      </w:r>
      <w:r w:rsidRPr="002D534F">
        <w:rPr>
          <w:lang w:val="fr-FR"/>
        </w:rPr>
        <w:t xml:space="preserve"> réunion sur le projet de lignes directrices </w:t>
      </w:r>
      <w:r w:rsidR="00CA5427">
        <w:rPr>
          <w:lang w:val="fr-FR"/>
        </w:rPr>
        <w:t xml:space="preserve">relatives à </w:t>
      </w:r>
      <w:r w:rsidRPr="002D534F">
        <w:rPr>
          <w:lang w:val="fr-FR"/>
        </w:rPr>
        <w:t xml:space="preserve">la </w:t>
      </w:r>
      <w:r w:rsidR="00CA5427" w:rsidRPr="002D534F">
        <w:rPr>
          <w:lang w:val="fr-FR"/>
        </w:rPr>
        <w:t>préparation</w:t>
      </w:r>
      <w:r w:rsidRPr="002D534F">
        <w:rPr>
          <w:lang w:val="fr-FR"/>
        </w:rPr>
        <w:t xml:space="preserve"> des plans de réduction progressive des HFC et reproduit ci-dessous.</w:t>
      </w:r>
      <w:r w:rsidRPr="00C50AC4">
        <w:rPr>
          <w:lang w:val="fr-CA"/>
        </w:rPr>
        <w:t xml:space="preserve"> </w:t>
      </w:r>
    </w:p>
    <w:p w14:paraId="6B0CB286" w14:textId="5874F78C" w:rsidR="002D534F" w:rsidRPr="00C50AC4" w:rsidRDefault="002D534F" w:rsidP="002D534F">
      <w:pPr>
        <w:pStyle w:val="Heading2"/>
        <w:rPr>
          <w:lang w:val="fr-CA"/>
        </w:rPr>
      </w:pPr>
      <w:r w:rsidRPr="002D534F">
        <w:rPr>
          <w:lang w:val="fr-FR"/>
        </w:rPr>
        <w:t xml:space="preserve">La </w:t>
      </w:r>
      <w:r w:rsidR="00E96BBC">
        <w:rPr>
          <w:lang w:val="fr-FR"/>
        </w:rPr>
        <w:t>transcript</w:t>
      </w:r>
      <w:r w:rsidRPr="002D534F">
        <w:rPr>
          <w:lang w:val="fr-FR"/>
        </w:rPr>
        <w:t xml:space="preserve">ion des </w:t>
      </w:r>
      <w:r w:rsidR="00CA5427" w:rsidRPr="002D534F">
        <w:rPr>
          <w:lang w:val="fr-FR"/>
        </w:rPr>
        <w:t>discussions</w:t>
      </w:r>
      <w:r w:rsidRPr="002D534F">
        <w:rPr>
          <w:lang w:val="fr-FR"/>
        </w:rPr>
        <w:t xml:space="preserve"> sur cette question lors de la 86</w:t>
      </w:r>
      <w:r w:rsidRPr="002D534F">
        <w:rPr>
          <w:vertAlign w:val="superscript"/>
          <w:lang w:val="fr-FR"/>
        </w:rPr>
        <w:t>e</w:t>
      </w:r>
      <w:r w:rsidRPr="002D534F">
        <w:rPr>
          <w:lang w:val="fr-FR"/>
        </w:rPr>
        <w:t xml:space="preserve"> </w:t>
      </w:r>
      <w:r w:rsidR="00CA5427" w:rsidRPr="002D534F">
        <w:rPr>
          <w:lang w:val="fr-FR"/>
        </w:rPr>
        <w:t>réunion</w:t>
      </w:r>
      <w:r w:rsidRPr="002D534F">
        <w:rPr>
          <w:lang w:val="fr-FR"/>
        </w:rPr>
        <w:t xml:space="preserve"> (extraite de la version </w:t>
      </w:r>
      <w:r w:rsidR="00CA5427" w:rsidRPr="002D534F">
        <w:rPr>
          <w:lang w:val="fr-FR"/>
        </w:rPr>
        <w:t>provisoire</w:t>
      </w:r>
      <w:r w:rsidRPr="002D534F">
        <w:rPr>
          <w:lang w:val="fr-FR"/>
        </w:rPr>
        <w:t xml:space="preserve"> du Rapport de la</w:t>
      </w:r>
      <w:r w:rsidR="00FE06A2">
        <w:rPr>
          <w:lang w:val="fr-FR"/>
        </w:rPr>
        <w:t> </w:t>
      </w:r>
      <w:r w:rsidRPr="002D534F">
        <w:rPr>
          <w:lang w:val="fr-FR"/>
        </w:rPr>
        <w:t>86</w:t>
      </w:r>
      <w:r w:rsidRPr="002D534F">
        <w:rPr>
          <w:vertAlign w:val="superscript"/>
          <w:lang w:val="fr-FR"/>
        </w:rPr>
        <w:t>e</w:t>
      </w:r>
      <w:r w:rsidRPr="002D534F">
        <w:rPr>
          <w:lang w:val="fr-FR"/>
        </w:rPr>
        <w:t xml:space="preserve"> réunion du Comité exécutif</w:t>
      </w:r>
      <w:r w:rsidRPr="002D534F">
        <w:rPr>
          <w:rStyle w:val="FootnoteReference"/>
          <w:lang w:val="fr-FR"/>
        </w:rPr>
        <w:footnoteReference w:id="5"/>
      </w:r>
      <w:r w:rsidRPr="002D534F">
        <w:rPr>
          <w:lang w:val="fr-FR"/>
        </w:rPr>
        <w:t>)</w:t>
      </w:r>
      <w:r w:rsidR="00E96BBC">
        <w:rPr>
          <w:lang w:val="fr-FR"/>
        </w:rPr>
        <w:t xml:space="preserve"> </w:t>
      </w:r>
      <w:r w:rsidRPr="002D534F">
        <w:rPr>
          <w:lang w:val="fr-FR"/>
        </w:rPr>
        <w:t>se trouve à l</w:t>
      </w:r>
      <w:r w:rsidR="00330498">
        <w:rPr>
          <w:lang w:val="fr-FR"/>
        </w:rPr>
        <w:t>’</w:t>
      </w:r>
      <w:r w:rsidRPr="002D534F">
        <w:rPr>
          <w:lang w:val="fr-FR"/>
        </w:rPr>
        <w:t>Annexe I au présent</w:t>
      </w:r>
      <w:r w:rsidR="00FE06A2">
        <w:rPr>
          <w:lang w:val="fr-FR"/>
        </w:rPr>
        <w:t> </w:t>
      </w:r>
      <w:r w:rsidRPr="002D534F">
        <w:rPr>
          <w:lang w:val="fr-FR"/>
        </w:rPr>
        <w:t>document ; et</w:t>
      </w:r>
      <w:r w:rsidRPr="00C50AC4">
        <w:rPr>
          <w:lang w:val="fr-CA"/>
        </w:rPr>
        <w:t xml:space="preserve"> </w:t>
      </w:r>
    </w:p>
    <w:p w14:paraId="19F124D9" w14:textId="298417C5" w:rsidR="002D534F" w:rsidRPr="00C50AC4" w:rsidRDefault="002D534F" w:rsidP="002D534F">
      <w:pPr>
        <w:pStyle w:val="Heading2"/>
        <w:rPr>
          <w:lang w:val="fr-CA"/>
        </w:rPr>
      </w:pPr>
      <w:r w:rsidRPr="002D534F">
        <w:rPr>
          <w:lang w:val="fr-FR"/>
        </w:rPr>
        <w:lastRenderedPageBreak/>
        <w:t xml:space="preserve">Le document traitant de cette question (UNEP/OzL.Pro/ExCom/86/88) </w:t>
      </w:r>
      <w:r w:rsidR="00CA5427" w:rsidRPr="002D534F">
        <w:rPr>
          <w:lang w:val="fr-FR"/>
        </w:rPr>
        <w:t>présenté</w:t>
      </w:r>
      <w:r w:rsidRPr="002D534F">
        <w:rPr>
          <w:lang w:val="fr-FR"/>
        </w:rPr>
        <w:t xml:space="preserve"> lors de la 86</w:t>
      </w:r>
      <w:r w:rsidRPr="002D534F">
        <w:rPr>
          <w:vertAlign w:val="superscript"/>
          <w:lang w:val="fr-FR"/>
        </w:rPr>
        <w:t>e</w:t>
      </w:r>
      <w:r w:rsidRPr="002D534F">
        <w:rPr>
          <w:lang w:val="fr-FR"/>
        </w:rPr>
        <w:t xml:space="preserve"> réunion est joint au présent document.</w:t>
      </w:r>
    </w:p>
    <w:p w14:paraId="1F1C3134" w14:textId="5924AF6A" w:rsidR="000F1514" w:rsidRPr="002D534F" w:rsidRDefault="002D534F" w:rsidP="00181816">
      <w:pPr>
        <w:keepNext/>
        <w:keepLines/>
        <w:widowControl w:val="0"/>
        <w:rPr>
          <w:b/>
        </w:rPr>
      </w:pPr>
      <w:r w:rsidRPr="002D534F">
        <w:rPr>
          <w:b/>
          <w:lang w:val="fr-FR"/>
        </w:rPr>
        <w:t xml:space="preserve">Document de travail </w:t>
      </w:r>
    </w:p>
    <w:p w14:paraId="17986BAA" w14:textId="77777777" w:rsidR="000F1514" w:rsidRPr="00C91FB5" w:rsidRDefault="000F1514" w:rsidP="00181816">
      <w:pPr>
        <w:keepNext/>
        <w:keepLines/>
        <w:jc w:val="center"/>
        <w:textAlignment w:val="top"/>
        <w:rPr>
          <w:b/>
          <w:color w:val="272A31"/>
          <w:lang w:val="en-US"/>
        </w:rPr>
      </w:pPr>
    </w:p>
    <w:p w14:paraId="5D471475" w14:textId="77259614" w:rsidR="002D534F" w:rsidRPr="00C50AC4" w:rsidRDefault="002D534F" w:rsidP="002D534F">
      <w:pPr>
        <w:pStyle w:val="Heading1"/>
        <w:keepNext/>
        <w:keepLines/>
        <w:rPr>
          <w:lang w:val="fr-CA"/>
        </w:rPr>
      </w:pPr>
      <w:r w:rsidRPr="002D534F">
        <w:rPr>
          <w:lang w:val="fr-FR"/>
        </w:rPr>
        <w:t>Le document de travail fourni par le groupe de contact mis en place à la 86</w:t>
      </w:r>
      <w:r w:rsidRPr="002D534F">
        <w:rPr>
          <w:vertAlign w:val="superscript"/>
          <w:lang w:val="fr-FR"/>
        </w:rPr>
        <w:t>e</w:t>
      </w:r>
      <w:r w:rsidRPr="002D534F">
        <w:rPr>
          <w:lang w:val="fr-FR"/>
        </w:rPr>
        <w:t xml:space="preserve"> réunion sur le projet de lignes directrices </w:t>
      </w:r>
      <w:r w:rsidR="00E96BBC">
        <w:rPr>
          <w:lang w:val="fr-FR"/>
        </w:rPr>
        <w:t>relatives à</w:t>
      </w:r>
      <w:r w:rsidRPr="002D534F">
        <w:rPr>
          <w:lang w:val="fr-FR"/>
        </w:rPr>
        <w:t xml:space="preserve"> la préparation des plans de la réduction progressive des HFC est reproduit ci-dessous.</w:t>
      </w:r>
    </w:p>
    <w:p w14:paraId="05BA668F" w14:textId="12E928A2" w:rsidR="000F1514" w:rsidRPr="00C50AC4" w:rsidRDefault="00E96BBC" w:rsidP="000F1514">
      <w:pPr>
        <w:textAlignment w:val="top"/>
        <w:rPr>
          <w:lang w:val="fr-CA"/>
        </w:rPr>
      </w:pPr>
      <w:r>
        <w:rPr>
          <w:lang w:val="fr-FR"/>
        </w:rPr>
        <w:t>« </w:t>
      </w:r>
      <w:r w:rsidR="002D534F" w:rsidRPr="002D534F">
        <w:rPr>
          <w:lang w:val="fr-FR"/>
        </w:rPr>
        <w:t>Le Comité exécutif pourrait envisager de :</w:t>
      </w:r>
    </w:p>
    <w:p w14:paraId="5AFD2BD4" w14:textId="3DF6994F" w:rsidR="000F1514" w:rsidRPr="00C50AC4" w:rsidRDefault="000F1514" w:rsidP="000F1514">
      <w:pPr>
        <w:textAlignment w:val="top"/>
        <w:rPr>
          <w:color w:val="272A31"/>
          <w:lang w:val="fr-CA"/>
        </w:rPr>
      </w:pPr>
    </w:p>
    <w:p w14:paraId="414C849C" w14:textId="584D13F0" w:rsidR="002D534F" w:rsidRPr="00C50AC4" w:rsidRDefault="002D534F" w:rsidP="002D534F">
      <w:pPr>
        <w:widowControl w:val="0"/>
        <w:numPr>
          <w:ilvl w:val="1"/>
          <w:numId w:val="1"/>
        </w:numPr>
        <w:spacing w:after="240"/>
        <w:outlineLvl w:val="1"/>
        <w:rPr>
          <w:lang w:val="fr-CA"/>
        </w:rPr>
      </w:pPr>
      <w:r w:rsidRPr="002D534F">
        <w:rPr>
          <w:lang w:val="fr-FR"/>
        </w:rPr>
        <w:t xml:space="preserve">Prendre note du document UNEP/OzL.Pro/ExCom/86/88 sur le projet de lignes directrices </w:t>
      </w:r>
      <w:r w:rsidR="00CA5427">
        <w:rPr>
          <w:lang w:val="fr-FR"/>
        </w:rPr>
        <w:t xml:space="preserve">relatives à </w:t>
      </w:r>
      <w:r w:rsidRPr="002D534F">
        <w:rPr>
          <w:lang w:val="fr-FR"/>
        </w:rPr>
        <w:t xml:space="preserve">la préparation des plans de réduction progressive des </w:t>
      </w:r>
      <w:r w:rsidRPr="00CA5427">
        <w:rPr>
          <w:lang w:val="fr-FR"/>
        </w:rPr>
        <w:t>HFC [plan d</w:t>
      </w:r>
      <w:r w:rsidR="00330498">
        <w:rPr>
          <w:lang w:val="fr-FR"/>
        </w:rPr>
        <w:t>’</w:t>
      </w:r>
      <w:r w:rsidR="00CA5427" w:rsidRPr="00CA5427">
        <w:rPr>
          <w:lang w:val="fr-FR"/>
        </w:rPr>
        <w:t xml:space="preserve">application de </w:t>
      </w:r>
      <w:r w:rsidRPr="00CA5427">
        <w:rPr>
          <w:lang w:val="fr-FR"/>
        </w:rPr>
        <w:t>Kigali/</w:t>
      </w:r>
      <w:r w:rsidR="00E96BBC">
        <w:rPr>
          <w:lang w:val="fr-FR"/>
        </w:rPr>
        <w:t>pour les</w:t>
      </w:r>
      <w:r w:rsidR="00CA5427" w:rsidRPr="00CA5427">
        <w:rPr>
          <w:lang w:val="fr-FR"/>
        </w:rPr>
        <w:t xml:space="preserve"> </w:t>
      </w:r>
      <w:r w:rsidRPr="00CA5427">
        <w:rPr>
          <w:lang w:val="fr-FR"/>
        </w:rPr>
        <w:t>HFC/PGKH]</w:t>
      </w:r>
      <w:r w:rsidRPr="002D534F">
        <w:rPr>
          <w:lang w:val="fr-FR"/>
        </w:rPr>
        <w:t xml:space="preserve"> dans les pays visés à l</w:t>
      </w:r>
      <w:r w:rsidR="00330498">
        <w:rPr>
          <w:lang w:val="fr-FR"/>
        </w:rPr>
        <w:t>’</w:t>
      </w:r>
      <w:r w:rsidRPr="002D534F">
        <w:rPr>
          <w:lang w:val="fr-FR"/>
        </w:rPr>
        <w:t>article 5 ;</w:t>
      </w:r>
    </w:p>
    <w:p w14:paraId="79A49FCB" w14:textId="7826D363" w:rsidR="002D534F" w:rsidRPr="00C50AC4" w:rsidRDefault="002D534F" w:rsidP="002D534F">
      <w:pPr>
        <w:widowControl w:val="0"/>
        <w:numPr>
          <w:ilvl w:val="1"/>
          <w:numId w:val="1"/>
        </w:numPr>
        <w:spacing w:after="240"/>
        <w:outlineLvl w:val="1"/>
        <w:rPr>
          <w:lang w:val="fr-CA"/>
        </w:rPr>
      </w:pPr>
      <w:r w:rsidRPr="002D534F">
        <w:rPr>
          <w:lang w:val="fr-FR"/>
        </w:rPr>
        <w:t>Inclure dans le financement pour la préparation d</w:t>
      </w:r>
      <w:r w:rsidR="00330498">
        <w:rPr>
          <w:lang w:val="fr-FR"/>
        </w:rPr>
        <w:t>’</w:t>
      </w:r>
      <w:r w:rsidR="00CA5427">
        <w:rPr>
          <w:lang w:val="fr-FR"/>
        </w:rPr>
        <w:t xml:space="preserve">une </w:t>
      </w:r>
      <w:r w:rsidRPr="002D534F">
        <w:rPr>
          <w:lang w:val="fr-FR"/>
        </w:rPr>
        <w:t>stratégie d</w:t>
      </w:r>
      <w:r w:rsidR="00330498">
        <w:rPr>
          <w:lang w:val="fr-FR"/>
        </w:rPr>
        <w:t>’</w:t>
      </w:r>
      <w:r w:rsidRPr="002D534F">
        <w:rPr>
          <w:lang w:val="fr-FR"/>
        </w:rPr>
        <w:t>ensemble de la phase I de la réduction progressive des HFC une aide [s</w:t>
      </w:r>
      <w:r w:rsidR="00330498">
        <w:rPr>
          <w:lang w:val="fr-FR"/>
        </w:rPr>
        <w:t>’</w:t>
      </w:r>
      <w:r w:rsidRPr="002D534F">
        <w:rPr>
          <w:lang w:val="fr-FR"/>
        </w:rPr>
        <w:t>appuyant sur les plans de gestion de l</w:t>
      </w:r>
      <w:r w:rsidR="00330498">
        <w:rPr>
          <w:lang w:val="fr-FR"/>
        </w:rPr>
        <w:t>’</w:t>
      </w:r>
      <w:r w:rsidRPr="002D534F">
        <w:rPr>
          <w:lang w:val="fr-FR"/>
        </w:rPr>
        <w:t>élimination des HCFC (PGEH)] pour :</w:t>
      </w:r>
    </w:p>
    <w:p w14:paraId="59D694AA" w14:textId="469A8262" w:rsidR="001B0C65" w:rsidRPr="00C50AC4" w:rsidRDefault="001B0C65" w:rsidP="001B0C65">
      <w:pPr>
        <w:widowControl w:val="0"/>
        <w:numPr>
          <w:ilvl w:val="2"/>
          <w:numId w:val="1"/>
        </w:numPr>
        <w:tabs>
          <w:tab w:val="clear" w:pos="0"/>
          <w:tab w:val="num" w:pos="-270"/>
        </w:tabs>
        <w:spacing w:after="240"/>
        <w:outlineLvl w:val="2"/>
        <w:rPr>
          <w:lang w:val="fr-CA"/>
        </w:rPr>
      </w:pPr>
      <w:r w:rsidRPr="001B0C65">
        <w:rPr>
          <w:lang w:val="fr-FR"/>
        </w:rPr>
        <w:t>[Une vue d</w:t>
      </w:r>
      <w:r w:rsidR="00330498">
        <w:rPr>
          <w:lang w:val="fr-FR"/>
        </w:rPr>
        <w:t>’</w:t>
      </w:r>
      <w:r w:rsidRPr="001B0C65">
        <w:rPr>
          <w:lang w:val="fr-FR"/>
        </w:rPr>
        <w:t>ensemble] [La mise à jour] [Le prolongement des mesures existantes] [L</w:t>
      </w:r>
      <w:r w:rsidR="00330498">
        <w:rPr>
          <w:lang w:val="fr-FR"/>
        </w:rPr>
        <w:t>’</w:t>
      </w:r>
      <w:r w:rsidRPr="001B0C65">
        <w:rPr>
          <w:lang w:val="fr-FR"/>
        </w:rPr>
        <w:t>élaboration]</w:t>
      </w:r>
      <w:r w:rsidR="00E96BBC">
        <w:rPr>
          <w:lang w:val="fr-FR"/>
        </w:rPr>
        <w:t xml:space="preserve"> </w:t>
      </w:r>
      <w:r w:rsidR="00CA5427">
        <w:rPr>
          <w:lang w:val="fr-FR"/>
        </w:rPr>
        <w:t xml:space="preserve">en matière de législation, </w:t>
      </w:r>
      <w:r w:rsidRPr="001B0C65">
        <w:rPr>
          <w:lang w:val="fr-FR"/>
        </w:rPr>
        <w:t xml:space="preserve">politiques générales et réglementations [pour les importations/exportations], le cas </w:t>
      </w:r>
      <w:r w:rsidR="00CA5427" w:rsidRPr="001B0C65">
        <w:rPr>
          <w:lang w:val="fr-FR"/>
        </w:rPr>
        <w:t>échéant</w:t>
      </w:r>
      <w:r w:rsidRPr="001B0C65">
        <w:rPr>
          <w:lang w:val="fr-FR"/>
        </w:rPr>
        <w:t>, afin d</w:t>
      </w:r>
      <w:r w:rsidR="00330498">
        <w:rPr>
          <w:lang w:val="fr-FR"/>
        </w:rPr>
        <w:t>’</w:t>
      </w:r>
      <w:r w:rsidRPr="001B0C65">
        <w:rPr>
          <w:lang w:val="fr-FR"/>
        </w:rPr>
        <w:t>étendre les programmes d</w:t>
      </w:r>
      <w:r w:rsidR="00330498">
        <w:rPr>
          <w:lang w:val="fr-FR"/>
        </w:rPr>
        <w:t>’</w:t>
      </w:r>
      <w:r w:rsidRPr="001B0C65">
        <w:rPr>
          <w:lang w:val="fr-FR"/>
        </w:rPr>
        <w:t>octroi de permis et de quotas existants aux substances réglementées visées à l</w:t>
      </w:r>
      <w:r w:rsidR="00330498">
        <w:rPr>
          <w:lang w:val="fr-FR"/>
        </w:rPr>
        <w:t>’</w:t>
      </w:r>
      <w:r w:rsidRPr="001B0C65">
        <w:rPr>
          <w:lang w:val="fr-FR"/>
        </w:rPr>
        <w:t>annexe F (HFC) du Protocole de Montréal, et [l</w:t>
      </w:r>
      <w:r w:rsidR="00330498">
        <w:rPr>
          <w:lang w:val="fr-FR"/>
        </w:rPr>
        <w:t>’</w:t>
      </w:r>
      <w:r w:rsidRPr="001B0C65">
        <w:rPr>
          <w:lang w:val="fr-FR"/>
        </w:rPr>
        <w:t>imposition de limites [pour éviter l</w:t>
      </w:r>
      <w:r w:rsidR="00330498">
        <w:rPr>
          <w:lang w:val="fr-FR"/>
        </w:rPr>
        <w:t>’</w:t>
      </w:r>
      <w:r w:rsidRPr="001B0C65">
        <w:rPr>
          <w:lang w:val="fr-FR"/>
        </w:rPr>
        <w:t xml:space="preserve">augmentation] </w:t>
      </w:r>
      <w:r w:rsidR="00E96BBC">
        <w:rPr>
          <w:lang w:val="fr-FR"/>
        </w:rPr>
        <w:t>notamment</w:t>
      </w:r>
      <w:r w:rsidRPr="001B0C65">
        <w:rPr>
          <w:lang w:val="fr-FR"/>
        </w:rPr>
        <w:t xml:space="preserve"> des mesures de réduction de la consommation de HFC durables </w:t>
      </w:r>
      <w:r w:rsidR="00CA5427">
        <w:rPr>
          <w:lang w:val="fr-FR"/>
        </w:rPr>
        <w:t>au fil du</w:t>
      </w:r>
      <w:r w:rsidRPr="001B0C65">
        <w:rPr>
          <w:lang w:val="fr-FR"/>
        </w:rPr>
        <w:t xml:space="preserve"> temps] </w:t>
      </w:r>
      <w:r w:rsidR="00E96BBC">
        <w:rPr>
          <w:lang w:val="fr-FR"/>
        </w:rPr>
        <w:t>visant</w:t>
      </w:r>
      <w:r w:rsidRPr="001B0C65">
        <w:rPr>
          <w:lang w:val="fr-FR"/>
        </w:rPr>
        <w:t xml:space="preserve"> l</w:t>
      </w:r>
      <w:r w:rsidR="00330498">
        <w:rPr>
          <w:lang w:val="fr-FR"/>
        </w:rPr>
        <w:t>’</w:t>
      </w:r>
      <w:r w:rsidRPr="001B0C65">
        <w:rPr>
          <w:lang w:val="fr-FR"/>
        </w:rPr>
        <w:t>augmentation ou des réductions de la consommation de HFC qui seront durables dans le temps</w:t>
      </w:r>
      <w:r w:rsidR="00CA5427">
        <w:rPr>
          <w:lang w:val="fr-FR"/>
        </w:rPr>
        <w:t> </w:t>
      </w:r>
      <w:r w:rsidRPr="001B0C65">
        <w:rPr>
          <w:lang w:val="fr-FR"/>
        </w:rPr>
        <w:t>;</w:t>
      </w:r>
    </w:p>
    <w:p w14:paraId="6220DB78" w14:textId="072E5B76" w:rsidR="001B0C65" w:rsidRPr="00C50AC4" w:rsidRDefault="001B0C65" w:rsidP="001B0C65">
      <w:pPr>
        <w:widowControl w:val="0"/>
        <w:numPr>
          <w:ilvl w:val="2"/>
          <w:numId w:val="1"/>
        </w:numPr>
        <w:tabs>
          <w:tab w:val="clear" w:pos="0"/>
          <w:tab w:val="num" w:pos="-270"/>
        </w:tabs>
        <w:spacing w:after="240"/>
        <w:outlineLvl w:val="2"/>
        <w:rPr>
          <w:lang w:val="fr-CA"/>
        </w:rPr>
      </w:pPr>
      <w:r w:rsidRPr="001B0C65">
        <w:rPr>
          <w:lang w:val="fr-FR"/>
        </w:rPr>
        <w:t>La réalisation d</w:t>
      </w:r>
      <w:r w:rsidR="00330498">
        <w:rPr>
          <w:lang w:val="fr-FR"/>
        </w:rPr>
        <w:t>’</w:t>
      </w:r>
      <w:r w:rsidRPr="001B0C65">
        <w:rPr>
          <w:lang w:val="fr-FR"/>
        </w:rPr>
        <w:t>une enquête sur la consommation de HFC [et leur production, s</w:t>
      </w:r>
      <w:r w:rsidR="00330498">
        <w:rPr>
          <w:lang w:val="fr-FR"/>
        </w:rPr>
        <w:t>’</w:t>
      </w:r>
      <w:r w:rsidRPr="001B0C65">
        <w:rPr>
          <w:lang w:val="fr-FR"/>
        </w:rPr>
        <w:t>il y a lieu] ainsi que leur</w:t>
      </w:r>
      <w:r w:rsidR="00FE06A2">
        <w:rPr>
          <w:lang w:val="fr-FR"/>
        </w:rPr>
        <w:t> </w:t>
      </w:r>
      <w:r w:rsidRPr="001B0C65">
        <w:rPr>
          <w:lang w:val="fr-FR"/>
        </w:rPr>
        <w:t>répartition sectorielle [en tenant compte des enquêtes précédemment réalisées] et d</w:t>
      </w:r>
      <w:r w:rsidR="005A5100">
        <w:rPr>
          <w:lang w:val="fr-FR"/>
        </w:rPr>
        <w:t>’</w:t>
      </w:r>
      <w:r w:rsidRPr="001B0C65">
        <w:rPr>
          <w:lang w:val="fr-FR"/>
        </w:rPr>
        <w:t>enquêtes [exhaustives]</w:t>
      </w:r>
      <w:r w:rsidR="00E96BBC">
        <w:rPr>
          <w:lang w:val="fr-FR"/>
        </w:rPr>
        <w:t xml:space="preserve">, </w:t>
      </w:r>
      <w:r w:rsidRPr="001B0C65">
        <w:rPr>
          <w:lang w:val="fr-FR"/>
        </w:rPr>
        <w:t>[et d</w:t>
      </w:r>
      <w:r w:rsidR="00330498">
        <w:rPr>
          <w:lang w:val="fr-FR"/>
        </w:rPr>
        <w:t>’</w:t>
      </w:r>
      <w:r w:rsidRPr="001B0C65">
        <w:rPr>
          <w:lang w:val="fr-FR"/>
        </w:rPr>
        <w:t xml:space="preserve">un inventaire national] </w:t>
      </w:r>
      <w:r w:rsidR="00CA5427">
        <w:rPr>
          <w:lang w:val="fr-FR"/>
        </w:rPr>
        <w:t xml:space="preserve">portant </w:t>
      </w:r>
      <w:r w:rsidRPr="001B0C65">
        <w:rPr>
          <w:lang w:val="fr-FR"/>
        </w:rPr>
        <w:t>sur les entreprises dans les secteurs de la fabrication et de l</w:t>
      </w:r>
      <w:r w:rsidR="00330498">
        <w:rPr>
          <w:lang w:val="fr-FR"/>
        </w:rPr>
        <w:t>’</w:t>
      </w:r>
      <w:r w:rsidRPr="001B0C65">
        <w:rPr>
          <w:lang w:val="fr-FR"/>
        </w:rPr>
        <w:t>entretien, et une analyse des données en vue d</w:t>
      </w:r>
      <w:r w:rsidR="00330498">
        <w:rPr>
          <w:lang w:val="fr-FR"/>
        </w:rPr>
        <w:t>’</w:t>
      </w:r>
      <w:r w:rsidRPr="001B0C65">
        <w:rPr>
          <w:lang w:val="fr-FR"/>
        </w:rPr>
        <w:t>une estimation des valeurs de référence pour les HFC aux fins de conformité ;</w:t>
      </w:r>
    </w:p>
    <w:p w14:paraId="28B0B082" w14:textId="067972A3" w:rsidR="001B0C65" w:rsidRPr="00C50AC4" w:rsidRDefault="001B0C65" w:rsidP="001B0C65">
      <w:pPr>
        <w:widowControl w:val="0"/>
        <w:numPr>
          <w:ilvl w:val="2"/>
          <w:numId w:val="1"/>
        </w:numPr>
        <w:tabs>
          <w:tab w:val="clear" w:pos="0"/>
          <w:tab w:val="num" w:pos="-270"/>
        </w:tabs>
        <w:spacing w:after="240"/>
        <w:outlineLvl w:val="2"/>
        <w:rPr>
          <w:lang w:val="fr-CA"/>
        </w:rPr>
      </w:pPr>
      <w:r w:rsidRPr="001B0C65">
        <w:rPr>
          <w:lang w:val="fr-FR"/>
        </w:rPr>
        <w:t>L</w:t>
      </w:r>
      <w:r w:rsidR="00330498">
        <w:rPr>
          <w:lang w:val="fr-FR"/>
        </w:rPr>
        <w:t>’</w:t>
      </w:r>
      <w:r w:rsidRPr="001B0C65">
        <w:rPr>
          <w:lang w:val="fr-FR"/>
        </w:rPr>
        <w:t>élaboration et la finalisation de la stratégie d</w:t>
      </w:r>
      <w:r w:rsidR="00330498">
        <w:rPr>
          <w:lang w:val="fr-FR"/>
        </w:rPr>
        <w:t>’</w:t>
      </w:r>
      <w:r w:rsidRPr="001B0C65">
        <w:rPr>
          <w:lang w:val="fr-FR"/>
        </w:rPr>
        <w:t>ensemble de la phase I du plan de réduction progressive des HFC afin de respecter le gel et la réduction de 10 pour cent de la consommation de HFC [en tenant compte de l</w:t>
      </w:r>
      <w:r w:rsidR="00330498">
        <w:rPr>
          <w:lang w:val="fr-FR"/>
        </w:rPr>
        <w:t>’</w:t>
      </w:r>
      <w:r w:rsidRPr="001B0C65">
        <w:rPr>
          <w:lang w:val="fr-FR"/>
        </w:rPr>
        <w:t>efficacité potentielle de la mise en œuvre intégrée et en parallèle avec les PGEH] ;</w:t>
      </w:r>
    </w:p>
    <w:p w14:paraId="4A68AD35" w14:textId="6A62DA38" w:rsidR="001B0C65" w:rsidRPr="00C50AC4" w:rsidRDefault="001B0C65" w:rsidP="001B0C65">
      <w:pPr>
        <w:widowControl w:val="0"/>
        <w:numPr>
          <w:ilvl w:val="2"/>
          <w:numId w:val="1"/>
        </w:numPr>
        <w:tabs>
          <w:tab w:val="clear" w:pos="0"/>
          <w:tab w:val="num" w:pos="-270"/>
        </w:tabs>
        <w:spacing w:after="240"/>
        <w:outlineLvl w:val="2"/>
        <w:rPr>
          <w:lang w:val="fr-CA"/>
        </w:rPr>
      </w:pPr>
      <w:r w:rsidRPr="001B0C65">
        <w:rPr>
          <w:lang w:val="fr-FR"/>
        </w:rPr>
        <w:t>L</w:t>
      </w:r>
      <w:r w:rsidR="00330498">
        <w:rPr>
          <w:lang w:val="fr-FR"/>
        </w:rPr>
        <w:t>’</w:t>
      </w:r>
      <w:r w:rsidRPr="001B0C65">
        <w:rPr>
          <w:lang w:val="fr-FR"/>
        </w:rPr>
        <w:t>élaboration d</w:t>
      </w:r>
      <w:r w:rsidR="00330498">
        <w:rPr>
          <w:lang w:val="fr-FR"/>
        </w:rPr>
        <w:t>’</w:t>
      </w:r>
      <w:r w:rsidRPr="001B0C65">
        <w:rPr>
          <w:lang w:val="fr-FR"/>
        </w:rPr>
        <w:t>une stratégie et d</w:t>
      </w:r>
      <w:r w:rsidR="00330498">
        <w:rPr>
          <w:lang w:val="fr-FR"/>
        </w:rPr>
        <w:t>’</w:t>
      </w:r>
      <w:r w:rsidRPr="001B0C65">
        <w:rPr>
          <w:lang w:val="fr-FR"/>
        </w:rPr>
        <w:t>un plan d</w:t>
      </w:r>
      <w:r w:rsidR="00330498">
        <w:rPr>
          <w:lang w:val="fr-FR"/>
        </w:rPr>
        <w:t>’</w:t>
      </w:r>
      <w:r w:rsidRPr="001B0C65">
        <w:rPr>
          <w:lang w:val="fr-FR"/>
        </w:rPr>
        <w:t>action se rapportant au secteur de l</w:t>
      </w:r>
      <w:r w:rsidR="00330498">
        <w:rPr>
          <w:lang w:val="fr-FR"/>
        </w:rPr>
        <w:t>’</w:t>
      </w:r>
      <w:r w:rsidRPr="001B0C65">
        <w:rPr>
          <w:lang w:val="fr-FR"/>
        </w:rPr>
        <w:t>entretien des équipements de réfrigération, [en tenant compte de l</w:t>
      </w:r>
      <w:r w:rsidR="00330498">
        <w:rPr>
          <w:lang w:val="fr-FR"/>
        </w:rPr>
        <w:t>’</w:t>
      </w:r>
      <w:r w:rsidRPr="001B0C65">
        <w:rPr>
          <w:lang w:val="fr-FR"/>
        </w:rPr>
        <w:t xml:space="preserve">efficacité potentielle et des occasions offertes </w:t>
      </w:r>
      <w:r w:rsidR="005919BF">
        <w:rPr>
          <w:lang w:val="fr-FR"/>
        </w:rPr>
        <w:t>au niveau des</w:t>
      </w:r>
      <w:r w:rsidRPr="001B0C65">
        <w:rPr>
          <w:lang w:val="fr-FR"/>
        </w:rPr>
        <w:t xml:space="preserve"> synergies liées à la mise en œuvre intégrée et en parallèle avec les PGPH] tout particulièrement pour les pays visés à l</w:t>
      </w:r>
      <w:r w:rsidR="00330498">
        <w:rPr>
          <w:lang w:val="fr-FR"/>
        </w:rPr>
        <w:t>’</w:t>
      </w:r>
      <w:r w:rsidRPr="001B0C65">
        <w:rPr>
          <w:lang w:val="fr-FR"/>
        </w:rPr>
        <w:t>article 5 où la majorité des HFC sont consommés dans ce secteur</w:t>
      </w:r>
      <w:r w:rsidR="00E96BBC">
        <w:rPr>
          <w:lang w:val="fr-FR"/>
        </w:rPr>
        <w:t> </w:t>
      </w:r>
      <w:r w:rsidRPr="001B0C65">
        <w:rPr>
          <w:lang w:val="fr-FR"/>
        </w:rPr>
        <w:t>;</w:t>
      </w:r>
    </w:p>
    <w:p w14:paraId="2CF02CAB" w14:textId="187784D4" w:rsidR="001B0C65" w:rsidRPr="00C50AC4" w:rsidRDefault="001B0C65" w:rsidP="001B0C65">
      <w:pPr>
        <w:widowControl w:val="0"/>
        <w:numPr>
          <w:ilvl w:val="2"/>
          <w:numId w:val="1"/>
        </w:numPr>
        <w:tabs>
          <w:tab w:val="clear" w:pos="0"/>
          <w:tab w:val="num" w:pos="-270"/>
        </w:tabs>
        <w:spacing w:after="240"/>
        <w:outlineLvl w:val="2"/>
        <w:rPr>
          <w:lang w:val="fr-CA"/>
        </w:rPr>
      </w:pPr>
      <w:r w:rsidRPr="001B0C65">
        <w:rPr>
          <w:lang w:val="fr-FR"/>
        </w:rPr>
        <w:t>[Stratégie de conformité intégrée (UNEP/OzL.Pro/ExCom/86/87)</w:t>
      </w:r>
      <w:r w:rsidR="005919BF">
        <w:rPr>
          <w:lang w:val="fr-FR"/>
        </w:rPr>
        <w:t> </w:t>
      </w:r>
      <w:r w:rsidRPr="001B0C65">
        <w:rPr>
          <w:lang w:val="fr-FR"/>
        </w:rPr>
        <w:t>;]</w:t>
      </w:r>
    </w:p>
    <w:p w14:paraId="04C7D97C" w14:textId="56C12BBC" w:rsidR="001B0C65" w:rsidRPr="00C50AC4" w:rsidRDefault="001B0C65" w:rsidP="001B0C65">
      <w:pPr>
        <w:widowControl w:val="0"/>
        <w:numPr>
          <w:ilvl w:val="2"/>
          <w:numId w:val="1"/>
        </w:numPr>
        <w:spacing w:after="240"/>
        <w:outlineLvl w:val="2"/>
        <w:rPr>
          <w:lang w:val="fr-CA"/>
        </w:rPr>
      </w:pPr>
      <w:r w:rsidRPr="001B0C65">
        <w:rPr>
          <w:lang w:val="fr-FR"/>
        </w:rPr>
        <w:t>[Description des initiatives, du cadre, des acteurs et de la capacité institutionnelle au plan national afin d</w:t>
      </w:r>
      <w:r w:rsidR="00330498">
        <w:rPr>
          <w:lang w:val="fr-FR"/>
        </w:rPr>
        <w:t>’</w:t>
      </w:r>
      <w:r w:rsidRPr="001B0C65">
        <w:rPr>
          <w:lang w:val="fr-FR"/>
        </w:rPr>
        <w:t>améliorer l</w:t>
      </w:r>
      <w:r w:rsidR="00330498">
        <w:rPr>
          <w:lang w:val="fr-FR"/>
        </w:rPr>
        <w:t>’</w:t>
      </w:r>
      <w:r w:rsidRPr="001B0C65">
        <w:rPr>
          <w:lang w:val="fr-FR"/>
        </w:rPr>
        <w:t>efficacité énergétique dans le secteur la réfrigération et de la climatisation ;]</w:t>
      </w:r>
    </w:p>
    <w:p w14:paraId="12E69DCB" w14:textId="71E326C5" w:rsidR="001B0C65" w:rsidRPr="00C50AC4" w:rsidRDefault="001B0C65" w:rsidP="001B0C65">
      <w:pPr>
        <w:widowControl w:val="0"/>
        <w:numPr>
          <w:ilvl w:val="1"/>
          <w:numId w:val="1"/>
        </w:numPr>
        <w:spacing w:after="240"/>
        <w:outlineLvl w:val="1"/>
        <w:rPr>
          <w:lang w:val="fr-CA"/>
        </w:rPr>
      </w:pPr>
      <w:r w:rsidRPr="001B0C65">
        <w:rPr>
          <w:lang w:val="fr-FR"/>
        </w:rPr>
        <w:lastRenderedPageBreak/>
        <w:t>Accorder un financement [aux pays visés à l</w:t>
      </w:r>
      <w:r w:rsidR="00330498">
        <w:rPr>
          <w:lang w:val="fr-FR"/>
        </w:rPr>
        <w:t>’</w:t>
      </w:r>
      <w:r w:rsidRPr="001B0C65">
        <w:rPr>
          <w:lang w:val="fr-FR"/>
        </w:rPr>
        <w:t>article 5 qui ont ratifié l</w:t>
      </w:r>
      <w:r w:rsidR="00330498">
        <w:rPr>
          <w:lang w:val="fr-FR"/>
        </w:rPr>
        <w:t>’</w:t>
      </w:r>
      <w:r w:rsidRPr="001B0C65">
        <w:rPr>
          <w:lang w:val="fr-FR"/>
        </w:rPr>
        <w:t>Amendement de Kigali] pour les éléments décrits aux alinéas (b) (i) à (iv) ci-dessus, tel qu</w:t>
      </w:r>
      <w:r w:rsidR="00330498">
        <w:rPr>
          <w:lang w:val="fr-FR"/>
        </w:rPr>
        <w:t>’</w:t>
      </w:r>
      <w:r w:rsidRPr="001B0C65">
        <w:rPr>
          <w:lang w:val="fr-FR"/>
        </w:rPr>
        <w:t>indiqué dans le tableau ci-dessous, selon la valeur de référence du pays pour la consommation de HCFC :</w:t>
      </w:r>
    </w:p>
    <w:tbl>
      <w:tblPr>
        <w:tblW w:w="7860" w:type="dxa"/>
        <w:tblInd w:w="1495" w:type="dxa"/>
        <w:tblLayout w:type="fixed"/>
        <w:tblLook w:val="04A0" w:firstRow="1" w:lastRow="0" w:firstColumn="1" w:lastColumn="0" w:noHBand="0" w:noVBand="1"/>
      </w:tblPr>
      <w:tblGrid>
        <w:gridCol w:w="3810"/>
        <w:gridCol w:w="4050"/>
      </w:tblGrid>
      <w:tr w:rsidR="004245BC" w:rsidRPr="007102F5" w14:paraId="65D9CDA1" w14:textId="77777777" w:rsidTr="009A67D5">
        <w:tc>
          <w:tcPr>
            <w:tcW w:w="3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9B7AD" w14:textId="6398EAF1" w:rsidR="004245BC" w:rsidRPr="00C50AC4" w:rsidRDefault="001B0C65" w:rsidP="003B730A">
            <w:pPr>
              <w:keepNext/>
              <w:jc w:val="center"/>
              <w:rPr>
                <w:color w:val="000000"/>
                <w:sz w:val="20"/>
                <w:szCs w:val="20"/>
                <w:lang w:val="fr-CA"/>
              </w:rPr>
            </w:pPr>
            <w:r w:rsidRPr="001B0C65">
              <w:rPr>
                <w:color w:val="000000"/>
                <w:sz w:val="20"/>
                <w:szCs w:val="20"/>
                <w:lang w:val="fr-FR"/>
              </w:rPr>
              <w:t>valeur de référence des HCFC (to</w:t>
            </w:r>
            <w:r>
              <w:rPr>
                <w:color w:val="000000"/>
                <w:sz w:val="20"/>
                <w:szCs w:val="20"/>
                <w:lang w:val="fr-FR"/>
              </w:rPr>
              <w:t>nn</w:t>
            </w:r>
            <w:r w:rsidRPr="001B0C65">
              <w:rPr>
                <w:color w:val="000000"/>
                <w:sz w:val="20"/>
                <w:szCs w:val="20"/>
                <w:lang w:val="fr-FR"/>
              </w:rPr>
              <w:t xml:space="preserve">es PAO) </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854CC" w14:textId="6F3D2911" w:rsidR="004245BC" w:rsidRPr="00C50AC4" w:rsidRDefault="001B0C65" w:rsidP="003B730A">
            <w:pPr>
              <w:widowControl w:val="0"/>
              <w:jc w:val="center"/>
              <w:rPr>
                <w:color w:val="000000"/>
                <w:sz w:val="20"/>
                <w:szCs w:val="20"/>
                <w:lang w:val="fr-CA"/>
              </w:rPr>
            </w:pPr>
            <w:r w:rsidRPr="001B0C65">
              <w:rPr>
                <w:color w:val="000000"/>
                <w:sz w:val="20"/>
                <w:szCs w:val="20"/>
                <w:lang w:val="fr-FR"/>
              </w:rPr>
              <w:t>F</w:t>
            </w:r>
            <w:r w:rsidRPr="001B0C65">
              <w:rPr>
                <w:sz w:val="20"/>
                <w:szCs w:val="20"/>
                <w:lang w:val="fr-FR"/>
              </w:rPr>
              <w:t xml:space="preserve">inancement pour la préparation de la phase I du plan de réduction progressive des HFC </w:t>
            </w:r>
            <w:r w:rsidRPr="001B0C65">
              <w:rPr>
                <w:color w:val="000000"/>
                <w:sz w:val="20"/>
                <w:szCs w:val="20"/>
                <w:lang w:val="fr-FR"/>
              </w:rPr>
              <w:t>($US)</w:t>
            </w:r>
          </w:p>
        </w:tc>
      </w:tr>
      <w:tr w:rsidR="004245BC" w:rsidRPr="000B58B8" w14:paraId="59A6468E" w14:textId="77777777" w:rsidTr="009A67D5">
        <w:tc>
          <w:tcPr>
            <w:tcW w:w="3810" w:type="dxa"/>
            <w:tcBorders>
              <w:top w:val="single" w:sz="4" w:space="0" w:color="auto"/>
              <w:left w:val="single" w:sz="4" w:space="0" w:color="auto"/>
              <w:bottom w:val="single" w:sz="4" w:space="0" w:color="auto"/>
              <w:right w:val="single" w:sz="4" w:space="0" w:color="auto"/>
            </w:tcBorders>
            <w:shd w:val="clear" w:color="auto" w:fill="auto"/>
            <w:hideMark/>
          </w:tcPr>
          <w:p w14:paraId="6FB28A2E" w14:textId="51FBFD32" w:rsidR="004245BC" w:rsidRPr="000B58B8" w:rsidRDefault="001B0C65" w:rsidP="003B730A">
            <w:pPr>
              <w:keepNext/>
              <w:rPr>
                <w:color w:val="000000"/>
                <w:sz w:val="20"/>
                <w:szCs w:val="20"/>
                <w:lang w:val="en-US"/>
              </w:rPr>
            </w:pPr>
            <w:r w:rsidRPr="001B0C65">
              <w:rPr>
                <w:sz w:val="20"/>
                <w:szCs w:val="20"/>
                <w:lang w:val="fr-FR"/>
              </w:rPr>
              <w:t>Inférieure à 1</w:t>
            </w:r>
            <w:r w:rsidR="004245BC" w:rsidRPr="001B0C65">
              <w:rPr>
                <w:sz w:val="20"/>
                <w:szCs w:val="20"/>
              </w:rPr>
              <w:t xml:space="preserve"> </w:t>
            </w:r>
          </w:p>
        </w:tc>
        <w:tc>
          <w:tcPr>
            <w:tcW w:w="4050" w:type="dxa"/>
            <w:tcBorders>
              <w:top w:val="nil"/>
              <w:left w:val="nil"/>
              <w:bottom w:val="single" w:sz="4" w:space="0" w:color="auto"/>
              <w:right w:val="single" w:sz="4" w:space="0" w:color="auto"/>
            </w:tcBorders>
            <w:shd w:val="clear" w:color="auto" w:fill="auto"/>
            <w:tcMar>
              <w:left w:w="115" w:type="dxa"/>
              <w:right w:w="288" w:type="dxa"/>
            </w:tcMar>
            <w:hideMark/>
          </w:tcPr>
          <w:p w14:paraId="2F6BE7BF" w14:textId="36FD0EE4" w:rsidR="004245BC" w:rsidRPr="000B58B8" w:rsidRDefault="004245BC" w:rsidP="009A67D5">
            <w:pPr>
              <w:widowControl w:val="0"/>
              <w:ind w:right="1242"/>
              <w:jc w:val="right"/>
              <w:rPr>
                <w:color w:val="000000"/>
                <w:sz w:val="20"/>
                <w:szCs w:val="20"/>
                <w:lang w:val="en-US"/>
              </w:rPr>
            </w:pPr>
            <w:r w:rsidRPr="000B58B8">
              <w:rPr>
                <w:sz w:val="20"/>
                <w:szCs w:val="20"/>
              </w:rPr>
              <w:t>100</w:t>
            </w:r>
            <w:r w:rsidR="00A37AA1">
              <w:rPr>
                <w:sz w:val="20"/>
                <w:szCs w:val="20"/>
              </w:rPr>
              <w:t> </w:t>
            </w:r>
            <w:r w:rsidRPr="000B58B8">
              <w:rPr>
                <w:sz w:val="20"/>
                <w:szCs w:val="20"/>
              </w:rPr>
              <w:t>000</w:t>
            </w:r>
          </w:p>
        </w:tc>
      </w:tr>
      <w:tr w:rsidR="004245BC" w:rsidRPr="000B58B8" w14:paraId="4E7C7070" w14:textId="77777777" w:rsidTr="009A67D5">
        <w:tc>
          <w:tcPr>
            <w:tcW w:w="3810" w:type="dxa"/>
            <w:tcBorders>
              <w:top w:val="nil"/>
              <w:left w:val="single" w:sz="4" w:space="0" w:color="auto"/>
              <w:bottom w:val="single" w:sz="4" w:space="0" w:color="auto"/>
              <w:right w:val="single" w:sz="4" w:space="0" w:color="auto"/>
            </w:tcBorders>
            <w:shd w:val="clear" w:color="auto" w:fill="auto"/>
            <w:hideMark/>
          </w:tcPr>
          <w:p w14:paraId="5AED89F4" w14:textId="3F3D9B48" w:rsidR="004245BC" w:rsidRPr="001B0C65" w:rsidRDefault="001B0C65" w:rsidP="003B730A">
            <w:pPr>
              <w:keepNext/>
              <w:rPr>
                <w:sz w:val="20"/>
                <w:szCs w:val="20"/>
                <w:lang w:val="en-US"/>
              </w:rPr>
            </w:pPr>
            <w:r w:rsidRPr="001B0C65">
              <w:rPr>
                <w:sz w:val="20"/>
                <w:szCs w:val="20"/>
                <w:lang w:val="fr-FR"/>
              </w:rPr>
              <w:t xml:space="preserve">De 1 </w:t>
            </w:r>
            <w:r>
              <w:rPr>
                <w:sz w:val="20"/>
                <w:szCs w:val="20"/>
                <w:lang w:val="fr-FR"/>
              </w:rPr>
              <w:t>et jusqu</w:t>
            </w:r>
            <w:r w:rsidR="00330498">
              <w:rPr>
                <w:sz w:val="20"/>
                <w:szCs w:val="20"/>
                <w:lang w:val="fr-FR"/>
              </w:rPr>
              <w:t>’</w:t>
            </w:r>
            <w:r w:rsidRPr="001B0C65">
              <w:rPr>
                <w:sz w:val="20"/>
                <w:szCs w:val="20"/>
                <w:lang w:val="fr-FR"/>
              </w:rPr>
              <w:t>à 6</w:t>
            </w:r>
          </w:p>
        </w:tc>
        <w:tc>
          <w:tcPr>
            <w:tcW w:w="4050" w:type="dxa"/>
            <w:tcBorders>
              <w:top w:val="nil"/>
              <w:left w:val="nil"/>
              <w:bottom w:val="single" w:sz="4" w:space="0" w:color="auto"/>
              <w:right w:val="single" w:sz="4" w:space="0" w:color="auto"/>
            </w:tcBorders>
            <w:shd w:val="clear" w:color="auto" w:fill="auto"/>
            <w:tcMar>
              <w:left w:w="115" w:type="dxa"/>
              <w:right w:w="288" w:type="dxa"/>
            </w:tcMar>
            <w:hideMark/>
          </w:tcPr>
          <w:p w14:paraId="65D243B5" w14:textId="656BFFBA" w:rsidR="004245BC" w:rsidRPr="000B58B8" w:rsidRDefault="004245BC" w:rsidP="009A67D5">
            <w:pPr>
              <w:widowControl w:val="0"/>
              <w:ind w:right="1242"/>
              <w:jc w:val="right"/>
              <w:rPr>
                <w:color w:val="000000"/>
                <w:sz w:val="20"/>
                <w:szCs w:val="20"/>
                <w:lang w:val="en-US"/>
              </w:rPr>
            </w:pPr>
            <w:r w:rsidRPr="000B58B8">
              <w:rPr>
                <w:sz w:val="20"/>
                <w:szCs w:val="20"/>
              </w:rPr>
              <w:t>130</w:t>
            </w:r>
            <w:r w:rsidR="00A37AA1">
              <w:rPr>
                <w:sz w:val="20"/>
                <w:szCs w:val="20"/>
              </w:rPr>
              <w:t> </w:t>
            </w:r>
            <w:r w:rsidRPr="000B58B8">
              <w:rPr>
                <w:sz w:val="20"/>
                <w:szCs w:val="20"/>
              </w:rPr>
              <w:t>000</w:t>
            </w:r>
          </w:p>
        </w:tc>
      </w:tr>
      <w:tr w:rsidR="004245BC" w:rsidRPr="000B58B8" w14:paraId="048AB4C0" w14:textId="77777777" w:rsidTr="009A67D5">
        <w:tc>
          <w:tcPr>
            <w:tcW w:w="3810" w:type="dxa"/>
            <w:tcBorders>
              <w:top w:val="nil"/>
              <w:left w:val="single" w:sz="4" w:space="0" w:color="auto"/>
              <w:bottom w:val="single" w:sz="4" w:space="0" w:color="auto"/>
              <w:right w:val="single" w:sz="4" w:space="0" w:color="auto"/>
            </w:tcBorders>
            <w:shd w:val="clear" w:color="auto" w:fill="auto"/>
            <w:hideMark/>
          </w:tcPr>
          <w:p w14:paraId="16F251EE" w14:textId="3E1F02EB" w:rsidR="004245BC" w:rsidRPr="00C50AC4" w:rsidRDefault="001B0C65" w:rsidP="003B730A">
            <w:pPr>
              <w:widowControl w:val="0"/>
              <w:rPr>
                <w:color w:val="000000"/>
                <w:sz w:val="20"/>
                <w:szCs w:val="20"/>
                <w:lang w:val="fr-CA"/>
              </w:rPr>
            </w:pPr>
            <w:r w:rsidRPr="001B0C65">
              <w:rPr>
                <w:sz w:val="20"/>
                <w:szCs w:val="20"/>
                <w:lang w:val="fr-FR"/>
              </w:rPr>
              <w:t>Au-dessus de 6 et jusqu</w:t>
            </w:r>
            <w:r w:rsidR="00330498">
              <w:rPr>
                <w:sz w:val="20"/>
                <w:szCs w:val="20"/>
                <w:lang w:val="fr-FR"/>
              </w:rPr>
              <w:t>’</w:t>
            </w:r>
            <w:r w:rsidRPr="001B0C65">
              <w:rPr>
                <w:sz w:val="20"/>
                <w:szCs w:val="20"/>
                <w:lang w:val="fr-FR"/>
              </w:rPr>
              <w:t>à</w:t>
            </w:r>
            <w:r w:rsidR="00FE06A2">
              <w:rPr>
                <w:sz w:val="20"/>
                <w:szCs w:val="20"/>
                <w:lang w:val="fr-FR"/>
              </w:rPr>
              <w:t> </w:t>
            </w:r>
            <w:r w:rsidRPr="001B0C65">
              <w:rPr>
                <w:sz w:val="20"/>
                <w:szCs w:val="20"/>
                <w:lang w:val="fr-FR"/>
              </w:rPr>
              <w:t>20</w:t>
            </w:r>
            <w:r w:rsidR="004245BC" w:rsidRPr="00C50AC4">
              <w:rPr>
                <w:sz w:val="20"/>
                <w:szCs w:val="20"/>
                <w:lang w:val="fr-CA"/>
              </w:rPr>
              <w:t xml:space="preserve"> </w:t>
            </w:r>
          </w:p>
        </w:tc>
        <w:tc>
          <w:tcPr>
            <w:tcW w:w="4050" w:type="dxa"/>
            <w:tcBorders>
              <w:top w:val="nil"/>
              <w:left w:val="nil"/>
              <w:bottom w:val="single" w:sz="4" w:space="0" w:color="auto"/>
              <w:right w:val="single" w:sz="4" w:space="0" w:color="auto"/>
            </w:tcBorders>
            <w:shd w:val="clear" w:color="auto" w:fill="auto"/>
            <w:tcMar>
              <w:left w:w="115" w:type="dxa"/>
              <w:right w:w="288" w:type="dxa"/>
            </w:tcMar>
            <w:hideMark/>
          </w:tcPr>
          <w:p w14:paraId="693DD7BF" w14:textId="2385AD25" w:rsidR="004245BC" w:rsidRPr="000B58B8" w:rsidRDefault="004245BC" w:rsidP="009A67D5">
            <w:pPr>
              <w:widowControl w:val="0"/>
              <w:ind w:right="1242"/>
              <w:jc w:val="right"/>
              <w:rPr>
                <w:color w:val="000000"/>
                <w:sz w:val="20"/>
                <w:szCs w:val="20"/>
                <w:lang w:val="en-US"/>
              </w:rPr>
            </w:pPr>
            <w:r w:rsidRPr="000B58B8">
              <w:rPr>
                <w:sz w:val="20"/>
                <w:szCs w:val="20"/>
              </w:rPr>
              <w:t>170</w:t>
            </w:r>
            <w:r w:rsidR="00A37AA1">
              <w:rPr>
                <w:sz w:val="20"/>
                <w:szCs w:val="20"/>
              </w:rPr>
              <w:t> </w:t>
            </w:r>
            <w:r w:rsidRPr="000B58B8">
              <w:rPr>
                <w:sz w:val="20"/>
                <w:szCs w:val="20"/>
              </w:rPr>
              <w:t>000</w:t>
            </w:r>
          </w:p>
        </w:tc>
      </w:tr>
      <w:tr w:rsidR="004245BC" w:rsidRPr="000B58B8" w14:paraId="2BDD68BC" w14:textId="77777777" w:rsidTr="009A67D5">
        <w:tc>
          <w:tcPr>
            <w:tcW w:w="3810" w:type="dxa"/>
            <w:tcBorders>
              <w:top w:val="nil"/>
              <w:left w:val="single" w:sz="4" w:space="0" w:color="auto"/>
              <w:bottom w:val="single" w:sz="4" w:space="0" w:color="auto"/>
              <w:right w:val="single" w:sz="4" w:space="0" w:color="auto"/>
            </w:tcBorders>
            <w:shd w:val="clear" w:color="auto" w:fill="auto"/>
            <w:hideMark/>
          </w:tcPr>
          <w:p w14:paraId="5844CE9D" w14:textId="48117AB6" w:rsidR="004245BC" w:rsidRPr="00C50AC4" w:rsidRDefault="001B0C65" w:rsidP="003B730A">
            <w:pPr>
              <w:widowControl w:val="0"/>
              <w:rPr>
                <w:sz w:val="20"/>
                <w:szCs w:val="20"/>
                <w:lang w:val="fr-CA"/>
              </w:rPr>
            </w:pPr>
            <w:r w:rsidRPr="001B0C65">
              <w:rPr>
                <w:sz w:val="20"/>
                <w:szCs w:val="20"/>
                <w:lang w:val="fr-FR"/>
              </w:rPr>
              <w:t>Au-dessus de 20 et jusqu</w:t>
            </w:r>
            <w:r w:rsidR="00330498">
              <w:rPr>
                <w:sz w:val="20"/>
                <w:szCs w:val="20"/>
                <w:lang w:val="fr-FR"/>
              </w:rPr>
              <w:t>’</w:t>
            </w:r>
            <w:r w:rsidRPr="001B0C65">
              <w:rPr>
                <w:sz w:val="20"/>
                <w:szCs w:val="20"/>
                <w:lang w:val="fr-FR"/>
              </w:rPr>
              <w:t>à</w:t>
            </w:r>
            <w:r w:rsidR="00FE06A2">
              <w:rPr>
                <w:sz w:val="20"/>
                <w:szCs w:val="20"/>
                <w:lang w:val="fr-FR"/>
              </w:rPr>
              <w:t> </w:t>
            </w:r>
            <w:r w:rsidRPr="001B0C65">
              <w:rPr>
                <w:sz w:val="20"/>
                <w:szCs w:val="20"/>
                <w:lang w:val="fr-FR"/>
              </w:rPr>
              <w:t>100</w:t>
            </w:r>
          </w:p>
        </w:tc>
        <w:tc>
          <w:tcPr>
            <w:tcW w:w="4050" w:type="dxa"/>
            <w:tcBorders>
              <w:top w:val="nil"/>
              <w:left w:val="nil"/>
              <w:bottom w:val="single" w:sz="4" w:space="0" w:color="auto"/>
              <w:right w:val="single" w:sz="4" w:space="0" w:color="auto"/>
            </w:tcBorders>
            <w:shd w:val="clear" w:color="auto" w:fill="auto"/>
            <w:tcMar>
              <w:left w:w="115" w:type="dxa"/>
              <w:right w:w="288" w:type="dxa"/>
            </w:tcMar>
            <w:hideMark/>
          </w:tcPr>
          <w:p w14:paraId="62B744F5" w14:textId="5058C585" w:rsidR="004245BC" w:rsidRPr="000B58B8" w:rsidRDefault="004245BC" w:rsidP="009A67D5">
            <w:pPr>
              <w:widowControl w:val="0"/>
              <w:ind w:right="1242"/>
              <w:jc w:val="right"/>
              <w:rPr>
                <w:color w:val="000000"/>
                <w:sz w:val="20"/>
                <w:szCs w:val="20"/>
                <w:lang w:val="en-US"/>
              </w:rPr>
            </w:pPr>
            <w:r w:rsidRPr="000B58B8">
              <w:rPr>
                <w:sz w:val="20"/>
                <w:szCs w:val="20"/>
              </w:rPr>
              <w:t>190</w:t>
            </w:r>
            <w:r w:rsidR="00A37AA1">
              <w:rPr>
                <w:sz w:val="20"/>
                <w:szCs w:val="20"/>
              </w:rPr>
              <w:t> </w:t>
            </w:r>
            <w:r w:rsidRPr="000B58B8">
              <w:rPr>
                <w:sz w:val="20"/>
                <w:szCs w:val="20"/>
              </w:rPr>
              <w:t>000</w:t>
            </w:r>
          </w:p>
        </w:tc>
      </w:tr>
      <w:tr w:rsidR="004245BC" w:rsidRPr="000B58B8" w14:paraId="191A64F2" w14:textId="77777777" w:rsidTr="009A67D5">
        <w:tc>
          <w:tcPr>
            <w:tcW w:w="3810" w:type="dxa"/>
            <w:tcBorders>
              <w:top w:val="nil"/>
              <w:left w:val="single" w:sz="4" w:space="0" w:color="auto"/>
              <w:bottom w:val="single" w:sz="4" w:space="0" w:color="auto"/>
              <w:right w:val="single" w:sz="4" w:space="0" w:color="auto"/>
            </w:tcBorders>
            <w:shd w:val="clear" w:color="auto" w:fill="auto"/>
            <w:hideMark/>
          </w:tcPr>
          <w:p w14:paraId="6807C631" w14:textId="6E7D48F1" w:rsidR="004245BC" w:rsidRPr="00C50AC4" w:rsidRDefault="001B0C65" w:rsidP="003B730A">
            <w:pPr>
              <w:widowControl w:val="0"/>
              <w:rPr>
                <w:sz w:val="20"/>
                <w:szCs w:val="20"/>
                <w:lang w:val="fr-CA"/>
              </w:rPr>
            </w:pPr>
            <w:r w:rsidRPr="001B0C65">
              <w:rPr>
                <w:sz w:val="20"/>
                <w:szCs w:val="20"/>
                <w:lang w:val="fr-FR"/>
              </w:rPr>
              <w:t>Au-dessus de 100 et jusqu</w:t>
            </w:r>
            <w:r w:rsidR="00330498">
              <w:rPr>
                <w:sz w:val="20"/>
                <w:szCs w:val="20"/>
                <w:lang w:val="fr-FR"/>
              </w:rPr>
              <w:t>’</w:t>
            </w:r>
            <w:r w:rsidRPr="001B0C65">
              <w:rPr>
                <w:sz w:val="20"/>
                <w:szCs w:val="20"/>
                <w:lang w:val="fr-FR"/>
              </w:rPr>
              <w:t>à</w:t>
            </w:r>
            <w:r w:rsidR="00FE06A2">
              <w:rPr>
                <w:sz w:val="20"/>
                <w:szCs w:val="20"/>
                <w:lang w:val="fr-FR"/>
              </w:rPr>
              <w:t> </w:t>
            </w:r>
            <w:r w:rsidRPr="001B0C65">
              <w:rPr>
                <w:sz w:val="20"/>
                <w:szCs w:val="20"/>
                <w:lang w:val="fr-FR"/>
              </w:rPr>
              <w:t>1</w:t>
            </w:r>
            <w:r w:rsidR="005919BF">
              <w:rPr>
                <w:sz w:val="20"/>
                <w:szCs w:val="20"/>
                <w:lang w:val="fr-FR"/>
              </w:rPr>
              <w:t> </w:t>
            </w:r>
            <w:r w:rsidRPr="001B0C65">
              <w:rPr>
                <w:sz w:val="20"/>
                <w:szCs w:val="20"/>
                <w:lang w:val="fr-FR"/>
              </w:rPr>
              <w:t>000</w:t>
            </w:r>
          </w:p>
        </w:tc>
        <w:tc>
          <w:tcPr>
            <w:tcW w:w="4050" w:type="dxa"/>
            <w:tcBorders>
              <w:top w:val="nil"/>
              <w:left w:val="nil"/>
              <w:bottom w:val="single" w:sz="4" w:space="0" w:color="auto"/>
              <w:right w:val="single" w:sz="4" w:space="0" w:color="auto"/>
            </w:tcBorders>
            <w:shd w:val="clear" w:color="auto" w:fill="auto"/>
            <w:tcMar>
              <w:left w:w="115" w:type="dxa"/>
              <w:right w:w="288" w:type="dxa"/>
            </w:tcMar>
            <w:hideMark/>
          </w:tcPr>
          <w:p w14:paraId="0D4B3419" w14:textId="71783B0A" w:rsidR="004245BC" w:rsidRPr="000B58B8" w:rsidRDefault="004245BC" w:rsidP="009A67D5">
            <w:pPr>
              <w:widowControl w:val="0"/>
              <w:ind w:right="1242"/>
              <w:jc w:val="right"/>
              <w:rPr>
                <w:color w:val="000000"/>
                <w:sz w:val="20"/>
                <w:szCs w:val="20"/>
                <w:lang w:val="en-US"/>
              </w:rPr>
            </w:pPr>
            <w:r w:rsidRPr="000B58B8">
              <w:rPr>
                <w:sz w:val="20"/>
                <w:szCs w:val="20"/>
              </w:rPr>
              <w:t>220</w:t>
            </w:r>
            <w:r w:rsidR="00A37AA1">
              <w:rPr>
                <w:sz w:val="20"/>
                <w:szCs w:val="20"/>
              </w:rPr>
              <w:t> </w:t>
            </w:r>
            <w:r w:rsidRPr="000B58B8">
              <w:rPr>
                <w:sz w:val="20"/>
                <w:szCs w:val="20"/>
              </w:rPr>
              <w:t>000</w:t>
            </w:r>
          </w:p>
        </w:tc>
      </w:tr>
      <w:tr w:rsidR="004245BC" w:rsidRPr="000B58B8" w14:paraId="6C69CB52" w14:textId="77777777" w:rsidTr="009A67D5">
        <w:tc>
          <w:tcPr>
            <w:tcW w:w="3810" w:type="dxa"/>
            <w:tcBorders>
              <w:top w:val="nil"/>
              <w:left w:val="single" w:sz="4" w:space="0" w:color="auto"/>
              <w:bottom w:val="single" w:sz="4" w:space="0" w:color="auto"/>
              <w:right w:val="single" w:sz="4" w:space="0" w:color="auto"/>
            </w:tcBorders>
            <w:shd w:val="clear" w:color="auto" w:fill="auto"/>
            <w:hideMark/>
          </w:tcPr>
          <w:p w14:paraId="249F64CB" w14:textId="3CCC2F2C" w:rsidR="004245BC" w:rsidRPr="00C50AC4" w:rsidRDefault="001B0C65" w:rsidP="003B730A">
            <w:pPr>
              <w:widowControl w:val="0"/>
              <w:rPr>
                <w:sz w:val="20"/>
                <w:szCs w:val="20"/>
                <w:lang w:val="fr-CA"/>
              </w:rPr>
            </w:pPr>
            <w:r w:rsidRPr="001B0C65">
              <w:rPr>
                <w:sz w:val="20"/>
                <w:szCs w:val="20"/>
                <w:lang w:val="fr-FR"/>
              </w:rPr>
              <w:t>Au-dessus de 1 000 et jusqu</w:t>
            </w:r>
            <w:r w:rsidR="00330498">
              <w:rPr>
                <w:sz w:val="20"/>
                <w:szCs w:val="20"/>
                <w:lang w:val="fr-FR"/>
              </w:rPr>
              <w:t>’</w:t>
            </w:r>
            <w:r w:rsidRPr="001B0C65">
              <w:rPr>
                <w:sz w:val="20"/>
                <w:szCs w:val="20"/>
                <w:lang w:val="fr-FR"/>
              </w:rPr>
              <w:t>à</w:t>
            </w:r>
            <w:r w:rsidR="00FE06A2">
              <w:rPr>
                <w:sz w:val="20"/>
                <w:szCs w:val="20"/>
                <w:lang w:val="fr-FR"/>
              </w:rPr>
              <w:t> </w:t>
            </w:r>
            <w:r w:rsidRPr="001B0C65">
              <w:rPr>
                <w:sz w:val="20"/>
                <w:szCs w:val="20"/>
                <w:lang w:val="fr-FR"/>
              </w:rPr>
              <w:t>2 000</w:t>
            </w:r>
          </w:p>
        </w:tc>
        <w:tc>
          <w:tcPr>
            <w:tcW w:w="4050" w:type="dxa"/>
            <w:tcBorders>
              <w:top w:val="nil"/>
              <w:left w:val="nil"/>
              <w:bottom w:val="single" w:sz="4" w:space="0" w:color="auto"/>
              <w:right w:val="single" w:sz="4" w:space="0" w:color="auto"/>
            </w:tcBorders>
            <w:shd w:val="clear" w:color="auto" w:fill="auto"/>
            <w:tcMar>
              <w:left w:w="115" w:type="dxa"/>
              <w:right w:w="288" w:type="dxa"/>
            </w:tcMar>
            <w:hideMark/>
          </w:tcPr>
          <w:p w14:paraId="11EA8129" w14:textId="76125B8E" w:rsidR="004245BC" w:rsidRPr="000B58B8" w:rsidRDefault="004245BC" w:rsidP="009A67D5">
            <w:pPr>
              <w:widowControl w:val="0"/>
              <w:ind w:right="1242"/>
              <w:jc w:val="right"/>
              <w:rPr>
                <w:color w:val="000000"/>
                <w:sz w:val="20"/>
                <w:szCs w:val="20"/>
                <w:lang w:val="en-US"/>
              </w:rPr>
            </w:pPr>
            <w:r w:rsidRPr="000B58B8">
              <w:rPr>
                <w:sz w:val="20"/>
                <w:szCs w:val="20"/>
              </w:rPr>
              <w:t>230</w:t>
            </w:r>
            <w:r w:rsidR="00A37AA1">
              <w:rPr>
                <w:sz w:val="20"/>
                <w:szCs w:val="20"/>
              </w:rPr>
              <w:t> </w:t>
            </w:r>
            <w:r w:rsidRPr="000B58B8">
              <w:rPr>
                <w:sz w:val="20"/>
                <w:szCs w:val="20"/>
              </w:rPr>
              <w:t>000</w:t>
            </w:r>
          </w:p>
        </w:tc>
      </w:tr>
      <w:tr w:rsidR="004245BC" w:rsidRPr="000B58B8" w14:paraId="4197A9BD" w14:textId="77777777" w:rsidTr="009A67D5">
        <w:tc>
          <w:tcPr>
            <w:tcW w:w="3810" w:type="dxa"/>
            <w:tcBorders>
              <w:top w:val="nil"/>
              <w:left w:val="single" w:sz="4" w:space="0" w:color="auto"/>
              <w:bottom w:val="single" w:sz="4" w:space="0" w:color="auto"/>
              <w:right w:val="single" w:sz="4" w:space="0" w:color="auto"/>
            </w:tcBorders>
            <w:shd w:val="clear" w:color="auto" w:fill="auto"/>
          </w:tcPr>
          <w:p w14:paraId="31AA094B" w14:textId="766FAC1D" w:rsidR="004245BC" w:rsidRPr="001B0C65" w:rsidRDefault="001B0C65" w:rsidP="003B730A">
            <w:pPr>
              <w:widowControl w:val="0"/>
              <w:rPr>
                <w:sz w:val="20"/>
                <w:szCs w:val="20"/>
                <w:lang w:val="en-US"/>
              </w:rPr>
            </w:pPr>
            <w:r w:rsidRPr="001B0C65">
              <w:rPr>
                <w:sz w:val="20"/>
                <w:szCs w:val="20"/>
                <w:lang w:val="fr-FR"/>
              </w:rPr>
              <w:t>Au-dessus de 2</w:t>
            </w:r>
            <w:r w:rsidR="005919BF">
              <w:rPr>
                <w:sz w:val="20"/>
                <w:szCs w:val="20"/>
                <w:lang w:val="fr-FR"/>
              </w:rPr>
              <w:t> </w:t>
            </w:r>
            <w:r w:rsidRPr="001B0C65">
              <w:rPr>
                <w:sz w:val="20"/>
                <w:szCs w:val="20"/>
                <w:lang w:val="fr-FR"/>
              </w:rPr>
              <w:t>000</w:t>
            </w:r>
          </w:p>
        </w:tc>
        <w:tc>
          <w:tcPr>
            <w:tcW w:w="4050" w:type="dxa"/>
            <w:tcBorders>
              <w:top w:val="nil"/>
              <w:left w:val="nil"/>
              <w:bottom w:val="single" w:sz="4" w:space="0" w:color="auto"/>
              <w:right w:val="single" w:sz="4" w:space="0" w:color="auto"/>
            </w:tcBorders>
            <w:shd w:val="clear" w:color="auto" w:fill="auto"/>
            <w:tcMar>
              <w:left w:w="115" w:type="dxa"/>
              <w:right w:w="288" w:type="dxa"/>
            </w:tcMar>
            <w:vAlign w:val="center"/>
          </w:tcPr>
          <w:p w14:paraId="63334980" w14:textId="4508413D" w:rsidR="004245BC" w:rsidRPr="001B0C65" w:rsidRDefault="001B0C65" w:rsidP="003B730A">
            <w:pPr>
              <w:widowControl w:val="0"/>
              <w:ind w:right="1242"/>
              <w:jc w:val="right"/>
              <w:rPr>
                <w:color w:val="000000"/>
                <w:sz w:val="20"/>
                <w:szCs w:val="20"/>
                <w:lang w:val="en-US"/>
              </w:rPr>
            </w:pPr>
            <w:r w:rsidRPr="001B0C65">
              <w:rPr>
                <w:color w:val="000000"/>
                <w:sz w:val="20"/>
                <w:szCs w:val="20"/>
                <w:lang w:val="fr-FR"/>
              </w:rPr>
              <w:t>Au cas par cas</w:t>
            </w:r>
          </w:p>
        </w:tc>
      </w:tr>
    </w:tbl>
    <w:p w14:paraId="72578343" w14:textId="77777777" w:rsidR="004245BC" w:rsidRPr="000B58B8" w:rsidRDefault="004245BC" w:rsidP="004245BC">
      <w:pPr>
        <w:rPr>
          <w:highlight w:val="yellow"/>
        </w:rPr>
      </w:pPr>
    </w:p>
    <w:p w14:paraId="225385BF" w14:textId="7F084E3F" w:rsidR="004245BC" w:rsidRPr="00C50AC4" w:rsidRDefault="001B0C65" w:rsidP="001B0C65">
      <w:pPr>
        <w:rPr>
          <w:lang w:val="fr-CA"/>
        </w:rPr>
      </w:pPr>
      <w:r w:rsidRPr="001B0C65">
        <w:rPr>
          <w:lang w:val="fr-FR"/>
        </w:rPr>
        <w:t>[Réduction pour les enquêtes menées précédemment]</w:t>
      </w:r>
    </w:p>
    <w:p w14:paraId="1DE34063" w14:textId="77777777" w:rsidR="00FE06A2" w:rsidRPr="00C50AC4" w:rsidRDefault="00FE06A2" w:rsidP="004245BC">
      <w:pPr>
        <w:rPr>
          <w:lang w:val="fr-CA"/>
        </w:rPr>
      </w:pPr>
    </w:p>
    <w:p w14:paraId="3229DBA6" w14:textId="2B2AD76E" w:rsidR="00FE06A2" w:rsidRPr="00FE06A2" w:rsidRDefault="00FE06A2" w:rsidP="00FE06A2">
      <w:pPr>
        <w:rPr>
          <w:lang w:val="fr-FR"/>
        </w:rPr>
      </w:pPr>
      <w:r w:rsidRPr="00FE06A2">
        <w:rPr>
          <w:lang w:val="fr-FR"/>
        </w:rPr>
        <w:t>[Pour les pays qui n</w:t>
      </w:r>
      <w:r w:rsidR="00330498">
        <w:rPr>
          <w:lang w:val="fr-FR"/>
        </w:rPr>
        <w:t>’</w:t>
      </w:r>
      <w:r w:rsidRPr="00FE06A2">
        <w:rPr>
          <w:lang w:val="fr-FR"/>
        </w:rPr>
        <w:t>ont pas ratifié l</w:t>
      </w:r>
      <w:r w:rsidR="00330498">
        <w:rPr>
          <w:lang w:val="fr-FR"/>
        </w:rPr>
        <w:t>’</w:t>
      </w:r>
      <w:r w:rsidRPr="00FE06A2">
        <w:rPr>
          <w:lang w:val="fr-FR"/>
        </w:rPr>
        <w:t>Amendement de Kigali mais qui on</w:t>
      </w:r>
      <w:r>
        <w:rPr>
          <w:lang w:val="fr-FR"/>
        </w:rPr>
        <w:t>t</w:t>
      </w:r>
      <w:r w:rsidRPr="00FE06A2">
        <w:rPr>
          <w:lang w:val="fr-FR"/>
        </w:rPr>
        <w:t xml:space="preserve"> inclus </w:t>
      </w:r>
      <w:r>
        <w:rPr>
          <w:lang w:val="fr-FR"/>
        </w:rPr>
        <w:t>l</w:t>
      </w:r>
      <w:r w:rsidR="00330498">
        <w:rPr>
          <w:lang w:val="fr-FR"/>
        </w:rPr>
        <w:t>’</w:t>
      </w:r>
      <w:r w:rsidRPr="00FE06A2">
        <w:rPr>
          <w:lang w:val="fr-FR"/>
        </w:rPr>
        <w:t>engagement à le ratifier, à approuver en principe et sans fi</w:t>
      </w:r>
      <w:r>
        <w:rPr>
          <w:lang w:val="fr-FR"/>
        </w:rPr>
        <w:t>nancement</w:t>
      </w:r>
      <w:r w:rsidRPr="00FE06A2">
        <w:rPr>
          <w:lang w:val="fr-FR"/>
        </w:rPr>
        <w:t xml:space="preserve"> jus</w:t>
      </w:r>
      <w:r>
        <w:rPr>
          <w:lang w:val="fr-FR"/>
        </w:rPr>
        <w:t>qu</w:t>
      </w:r>
      <w:r w:rsidR="00330498">
        <w:rPr>
          <w:lang w:val="fr-FR"/>
        </w:rPr>
        <w:t>’</w:t>
      </w:r>
      <w:r>
        <w:rPr>
          <w:lang w:val="fr-FR"/>
        </w:rPr>
        <w:t xml:space="preserve">à </w:t>
      </w:r>
      <w:r w:rsidRPr="00FE06A2">
        <w:rPr>
          <w:lang w:val="fr-FR"/>
        </w:rPr>
        <w:t>la ratification]</w:t>
      </w:r>
    </w:p>
    <w:p w14:paraId="793EB325" w14:textId="588C6A9F" w:rsidR="004245BC" w:rsidRPr="00C50AC4" w:rsidRDefault="004245BC" w:rsidP="004245BC">
      <w:pPr>
        <w:rPr>
          <w:lang w:val="fr-CA"/>
        </w:rPr>
      </w:pPr>
    </w:p>
    <w:p w14:paraId="756B8C92" w14:textId="3F81A707" w:rsidR="004245BC" w:rsidRPr="001B0C65" w:rsidRDefault="005919BF" w:rsidP="004245BC">
      <w:r>
        <w:rPr>
          <w:color w:val="FFFFFF"/>
          <w:sz w:val="6"/>
          <w:lang w:val="fr-FR"/>
        </w:rPr>
        <w:t>{</w:t>
      </w:r>
      <w:r w:rsidR="001B0C65" w:rsidRPr="001B0C65">
        <w:rPr>
          <w:color w:val="FFFFFF"/>
          <w:sz w:val="6"/>
          <w:lang w:val="fr-FR"/>
        </w:rPr>
        <w:t>0}</w:t>
      </w:r>
    </w:p>
    <w:p w14:paraId="39FCC03D" w14:textId="77777777" w:rsidR="004245BC" w:rsidRPr="000B58B8" w:rsidRDefault="004245BC" w:rsidP="004245BC"/>
    <w:p w14:paraId="329BDC5C" w14:textId="3104415C" w:rsidR="001B0C65" w:rsidRPr="00C50AC4" w:rsidRDefault="001B0C65" w:rsidP="001B0C65">
      <w:pPr>
        <w:widowControl w:val="0"/>
        <w:numPr>
          <w:ilvl w:val="1"/>
          <w:numId w:val="1"/>
        </w:numPr>
        <w:spacing w:after="240"/>
        <w:outlineLvl w:val="1"/>
        <w:rPr>
          <w:lang w:val="fr-CA"/>
        </w:rPr>
      </w:pPr>
      <w:r w:rsidRPr="001B0C65">
        <w:rPr>
          <w:lang w:val="fr-FR"/>
        </w:rPr>
        <w:t>Détermin</w:t>
      </w:r>
      <w:r w:rsidR="00E96BBC">
        <w:rPr>
          <w:lang w:val="fr-FR"/>
        </w:rPr>
        <w:t xml:space="preserve">er et allouer </w:t>
      </w:r>
      <w:r w:rsidRPr="001B0C65">
        <w:rPr>
          <w:lang w:val="fr-FR"/>
        </w:rPr>
        <w:t xml:space="preserve">un financement pour la préparation de la phase I de tout plan régional de réduction progressive des HFC et </w:t>
      </w:r>
      <w:r w:rsidR="00E96BBC">
        <w:rPr>
          <w:lang w:val="fr-FR"/>
        </w:rPr>
        <w:t>pour les</w:t>
      </w:r>
      <w:r w:rsidRPr="001B0C65">
        <w:rPr>
          <w:lang w:val="fr-FR"/>
        </w:rPr>
        <w:t xml:space="preserve"> pays dont la consommation de référence des HCFC est supérieure à 2 000 tonnes PAO, au cas par cas ;</w:t>
      </w:r>
      <w:r w:rsidRPr="00C50AC4">
        <w:rPr>
          <w:lang w:val="fr-CA"/>
        </w:rPr>
        <w:t xml:space="preserve"> </w:t>
      </w:r>
    </w:p>
    <w:p w14:paraId="2DE3729F" w14:textId="07D9D58D" w:rsidR="001B0C65" w:rsidRPr="00C50AC4" w:rsidRDefault="00A63010" w:rsidP="00A63010">
      <w:pPr>
        <w:widowControl w:val="0"/>
        <w:numPr>
          <w:ilvl w:val="1"/>
          <w:numId w:val="1"/>
        </w:numPr>
        <w:spacing w:after="240"/>
        <w:outlineLvl w:val="1"/>
        <w:rPr>
          <w:lang w:val="fr-CA"/>
        </w:rPr>
      </w:pPr>
      <w:r w:rsidRPr="00A63010">
        <w:rPr>
          <w:lang w:val="fr-FR"/>
        </w:rPr>
        <w:t>[Pour les pays choisissant de mettre en œuvre des projets d</w:t>
      </w:r>
      <w:r w:rsidR="00330498">
        <w:rPr>
          <w:lang w:val="fr-FR"/>
        </w:rPr>
        <w:t>’</w:t>
      </w:r>
      <w:r w:rsidRPr="00A63010">
        <w:rPr>
          <w:lang w:val="fr-FR"/>
        </w:rPr>
        <w:t>investissement individuels relatifs aux HFC avant la soumission de la phase I des plans de réduction des HFC, l</w:t>
      </w:r>
      <w:r w:rsidR="00330498">
        <w:rPr>
          <w:lang w:val="fr-FR"/>
        </w:rPr>
        <w:t>’</w:t>
      </w:r>
      <w:r w:rsidRPr="00A63010">
        <w:rPr>
          <w:lang w:val="fr-FR"/>
        </w:rPr>
        <w:t xml:space="preserve">approbation de chaque projet devra aboutir à une élimination des HFC à imputer sur la consommation éligible </w:t>
      </w:r>
      <w:r w:rsidR="00D660FF" w:rsidRPr="00A63010">
        <w:rPr>
          <w:lang w:val="fr-FR"/>
        </w:rPr>
        <w:t>définie</w:t>
      </w:r>
      <w:r w:rsidRPr="00A63010">
        <w:rPr>
          <w:lang w:val="fr-FR"/>
        </w:rPr>
        <w:t xml:space="preserve"> dans le plan de réduction progressive des HFC</w:t>
      </w:r>
      <w:r w:rsidR="00E96BBC">
        <w:rPr>
          <w:lang w:val="fr-FR"/>
        </w:rPr>
        <w:t>,</w:t>
      </w:r>
      <w:r w:rsidRPr="00A63010">
        <w:rPr>
          <w:lang w:val="fr-FR"/>
        </w:rPr>
        <w:t xml:space="preserve"> et devra indiquer comment le projet d</w:t>
      </w:r>
      <w:r w:rsidR="00330498">
        <w:rPr>
          <w:lang w:val="fr-FR"/>
        </w:rPr>
        <w:t>’</w:t>
      </w:r>
      <w:r w:rsidRPr="00A63010">
        <w:rPr>
          <w:lang w:val="fr-FR"/>
        </w:rPr>
        <w:t>investissement contribuera à satisfaire les objectifs de la stratégie d</w:t>
      </w:r>
      <w:r w:rsidR="00330498">
        <w:rPr>
          <w:lang w:val="fr-FR"/>
        </w:rPr>
        <w:t>’</w:t>
      </w:r>
      <w:r w:rsidRPr="00A63010">
        <w:rPr>
          <w:lang w:val="fr-FR"/>
        </w:rPr>
        <w:t>ensemble du pays, et quand le plan de réduction progressive des HFC sera soumis ;</w:t>
      </w:r>
      <w:r w:rsidR="00E96BBC">
        <w:rPr>
          <w:lang w:val="fr-FR"/>
        </w:rPr>
        <w:t> </w:t>
      </w:r>
      <w:r w:rsidRPr="00A63010">
        <w:rPr>
          <w:lang w:val="fr-FR"/>
        </w:rPr>
        <w:t>]</w:t>
      </w:r>
    </w:p>
    <w:p w14:paraId="00E9EA6A" w14:textId="0C1B80FE" w:rsidR="00A63010" w:rsidRPr="00C50AC4" w:rsidRDefault="00A63010" w:rsidP="00A63010">
      <w:pPr>
        <w:widowControl w:val="0"/>
        <w:numPr>
          <w:ilvl w:val="1"/>
          <w:numId w:val="1"/>
        </w:numPr>
        <w:spacing w:after="240"/>
        <w:outlineLvl w:val="1"/>
        <w:rPr>
          <w:lang w:val="fr-CA"/>
        </w:rPr>
      </w:pPr>
      <w:r w:rsidRPr="00A63010">
        <w:rPr>
          <w:lang w:val="fr-FR"/>
        </w:rPr>
        <w:t>Accorder un financement à tout pays visé à l</w:t>
      </w:r>
      <w:r w:rsidR="00330498">
        <w:rPr>
          <w:lang w:val="fr-FR"/>
        </w:rPr>
        <w:t>’</w:t>
      </w:r>
      <w:r w:rsidRPr="00A63010">
        <w:rPr>
          <w:lang w:val="fr-FR"/>
        </w:rPr>
        <w:t>article 5 dont le secteur de fabrication consomme des HFC, en fonction du nombre d</w:t>
      </w:r>
      <w:r w:rsidR="00330498">
        <w:rPr>
          <w:lang w:val="fr-FR"/>
        </w:rPr>
        <w:t>’</w:t>
      </w:r>
      <w:r w:rsidRPr="00A63010">
        <w:rPr>
          <w:lang w:val="fr-FR"/>
        </w:rPr>
        <w:t>entreprises à reconvertir, conformément à la décision 56/16 (d) et (f), comme suit :</w:t>
      </w:r>
      <w:r w:rsidRPr="00C50AC4">
        <w:rPr>
          <w:lang w:val="fr-CA"/>
        </w:rPr>
        <w:t xml:space="preserve"> </w:t>
      </w:r>
    </w:p>
    <w:p w14:paraId="7009492E" w14:textId="4FAB3712" w:rsidR="00A63010" w:rsidRPr="00C50AC4" w:rsidRDefault="00A63010" w:rsidP="00A63010">
      <w:pPr>
        <w:widowControl w:val="0"/>
        <w:numPr>
          <w:ilvl w:val="2"/>
          <w:numId w:val="1"/>
        </w:numPr>
        <w:tabs>
          <w:tab w:val="clear" w:pos="0"/>
          <w:tab w:val="num" w:pos="-270"/>
        </w:tabs>
        <w:spacing w:after="240"/>
        <w:outlineLvl w:val="2"/>
        <w:rPr>
          <w:lang w:val="fr-CA"/>
        </w:rPr>
      </w:pPr>
      <w:r w:rsidRPr="00A63010">
        <w:rPr>
          <w:lang w:val="fr-FR"/>
        </w:rPr>
        <w:t>Une entreprise à reconvertir dans un secteur de fabrication :</w:t>
      </w:r>
      <w:r w:rsidRPr="00C50AC4">
        <w:rPr>
          <w:lang w:val="fr-CA"/>
        </w:rPr>
        <w:t xml:space="preserve"> </w:t>
      </w:r>
      <w:r w:rsidRPr="00A63010">
        <w:rPr>
          <w:lang w:val="fr-FR"/>
        </w:rPr>
        <w:t>30 000 $US ;</w:t>
      </w:r>
      <w:r w:rsidRPr="00C50AC4">
        <w:rPr>
          <w:lang w:val="fr-CA"/>
        </w:rPr>
        <w:t xml:space="preserve"> </w:t>
      </w:r>
    </w:p>
    <w:p w14:paraId="180B502C" w14:textId="34AD9EBB" w:rsidR="00A63010" w:rsidRPr="00C50AC4" w:rsidRDefault="00A63010" w:rsidP="00A63010">
      <w:pPr>
        <w:widowControl w:val="0"/>
        <w:numPr>
          <w:ilvl w:val="2"/>
          <w:numId w:val="1"/>
        </w:numPr>
        <w:tabs>
          <w:tab w:val="clear" w:pos="0"/>
          <w:tab w:val="num" w:pos="-270"/>
        </w:tabs>
        <w:spacing w:after="240"/>
        <w:outlineLvl w:val="2"/>
        <w:rPr>
          <w:lang w:val="fr-CA"/>
        </w:rPr>
      </w:pPr>
      <w:r w:rsidRPr="00A63010">
        <w:rPr>
          <w:lang w:val="fr-FR"/>
        </w:rPr>
        <w:t>Deux entreprises à reconvertir dans un secteur de fabrication :</w:t>
      </w:r>
      <w:r w:rsidRPr="00C50AC4">
        <w:rPr>
          <w:lang w:val="fr-CA"/>
        </w:rPr>
        <w:t xml:space="preserve"> </w:t>
      </w:r>
      <w:r w:rsidRPr="00A63010">
        <w:rPr>
          <w:lang w:val="fr-FR"/>
        </w:rPr>
        <w:t>60 000 $US ;</w:t>
      </w:r>
      <w:r w:rsidRPr="00C50AC4">
        <w:rPr>
          <w:lang w:val="fr-CA"/>
        </w:rPr>
        <w:t xml:space="preserve"> </w:t>
      </w:r>
    </w:p>
    <w:p w14:paraId="024C707E" w14:textId="52ED71B0" w:rsidR="00A63010" w:rsidRPr="00C50AC4" w:rsidRDefault="005919BF" w:rsidP="00A63010">
      <w:pPr>
        <w:widowControl w:val="0"/>
        <w:numPr>
          <w:ilvl w:val="2"/>
          <w:numId w:val="1"/>
        </w:numPr>
        <w:tabs>
          <w:tab w:val="clear" w:pos="0"/>
          <w:tab w:val="num" w:pos="-270"/>
        </w:tabs>
        <w:spacing w:after="240"/>
        <w:outlineLvl w:val="2"/>
        <w:rPr>
          <w:lang w:val="fr-CA"/>
        </w:rPr>
      </w:pPr>
      <w:r>
        <w:rPr>
          <w:lang w:val="fr-FR"/>
        </w:rPr>
        <w:t>De t</w:t>
      </w:r>
      <w:r w:rsidR="00A63010" w:rsidRPr="00A63010">
        <w:rPr>
          <w:lang w:val="fr-FR"/>
        </w:rPr>
        <w:t xml:space="preserve">rois </w:t>
      </w:r>
      <w:r>
        <w:rPr>
          <w:lang w:val="fr-FR"/>
        </w:rPr>
        <w:t xml:space="preserve">à 14 </w:t>
      </w:r>
      <w:r w:rsidR="00A63010" w:rsidRPr="00A63010">
        <w:rPr>
          <w:lang w:val="fr-FR"/>
        </w:rPr>
        <w:t>entreprises à reconvertir dans un secteur de fabrication :</w:t>
      </w:r>
      <w:r w:rsidR="00A63010" w:rsidRPr="00C50AC4">
        <w:rPr>
          <w:lang w:val="fr-CA"/>
        </w:rPr>
        <w:t xml:space="preserve"> </w:t>
      </w:r>
      <w:r w:rsidR="00A63010" w:rsidRPr="00A63010">
        <w:rPr>
          <w:lang w:val="fr-FR"/>
        </w:rPr>
        <w:t>80 000 $US ;</w:t>
      </w:r>
    </w:p>
    <w:p w14:paraId="631EAEBB" w14:textId="1F6B0F3C" w:rsidR="00A63010" w:rsidRPr="00C50AC4" w:rsidRDefault="00A63010" w:rsidP="00A63010">
      <w:pPr>
        <w:widowControl w:val="0"/>
        <w:numPr>
          <w:ilvl w:val="2"/>
          <w:numId w:val="1"/>
        </w:numPr>
        <w:tabs>
          <w:tab w:val="clear" w:pos="0"/>
          <w:tab w:val="num" w:pos="-270"/>
        </w:tabs>
        <w:spacing w:after="240"/>
        <w:outlineLvl w:val="2"/>
        <w:rPr>
          <w:lang w:val="fr-CA"/>
        </w:rPr>
      </w:pPr>
      <w:r w:rsidRPr="00A63010">
        <w:rPr>
          <w:lang w:val="fr-FR"/>
        </w:rPr>
        <w:t>Quinze entreprises ou plus à reconvertir dans un secteur de fabrication :</w:t>
      </w:r>
      <w:r w:rsidRPr="00C50AC4">
        <w:rPr>
          <w:lang w:val="fr-CA"/>
        </w:rPr>
        <w:t xml:space="preserve"> </w:t>
      </w:r>
      <w:r w:rsidRPr="00A63010">
        <w:rPr>
          <w:lang w:val="fr-FR"/>
        </w:rPr>
        <w:t>150 000 $US ; et</w:t>
      </w:r>
      <w:r w:rsidRPr="00C50AC4">
        <w:rPr>
          <w:lang w:val="fr-CA"/>
        </w:rPr>
        <w:t xml:space="preserve"> </w:t>
      </w:r>
    </w:p>
    <w:p w14:paraId="5D2A9ED3" w14:textId="2CB30E2A" w:rsidR="00A63010" w:rsidRPr="00C50AC4" w:rsidRDefault="00A63010" w:rsidP="00A63010">
      <w:pPr>
        <w:widowControl w:val="0"/>
        <w:numPr>
          <w:ilvl w:val="2"/>
          <w:numId w:val="1"/>
        </w:numPr>
        <w:tabs>
          <w:tab w:val="clear" w:pos="0"/>
          <w:tab w:val="num" w:pos="-270"/>
        </w:tabs>
        <w:spacing w:after="240"/>
        <w:outlineLvl w:val="2"/>
        <w:rPr>
          <w:lang w:val="fr-CA"/>
        </w:rPr>
      </w:pPr>
      <w:r w:rsidRPr="00A63010">
        <w:rPr>
          <w:lang w:val="fr-FR"/>
        </w:rPr>
        <w:t>Limiter le financement maximum pour la préparation du volet investissement dans tout pays conformément au tableau ci-dessous :</w:t>
      </w:r>
    </w:p>
    <w:tbl>
      <w:tblPr>
        <w:tblStyle w:val="TableGrid"/>
        <w:tblW w:w="7200" w:type="dxa"/>
        <w:tblInd w:w="2155" w:type="dxa"/>
        <w:tblLayout w:type="fixed"/>
        <w:tblLook w:val="01E0" w:firstRow="1" w:lastRow="1" w:firstColumn="1" w:lastColumn="1" w:noHBand="0" w:noVBand="0"/>
      </w:tblPr>
      <w:tblGrid>
        <w:gridCol w:w="3983"/>
        <w:gridCol w:w="3217"/>
      </w:tblGrid>
      <w:tr w:rsidR="004245BC" w:rsidRPr="00745CD6" w14:paraId="4D744536" w14:textId="77777777" w:rsidTr="00340958">
        <w:trPr>
          <w:tblHeader/>
        </w:trPr>
        <w:tc>
          <w:tcPr>
            <w:tcW w:w="3983" w:type="dxa"/>
          </w:tcPr>
          <w:p w14:paraId="1FC544A3" w14:textId="7498B180" w:rsidR="004245BC" w:rsidRPr="00C50AC4" w:rsidRDefault="00A63010" w:rsidP="003B730A">
            <w:pPr>
              <w:keepNext/>
              <w:rPr>
                <w:bCs/>
                <w:sz w:val="20"/>
                <w:szCs w:val="20"/>
                <w:lang w:val="fr-CA"/>
              </w:rPr>
            </w:pPr>
            <w:bookmarkStart w:id="2" w:name="tblHere"/>
            <w:r w:rsidRPr="00A63010">
              <w:rPr>
                <w:b/>
                <w:bCs/>
                <w:sz w:val="20"/>
                <w:szCs w:val="20"/>
                <w:lang w:val="fr-FR"/>
              </w:rPr>
              <w:t>valeur de référence des HCFC (tonnes PAO)</w:t>
            </w:r>
          </w:p>
        </w:tc>
        <w:tc>
          <w:tcPr>
            <w:tcW w:w="3217" w:type="dxa"/>
          </w:tcPr>
          <w:p w14:paraId="6DE6E1E0" w14:textId="118D221B" w:rsidR="004245BC" w:rsidRPr="00A63010" w:rsidRDefault="00A63010" w:rsidP="003B730A">
            <w:pPr>
              <w:keepNext/>
              <w:jc w:val="center"/>
              <w:rPr>
                <w:b/>
                <w:bCs/>
                <w:sz w:val="20"/>
                <w:szCs w:val="20"/>
              </w:rPr>
            </w:pPr>
            <w:r w:rsidRPr="00A63010">
              <w:rPr>
                <w:b/>
                <w:bCs/>
                <w:sz w:val="20"/>
                <w:szCs w:val="20"/>
                <w:lang w:val="fr-FR"/>
              </w:rPr>
              <w:t>Financement maximum ($US)</w:t>
            </w:r>
          </w:p>
        </w:tc>
      </w:tr>
      <w:tr w:rsidR="004245BC" w:rsidRPr="00745CD6" w14:paraId="2B1C0EEE" w14:textId="77777777" w:rsidTr="00A63010">
        <w:tc>
          <w:tcPr>
            <w:tcW w:w="3983" w:type="dxa"/>
          </w:tcPr>
          <w:p w14:paraId="009005C2" w14:textId="52764783" w:rsidR="004245BC" w:rsidRPr="00745CD6" w:rsidRDefault="00A63010" w:rsidP="003B730A">
            <w:pPr>
              <w:rPr>
                <w:sz w:val="20"/>
                <w:szCs w:val="20"/>
              </w:rPr>
            </w:pPr>
            <w:r w:rsidRPr="00A63010">
              <w:rPr>
                <w:sz w:val="20"/>
                <w:szCs w:val="20"/>
                <w:lang w:val="fr-FR"/>
              </w:rPr>
              <w:t>Jusqu</w:t>
            </w:r>
            <w:r w:rsidR="00330498">
              <w:rPr>
                <w:sz w:val="20"/>
                <w:szCs w:val="20"/>
                <w:lang w:val="fr-FR"/>
              </w:rPr>
              <w:t>’</w:t>
            </w:r>
            <w:r w:rsidRPr="00A63010">
              <w:rPr>
                <w:sz w:val="20"/>
                <w:szCs w:val="20"/>
                <w:lang w:val="fr-FR"/>
              </w:rPr>
              <w:t>à 100</w:t>
            </w:r>
            <w:r w:rsidR="004245BC" w:rsidRPr="00A63010">
              <w:rPr>
                <w:sz w:val="20"/>
                <w:szCs w:val="20"/>
              </w:rPr>
              <w:t xml:space="preserve"> </w:t>
            </w:r>
          </w:p>
        </w:tc>
        <w:tc>
          <w:tcPr>
            <w:tcW w:w="3217" w:type="dxa"/>
          </w:tcPr>
          <w:p w14:paraId="30398E7D" w14:textId="331D7C94" w:rsidR="004245BC" w:rsidRPr="00745CD6" w:rsidRDefault="004245BC" w:rsidP="009A67D5">
            <w:pPr>
              <w:ind w:right="976"/>
              <w:jc w:val="right"/>
              <w:rPr>
                <w:sz w:val="20"/>
                <w:szCs w:val="20"/>
              </w:rPr>
            </w:pPr>
            <w:r w:rsidRPr="00745CD6">
              <w:rPr>
                <w:sz w:val="20"/>
                <w:szCs w:val="20"/>
              </w:rPr>
              <w:t>100</w:t>
            </w:r>
            <w:r w:rsidR="00A37AA1">
              <w:rPr>
                <w:sz w:val="20"/>
                <w:szCs w:val="20"/>
              </w:rPr>
              <w:t> </w:t>
            </w:r>
            <w:r w:rsidRPr="00745CD6">
              <w:rPr>
                <w:sz w:val="20"/>
                <w:szCs w:val="20"/>
              </w:rPr>
              <w:t>000</w:t>
            </w:r>
          </w:p>
        </w:tc>
      </w:tr>
      <w:tr w:rsidR="004245BC" w:rsidRPr="00745CD6" w14:paraId="15CE2589" w14:textId="77777777" w:rsidTr="00A63010">
        <w:tc>
          <w:tcPr>
            <w:tcW w:w="3983" w:type="dxa"/>
          </w:tcPr>
          <w:p w14:paraId="6E75844E" w14:textId="77777777" w:rsidR="004245BC" w:rsidRPr="00745CD6" w:rsidRDefault="004245BC" w:rsidP="009A67D5">
            <w:pPr>
              <w:rPr>
                <w:sz w:val="20"/>
                <w:szCs w:val="20"/>
              </w:rPr>
            </w:pPr>
            <w:r w:rsidRPr="00745CD6">
              <w:rPr>
                <w:sz w:val="20"/>
                <w:szCs w:val="20"/>
              </w:rPr>
              <w:t xml:space="preserve">101–300 </w:t>
            </w:r>
          </w:p>
        </w:tc>
        <w:tc>
          <w:tcPr>
            <w:tcW w:w="3217" w:type="dxa"/>
          </w:tcPr>
          <w:p w14:paraId="2D61A39A" w14:textId="1194B5C6" w:rsidR="004245BC" w:rsidRPr="00745CD6" w:rsidRDefault="004245BC" w:rsidP="009A67D5">
            <w:pPr>
              <w:ind w:right="976"/>
              <w:jc w:val="right"/>
              <w:rPr>
                <w:sz w:val="20"/>
                <w:szCs w:val="20"/>
              </w:rPr>
            </w:pPr>
            <w:r w:rsidRPr="00745CD6">
              <w:rPr>
                <w:sz w:val="20"/>
                <w:szCs w:val="20"/>
              </w:rPr>
              <w:t>200</w:t>
            </w:r>
            <w:r w:rsidR="00A37AA1">
              <w:rPr>
                <w:sz w:val="20"/>
                <w:szCs w:val="20"/>
              </w:rPr>
              <w:t> </w:t>
            </w:r>
            <w:r w:rsidRPr="00745CD6">
              <w:rPr>
                <w:sz w:val="20"/>
                <w:szCs w:val="20"/>
              </w:rPr>
              <w:t>000</w:t>
            </w:r>
          </w:p>
        </w:tc>
      </w:tr>
      <w:tr w:rsidR="004245BC" w:rsidRPr="00745CD6" w14:paraId="2E971D8E" w14:textId="77777777" w:rsidTr="00A63010">
        <w:trPr>
          <w:trHeight w:val="179"/>
        </w:trPr>
        <w:tc>
          <w:tcPr>
            <w:tcW w:w="3983" w:type="dxa"/>
          </w:tcPr>
          <w:p w14:paraId="2082C366" w14:textId="77777777" w:rsidR="004245BC" w:rsidRPr="00745CD6" w:rsidRDefault="004245BC" w:rsidP="009A67D5">
            <w:pPr>
              <w:rPr>
                <w:sz w:val="20"/>
                <w:szCs w:val="20"/>
              </w:rPr>
            </w:pPr>
            <w:r w:rsidRPr="00745CD6">
              <w:rPr>
                <w:sz w:val="20"/>
                <w:szCs w:val="20"/>
              </w:rPr>
              <w:lastRenderedPageBreak/>
              <w:t>301-500</w:t>
            </w:r>
          </w:p>
        </w:tc>
        <w:tc>
          <w:tcPr>
            <w:tcW w:w="3217" w:type="dxa"/>
          </w:tcPr>
          <w:p w14:paraId="538EF699" w14:textId="65546F15" w:rsidR="004245BC" w:rsidRPr="00745CD6" w:rsidRDefault="004245BC" w:rsidP="009A67D5">
            <w:pPr>
              <w:ind w:right="976"/>
              <w:jc w:val="right"/>
              <w:rPr>
                <w:sz w:val="20"/>
                <w:szCs w:val="20"/>
              </w:rPr>
            </w:pPr>
            <w:r w:rsidRPr="00745CD6">
              <w:rPr>
                <w:sz w:val="20"/>
                <w:szCs w:val="20"/>
              </w:rPr>
              <w:t>250</w:t>
            </w:r>
            <w:r w:rsidR="00A37AA1">
              <w:rPr>
                <w:sz w:val="20"/>
                <w:szCs w:val="20"/>
              </w:rPr>
              <w:t> </w:t>
            </w:r>
            <w:r w:rsidRPr="00745CD6">
              <w:rPr>
                <w:sz w:val="20"/>
                <w:szCs w:val="20"/>
              </w:rPr>
              <w:t>000</w:t>
            </w:r>
          </w:p>
        </w:tc>
      </w:tr>
      <w:tr w:rsidR="004245BC" w:rsidRPr="00745CD6" w14:paraId="6214716B" w14:textId="77777777" w:rsidTr="00A63010">
        <w:tc>
          <w:tcPr>
            <w:tcW w:w="3983" w:type="dxa"/>
            <w:tcBorders>
              <w:bottom w:val="single" w:sz="2" w:space="0" w:color="auto"/>
            </w:tcBorders>
          </w:tcPr>
          <w:p w14:paraId="76559F7C" w14:textId="12274EAC" w:rsidR="004245BC" w:rsidRPr="00745CD6" w:rsidRDefault="004245BC" w:rsidP="00A63010">
            <w:pPr>
              <w:rPr>
                <w:sz w:val="20"/>
                <w:szCs w:val="20"/>
              </w:rPr>
            </w:pPr>
            <w:r w:rsidRPr="00745CD6">
              <w:rPr>
                <w:sz w:val="20"/>
                <w:szCs w:val="20"/>
              </w:rPr>
              <w:t>501–1</w:t>
            </w:r>
            <w:r w:rsidR="00A63010">
              <w:rPr>
                <w:sz w:val="20"/>
                <w:szCs w:val="20"/>
              </w:rPr>
              <w:t> </w:t>
            </w:r>
            <w:r w:rsidRPr="00745CD6">
              <w:rPr>
                <w:sz w:val="20"/>
                <w:szCs w:val="20"/>
              </w:rPr>
              <w:t xml:space="preserve">000 </w:t>
            </w:r>
          </w:p>
        </w:tc>
        <w:tc>
          <w:tcPr>
            <w:tcW w:w="3217" w:type="dxa"/>
            <w:tcBorders>
              <w:bottom w:val="single" w:sz="2" w:space="0" w:color="auto"/>
            </w:tcBorders>
          </w:tcPr>
          <w:p w14:paraId="4DD43C27" w14:textId="07E6A1AC" w:rsidR="004245BC" w:rsidRPr="00745CD6" w:rsidRDefault="004245BC" w:rsidP="009A67D5">
            <w:pPr>
              <w:ind w:right="976"/>
              <w:jc w:val="right"/>
              <w:rPr>
                <w:sz w:val="20"/>
                <w:szCs w:val="20"/>
              </w:rPr>
            </w:pPr>
            <w:r w:rsidRPr="00745CD6">
              <w:rPr>
                <w:sz w:val="20"/>
                <w:szCs w:val="20"/>
              </w:rPr>
              <w:t>300</w:t>
            </w:r>
            <w:r w:rsidR="00A37AA1">
              <w:rPr>
                <w:sz w:val="20"/>
                <w:szCs w:val="20"/>
              </w:rPr>
              <w:t> </w:t>
            </w:r>
            <w:r w:rsidRPr="00745CD6">
              <w:rPr>
                <w:sz w:val="20"/>
                <w:szCs w:val="20"/>
              </w:rPr>
              <w:t>000</w:t>
            </w:r>
          </w:p>
        </w:tc>
      </w:tr>
      <w:tr w:rsidR="004245BC" w:rsidRPr="00745CD6" w14:paraId="0C969F94" w14:textId="77777777" w:rsidTr="00A63010">
        <w:tc>
          <w:tcPr>
            <w:tcW w:w="3983" w:type="dxa"/>
            <w:tcBorders>
              <w:top w:val="single" w:sz="2" w:space="0" w:color="auto"/>
              <w:left w:val="single" w:sz="2" w:space="0" w:color="auto"/>
              <w:bottom w:val="single" w:sz="2" w:space="0" w:color="auto"/>
              <w:right w:val="single" w:sz="2" w:space="0" w:color="auto"/>
            </w:tcBorders>
          </w:tcPr>
          <w:p w14:paraId="454FFA20" w14:textId="436B47F6" w:rsidR="004245BC" w:rsidRPr="00A63010" w:rsidRDefault="00A63010" w:rsidP="003B730A">
            <w:pPr>
              <w:rPr>
                <w:sz w:val="20"/>
                <w:szCs w:val="20"/>
              </w:rPr>
            </w:pPr>
            <w:r w:rsidRPr="00A63010">
              <w:rPr>
                <w:sz w:val="20"/>
                <w:szCs w:val="20"/>
                <w:lang w:val="fr-FR"/>
              </w:rPr>
              <w:t>1 001 et plus</w:t>
            </w:r>
          </w:p>
        </w:tc>
        <w:tc>
          <w:tcPr>
            <w:tcW w:w="3217" w:type="dxa"/>
            <w:tcBorders>
              <w:top w:val="single" w:sz="2" w:space="0" w:color="auto"/>
              <w:left w:val="single" w:sz="2" w:space="0" w:color="auto"/>
              <w:bottom w:val="single" w:sz="2" w:space="0" w:color="auto"/>
              <w:right w:val="single" w:sz="2" w:space="0" w:color="auto"/>
            </w:tcBorders>
          </w:tcPr>
          <w:p w14:paraId="283B78D1" w14:textId="465DC9AD" w:rsidR="004245BC" w:rsidRPr="00745CD6" w:rsidRDefault="004245BC" w:rsidP="009A67D5">
            <w:pPr>
              <w:ind w:right="976"/>
              <w:jc w:val="right"/>
              <w:rPr>
                <w:sz w:val="20"/>
                <w:szCs w:val="20"/>
              </w:rPr>
            </w:pPr>
            <w:r w:rsidRPr="00745CD6">
              <w:rPr>
                <w:sz w:val="20"/>
                <w:szCs w:val="20"/>
              </w:rPr>
              <w:t>400</w:t>
            </w:r>
            <w:r w:rsidR="00A37AA1">
              <w:rPr>
                <w:sz w:val="20"/>
                <w:szCs w:val="20"/>
              </w:rPr>
              <w:t> </w:t>
            </w:r>
            <w:r w:rsidRPr="00745CD6">
              <w:rPr>
                <w:sz w:val="20"/>
                <w:szCs w:val="20"/>
              </w:rPr>
              <w:t>000</w:t>
            </w:r>
          </w:p>
        </w:tc>
      </w:tr>
      <w:bookmarkEnd w:id="2"/>
    </w:tbl>
    <w:p w14:paraId="0974A658" w14:textId="77777777" w:rsidR="004245BC" w:rsidRPr="00745CD6" w:rsidRDefault="004245BC" w:rsidP="004245BC">
      <w:pPr>
        <w:keepNext/>
        <w:keepLines/>
        <w:ind w:left="1644"/>
      </w:pPr>
    </w:p>
    <w:p w14:paraId="23945B1B" w14:textId="4EECF113" w:rsidR="00A63010" w:rsidRPr="00C50AC4" w:rsidRDefault="00A63010" w:rsidP="00A63010">
      <w:pPr>
        <w:widowControl w:val="0"/>
        <w:numPr>
          <w:ilvl w:val="1"/>
          <w:numId w:val="1"/>
        </w:numPr>
        <w:spacing w:after="240"/>
        <w:outlineLvl w:val="1"/>
        <w:rPr>
          <w:lang w:val="fr-CA"/>
        </w:rPr>
      </w:pPr>
      <w:r w:rsidRPr="00A63010">
        <w:rPr>
          <w:lang w:val="fr-FR"/>
        </w:rPr>
        <w:t>Demander aux agences bilatérales et d</w:t>
      </w:r>
      <w:r w:rsidR="00330498">
        <w:rPr>
          <w:lang w:val="fr-FR"/>
        </w:rPr>
        <w:t>’</w:t>
      </w:r>
      <w:r w:rsidRPr="00A63010">
        <w:rPr>
          <w:lang w:val="fr-FR"/>
        </w:rPr>
        <w:t>exécution d</w:t>
      </w:r>
      <w:r w:rsidR="00330498">
        <w:rPr>
          <w:lang w:val="fr-FR"/>
        </w:rPr>
        <w:t>’</w:t>
      </w:r>
      <w:r w:rsidRPr="00A63010">
        <w:rPr>
          <w:lang w:val="fr-FR"/>
        </w:rPr>
        <w:t>inclure, dans leur présentation de la phase I des plans de réduction progressive des HFC au nom des pays visés à l</w:t>
      </w:r>
      <w:r w:rsidR="00330498">
        <w:rPr>
          <w:lang w:val="fr-FR"/>
        </w:rPr>
        <w:t>’</w:t>
      </w:r>
      <w:r w:rsidRPr="00A63010">
        <w:rPr>
          <w:lang w:val="fr-FR"/>
        </w:rPr>
        <w:t>article 5 :</w:t>
      </w:r>
    </w:p>
    <w:p w14:paraId="177FB788" w14:textId="789E34EF" w:rsidR="00A63010" w:rsidRPr="00C50AC4" w:rsidRDefault="00D13344" w:rsidP="00D13344">
      <w:pPr>
        <w:widowControl w:val="0"/>
        <w:numPr>
          <w:ilvl w:val="2"/>
          <w:numId w:val="1"/>
        </w:numPr>
        <w:tabs>
          <w:tab w:val="clear" w:pos="0"/>
          <w:tab w:val="num" w:pos="-270"/>
        </w:tabs>
        <w:spacing w:after="240"/>
        <w:outlineLvl w:val="2"/>
        <w:rPr>
          <w:lang w:val="fr-CA"/>
        </w:rPr>
      </w:pPr>
      <w:r w:rsidRPr="00D13344">
        <w:rPr>
          <w:lang w:val="fr-FR"/>
        </w:rPr>
        <w:t>La confirmation que le pays a mis en place un programme national opérationnel d</w:t>
      </w:r>
      <w:r w:rsidR="00330498">
        <w:rPr>
          <w:lang w:val="fr-FR"/>
        </w:rPr>
        <w:t>’</w:t>
      </w:r>
      <w:r w:rsidRPr="00D13344">
        <w:rPr>
          <w:lang w:val="fr-FR"/>
        </w:rPr>
        <w:t>octroi de permis et de quotas</w:t>
      </w:r>
      <w:r w:rsidR="00FE06A2">
        <w:rPr>
          <w:lang w:val="fr-FR"/>
        </w:rPr>
        <w:t> </w:t>
      </w:r>
      <w:r w:rsidRPr="00D13344">
        <w:rPr>
          <w:lang w:val="fr-FR"/>
        </w:rPr>
        <w:t xml:space="preserve">pour réglementer les importations/exportations de HFC, conformément à la </w:t>
      </w:r>
      <w:r w:rsidR="005919BF" w:rsidRPr="00D13344">
        <w:rPr>
          <w:lang w:val="fr-FR"/>
        </w:rPr>
        <w:t>décision</w:t>
      </w:r>
      <w:r w:rsidRPr="00D13344">
        <w:rPr>
          <w:lang w:val="fr-FR"/>
        </w:rPr>
        <w:t xml:space="preserve"> 63/17 ;</w:t>
      </w:r>
      <w:r w:rsidRPr="00C50AC4">
        <w:rPr>
          <w:lang w:val="fr-CA"/>
        </w:rPr>
        <w:t xml:space="preserve"> </w:t>
      </w:r>
    </w:p>
    <w:p w14:paraId="0987132A" w14:textId="4AE22703" w:rsidR="00D13344" w:rsidRPr="00C50AC4" w:rsidRDefault="00D13344" w:rsidP="00D13344">
      <w:pPr>
        <w:widowControl w:val="0"/>
        <w:numPr>
          <w:ilvl w:val="2"/>
          <w:numId w:val="1"/>
        </w:numPr>
        <w:tabs>
          <w:tab w:val="clear" w:pos="0"/>
          <w:tab w:val="num" w:pos="-270"/>
        </w:tabs>
        <w:spacing w:after="240"/>
        <w:outlineLvl w:val="2"/>
        <w:rPr>
          <w:lang w:val="fr-CA"/>
        </w:rPr>
      </w:pPr>
      <w:r w:rsidRPr="00D13344">
        <w:rPr>
          <w:lang w:val="fr-FR"/>
        </w:rPr>
        <w:t>[L</w:t>
      </w:r>
      <w:r w:rsidR="00330498">
        <w:rPr>
          <w:lang w:val="fr-FR"/>
        </w:rPr>
        <w:t>’</w:t>
      </w:r>
      <w:r w:rsidRPr="00D13344">
        <w:rPr>
          <w:lang w:val="fr-FR"/>
        </w:rPr>
        <w:t>engagement du gouvernement [mesures spécifiques à inclure dans le plan] à imposer des limites d</w:t>
      </w:r>
      <w:r w:rsidR="00330498">
        <w:rPr>
          <w:lang w:val="fr-FR"/>
        </w:rPr>
        <w:t>’</w:t>
      </w:r>
      <w:r w:rsidRPr="00D13344">
        <w:rPr>
          <w:lang w:val="fr-FR"/>
        </w:rPr>
        <w:t xml:space="preserve">augmentation de la consommation de HFC et </w:t>
      </w:r>
      <w:r w:rsidR="005919BF">
        <w:rPr>
          <w:lang w:val="fr-FR"/>
        </w:rPr>
        <w:t xml:space="preserve">à </w:t>
      </w:r>
      <w:r w:rsidRPr="00D13344">
        <w:rPr>
          <w:lang w:val="fr-FR"/>
        </w:rPr>
        <w:t>assurer la durabilité de l</w:t>
      </w:r>
      <w:r w:rsidR="00330498">
        <w:rPr>
          <w:lang w:val="fr-FR"/>
        </w:rPr>
        <w:t>’</w:t>
      </w:r>
      <w:r w:rsidRPr="00D13344">
        <w:rPr>
          <w:lang w:val="fr-FR"/>
        </w:rPr>
        <w:t>élimination des HFC réalisée au fil du temps ;]</w:t>
      </w:r>
    </w:p>
    <w:p w14:paraId="69EE11ED" w14:textId="5AA4A3D3" w:rsidR="00D13344" w:rsidRPr="00C50AC4" w:rsidRDefault="00D13344" w:rsidP="00D13344">
      <w:pPr>
        <w:widowControl w:val="0"/>
        <w:numPr>
          <w:ilvl w:val="2"/>
          <w:numId w:val="1"/>
        </w:numPr>
        <w:spacing w:after="240"/>
        <w:outlineLvl w:val="2"/>
        <w:rPr>
          <w:lang w:val="fr-CA"/>
        </w:rPr>
      </w:pPr>
      <w:r w:rsidRPr="005919BF">
        <w:rPr>
          <w:lang w:val="fr-FR"/>
        </w:rPr>
        <w:t>[Travail intégré relatif aux HCFC et HFC dans le secteur de l</w:t>
      </w:r>
      <w:r w:rsidR="00330498">
        <w:rPr>
          <w:lang w:val="fr-FR"/>
        </w:rPr>
        <w:t>’</w:t>
      </w:r>
      <w:r w:rsidRPr="005919BF">
        <w:rPr>
          <w:lang w:val="fr-FR"/>
        </w:rPr>
        <w:t>entretien ;]</w:t>
      </w:r>
    </w:p>
    <w:p w14:paraId="6D9AD560" w14:textId="6CA8F8CA" w:rsidR="00D13344" w:rsidRPr="00C50AC4" w:rsidRDefault="00D13344" w:rsidP="00D13344">
      <w:pPr>
        <w:widowControl w:val="0"/>
        <w:numPr>
          <w:ilvl w:val="2"/>
          <w:numId w:val="1"/>
        </w:numPr>
        <w:spacing w:after="240"/>
        <w:outlineLvl w:val="2"/>
        <w:rPr>
          <w:lang w:val="fr-CA"/>
        </w:rPr>
      </w:pPr>
      <w:r w:rsidRPr="00D13344">
        <w:rPr>
          <w:lang w:val="fr-FR"/>
        </w:rPr>
        <w:t>[Vue d</w:t>
      </w:r>
      <w:r w:rsidR="00330498">
        <w:rPr>
          <w:lang w:val="fr-FR"/>
        </w:rPr>
        <w:t>’</w:t>
      </w:r>
      <w:r w:rsidRPr="00D13344">
        <w:rPr>
          <w:lang w:val="fr-FR"/>
        </w:rPr>
        <w:t>ensemble des activités précédemment financées ;]</w:t>
      </w:r>
    </w:p>
    <w:p w14:paraId="4A5FD2FF" w14:textId="2EC863AE" w:rsidR="00D13344" w:rsidRPr="00D13344" w:rsidRDefault="00D13344" w:rsidP="00D13344">
      <w:pPr>
        <w:widowControl w:val="0"/>
        <w:numPr>
          <w:ilvl w:val="2"/>
          <w:numId w:val="1"/>
        </w:numPr>
        <w:spacing w:after="240"/>
        <w:outlineLvl w:val="2"/>
      </w:pPr>
      <w:r w:rsidRPr="00D13344">
        <w:rPr>
          <w:lang w:val="fr-FR"/>
        </w:rPr>
        <w:t xml:space="preserve">[Capacité </w:t>
      </w:r>
      <w:r w:rsidR="00A37AA1" w:rsidRPr="00D13344">
        <w:rPr>
          <w:lang w:val="fr-FR"/>
        </w:rPr>
        <w:t>institutionnelle ;</w:t>
      </w:r>
      <w:r w:rsidRPr="00D13344">
        <w:rPr>
          <w:lang w:val="fr-FR"/>
        </w:rPr>
        <w:t xml:space="preserve"> et]</w:t>
      </w:r>
    </w:p>
    <w:p w14:paraId="238D8F8C" w14:textId="26A7B85B" w:rsidR="00D13344" w:rsidRPr="00C50AC4" w:rsidRDefault="00D13344" w:rsidP="00D13344">
      <w:pPr>
        <w:widowControl w:val="0"/>
        <w:numPr>
          <w:ilvl w:val="1"/>
          <w:numId w:val="1"/>
        </w:numPr>
        <w:spacing w:after="240"/>
        <w:outlineLvl w:val="1"/>
        <w:rPr>
          <w:lang w:val="fr-CA"/>
        </w:rPr>
      </w:pPr>
      <w:r w:rsidRPr="00D13344">
        <w:rPr>
          <w:lang w:val="fr-FR"/>
        </w:rPr>
        <w:t>Charger le Secrétariat de préparer, en collaboration avec les agences bilatérales et d</w:t>
      </w:r>
      <w:r w:rsidR="00330498">
        <w:rPr>
          <w:lang w:val="fr-FR"/>
        </w:rPr>
        <w:t>’</w:t>
      </w:r>
      <w:r w:rsidRPr="00D13344">
        <w:rPr>
          <w:lang w:val="fr-FR"/>
        </w:rPr>
        <w:t>exécution, un Guide de la préparation de la phase I des plans de réduction progressive des HFC que pourraient utiliser les pays visés à l</w:t>
      </w:r>
      <w:r w:rsidR="00330498">
        <w:rPr>
          <w:lang w:val="fr-FR"/>
        </w:rPr>
        <w:t>’</w:t>
      </w:r>
      <w:r w:rsidRPr="00D13344">
        <w:rPr>
          <w:lang w:val="fr-FR"/>
        </w:rPr>
        <w:t>article 5.</w:t>
      </w:r>
      <w:r w:rsidR="00E96BBC">
        <w:rPr>
          <w:lang w:val="fr-FR"/>
        </w:rPr>
        <w:t> »</w:t>
      </w:r>
    </w:p>
    <w:p w14:paraId="5C8023F4" w14:textId="75FB0640" w:rsidR="000F1514" w:rsidRPr="00D13344" w:rsidRDefault="00D13344" w:rsidP="004C2DEE">
      <w:pPr>
        <w:keepNext/>
        <w:keepLines/>
        <w:rPr>
          <w:b/>
        </w:rPr>
      </w:pPr>
      <w:r w:rsidRPr="00D13344">
        <w:rPr>
          <w:b/>
          <w:lang w:val="fr-FR"/>
        </w:rPr>
        <w:t>Recommandation</w:t>
      </w:r>
    </w:p>
    <w:p w14:paraId="3AF0284C" w14:textId="77777777" w:rsidR="000F1514" w:rsidRPr="0012332E" w:rsidRDefault="000F1514" w:rsidP="004C2DEE">
      <w:pPr>
        <w:keepNext/>
        <w:keepLines/>
      </w:pPr>
    </w:p>
    <w:p w14:paraId="0350C1E7" w14:textId="6092111E" w:rsidR="00D13344" w:rsidRPr="00C50AC4" w:rsidRDefault="00D13344" w:rsidP="00D13344">
      <w:pPr>
        <w:pStyle w:val="Heading1"/>
        <w:keepNext/>
        <w:keepLines/>
        <w:rPr>
          <w:lang w:val="fr-CA"/>
        </w:rPr>
      </w:pPr>
      <w:r w:rsidRPr="00D13344">
        <w:rPr>
          <w:lang w:val="fr-FR"/>
        </w:rPr>
        <w:t>Le Comité exécutif pourrait envisager de :</w:t>
      </w:r>
    </w:p>
    <w:p w14:paraId="7B22A841" w14:textId="7D08E027" w:rsidR="00D13344" w:rsidRPr="00C50AC4" w:rsidRDefault="00D13344" w:rsidP="00D13344">
      <w:pPr>
        <w:pStyle w:val="Heading2"/>
        <w:rPr>
          <w:lang w:val="fr-CA"/>
        </w:rPr>
      </w:pPr>
      <w:r w:rsidRPr="00D13344">
        <w:rPr>
          <w:lang w:val="fr-FR"/>
        </w:rPr>
        <w:t xml:space="preserve">Prendre note du Projet de lignes directrices </w:t>
      </w:r>
      <w:r w:rsidR="005919BF">
        <w:rPr>
          <w:lang w:val="fr-FR"/>
        </w:rPr>
        <w:t>relatives à</w:t>
      </w:r>
      <w:r w:rsidRPr="00D13344">
        <w:rPr>
          <w:lang w:val="fr-FR"/>
        </w:rPr>
        <w:t xml:space="preserve"> la préparation des plans de réduction progressive des HFC pour les pays visés à l</w:t>
      </w:r>
      <w:r w:rsidR="00330498">
        <w:rPr>
          <w:lang w:val="fr-FR"/>
        </w:rPr>
        <w:t>’</w:t>
      </w:r>
      <w:r w:rsidRPr="00D13344">
        <w:rPr>
          <w:lang w:val="fr-FR"/>
        </w:rPr>
        <w:t>article 5 (décision 86/93), figurant dans le document UNEP/OzL.Pro/ExCom/87/46 ;</w:t>
      </w:r>
      <w:r w:rsidRPr="00C50AC4">
        <w:rPr>
          <w:lang w:val="fr-CA"/>
        </w:rPr>
        <w:t xml:space="preserve"> </w:t>
      </w:r>
    </w:p>
    <w:p w14:paraId="2EB37E73" w14:textId="0A1D47E7" w:rsidR="00D13344" w:rsidRPr="00C50AC4" w:rsidRDefault="00D13344" w:rsidP="00D13344">
      <w:pPr>
        <w:pStyle w:val="Heading2"/>
        <w:rPr>
          <w:lang w:val="fr-CA"/>
        </w:rPr>
      </w:pPr>
      <w:r w:rsidRPr="00D13344">
        <w:rPr>
          <w:lang w:val="fr-FR"/>
        </w:rPr>
        <w:t>[À compléter sur la base des résultats de</w:t>
      </w:r>
      <w:r w:rsidR="005919BF">
        <w:rPr>
          <w:lang w:val="fr-FR"/>
        </w:rPr>
        <w:t xml:space="preserve">s </w:t>
      </w:r>
      <w:r w:rsidRPr="00D13344">
        <w:rPr>
          <w:lang w:val="fr-FR"/>
        </w:rPr>
        <w:t>discussion</w:t>
      </w:r>
      <w:r w:rsidR="005919BF">
        <w:rPr>
          <w:lang w:val="fr-FR"/>
        </w:rPr>
        <w:t>s</w:t>
      </w:r>
      <w:r w:rsidR="00E96BBC">
        <w:rPr>
          <w:lang w:val="fr-FR"/>
        </w:rPr>
        <w:t xml:space="preserve"> </w:t>
      </w:r>
      <w:r w:rsidR="00E96BBC" w:rsidRPr="00D13344">
        <w:rPr>
          <w:lang w:val="fr-FR"/>
        </w:rPr>
        <w:t>lors de la 87</w:t>
      </w:r>
      <w:r w:rsidR="00E96BBC" w:rsidRPr="00D13344">
        <w:rPr>
          <w:vertAlign w:val="superscript"/>
          <w:lang w:val="fr-FR"/>
        </w:rPr>
        <w:t>e</w:t>
      </w:r>
      <w:r w:rsidR="00E96BBC" w:rsidRPr="00D13344">
        <w:rPr>
          <w:lang w:val="fr-FR"/>
        </w:rPr>
        <w:t xml:space="preserve"> réunion</w:t>
      </w:r>
      <w:r w:rsidRPr="00D13344">
        <w:rPr>
          <w:lang w:val="fr-FR"/>
        </w:rPr>
        <w:t xml:space="preserve"> sur le sujet mentionné ci-dessus au paragraphe (a).]</w:t>
      </w:r>
    </w:p>
    <w:p w14:paraId="2BE4AFC5" w14:textId="77777777" w:rsidR="004E7F9C" w:rsidRPr="00C50AC4" w:rsidRDefault="004E7F9C" w:rsidP="004E7F9C">
      <w:pPr>
        <w:pStyle w:val="Title1"/>
        <w:rPr>
          <w:lang w:val="fr-CA"/>
        </w:rPr>
      </w:pPr>
    </w:p>
    <w:p w14:paraId="7F37F03B" w14:textId="77777777" w:rsidR="008C5738" w:rsidRPr="00C50AC4" w:rsidRDefault="008C5738" w:rsidP="00BB2764">
      <w:pPr>
        <w:pStyle w:val="StyleHeader4Para4Left0Firstline0"/>
        <w:numPr>
          <w:ilvl w:val="0"/>
          <w:numId w:val="0"/>
        </w:numPr>
        <w:jc w:val="left"/>
        <w:rPr>
          <w:sz w:val="22"/>
          <w:lang w:val="fr-CA"/>
        </w:rPr>
      </w:pPr>
    </w:p>
    <w:p w14:paraId="2007F535" w14:textId="77777777" w:rsidR="000F1514" w:rsidRPr="00C50AC4" w:rsidRDefault="000F1514" w:rsidP="00BB2764">
      <w:pPr>
        <w:pStyle w:val="StyleHeader4Para4Left0Firstline0"/>
        <w:numPr>
          <w:ilvl w:val="0"/>
          <w:numId w:val="0"/>
        </w:numPr>
        <w:jc w:val="left"/>
        <w:rPr>
          <w:sz w:val="22"/>
          <w:lang w:val="fr-CA"/>
        </w:rPr>
        <w:sectPr w:rsidR="000F1514" w:rsidRPr="00C50AC4"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70C3AB89" w14:textId="77777777" w:rsidR="007102F5" w:rsidRPr="007102F5" w:rsidRDefault="007102F5" w:rsidP="007102F5">
      <w:pPr>
        <w:pStyle w:val="StyleHeader4Para4Left0Firstline0"/>
        <w:numPr>
          <w:ilvl w:val="0"/>
          <w:numId w:val="0"/>
        </w:numPr>
        <w:jc w:val="center"/>
        <w:rPr>
          <w:b/>
          <w:sz w:val="22"/>
          <w:lang w:val="fr-CA"/>
        </w:rPr>
      </w:pPr>
      <w:r w:rsidRPr="007102F5">
        <w:rPr>
          <w:b/>
          <w:sz w:val="22"/>
          <w:lang w:val="fr-CA"/>
        </w:rPr>
        <w:lastRenderedPageBreak/>
        <w:t>Annexe I</w:t>
      </w:r>
    </w:p>
    <w:p w14:paraId="4121A0B0" w14:textId="61A93BE5" w:rsidR="007102F5" w:rsidRPr="007102F5" w:rsidRDefault="007102F5" w:rsidP="007102F5">
      <w:pPr>
        <w:pStyle w:val="StyleHeader4Para4Left0Firstline0"/>
        <w:numPr>
          <w:ilvl w:val="0"/>
          <w:numId w:val="0"/>
        </w:numPr>
        <w:jc w:val="center"/>
        <w:rPr>
          <w:b/>
          <w:sz w:val="22"/>
          <w:lang w:val="fr-CA"/>
        </w:rPr>
      </w:pPr>
      <w:r w:rsidRPr="007102F5">
        <w:rPr>
          <w:b/>
          <w:sz w:val="22"/>
          <w:lang w:val="fr-CA"/>
        </w:rPr>
        <w:t>EXTRAIT DU DOCUMENT UNEP/OzL.Pro/ExCom/86/100</w:t>
      </w:r>
    </w:p>
    <w:p w14:paraId="6CC1C44A" w14:textId="5B8A3CFE" w:rsidR="007102F5" w:rsidRPr="007102F5" w:rsidRDefault="007102F5" w:rsidP="007102F5">
      <w:pPr>
        <w:pStyle w:val="Heading2"/>
        <w:ind w:left="0" w:firstLine="0"/>
        <w:rPr>
          <w:b/>
          <w:lang w:val="fr-CA"/>
        </w:rPr>
      </w:pPr>
      <w:r>
        <w:rPr>
          <w:b/>
          <w:bCs/>
          <w:lang w:val="fr-CA"/>
        </w:rPr>
        <w:t>Projet de lignes directrices sur la préparation des plans de réduction progressive des HFC pour les pays visés à l’article (décision 84/54 (a)</w:t>
      </w:r>
      <w:r w:rsidRPr="007102F5">
        <w:rPr>
          <w:b/>
          <w:lang w:val="fr-CA"/>
        </w:rPr>
        <w:t>)</w:t>
      </w:r>
    </w:p>
    <w:p w14:paraId="36FD9577" w14:textId="77777777" w:rsidR="007102F5" w:rsidRPr="000A448F" w:rsidRDefault="007102F5" w:rsidP="007102F5">
      <w:pPr>
        <w:pStyle w:val="Heading1"/>
        <w:numPr>
          <w:ilvl w:val="0"/>
          <w:numId w:val="33"/>
        </w:numPr>
        <w:rPr>
          <w:lang w:val="fr-FR"/>
        </w:rPr>
      </w:pPr>
      <w:r w:rsidRPr="000A448F">
        <w:rPr>
          <w:lang w:val="fr-FR"/>
        </w:rPr>
        <w:t>Lors de la 86</w:t>
      </w:r>
      <w:r w:rsidRPr="000A448F">
        <w:rPr>
          <w:vertAlign w:val="superscript"/>
          <w:lang w:val="fr-FR"/>
        </w:rPr>
        <w:t>e</w:t>
      </w:r>
      <w:r>
        <w:rPr>
          <w:lang w:val="fr-FR"/>
        </w:rPr>
        <w:t xml:space="preserve"> réunion officielle en ligne, l</w:t>
      </w:r>
      <w:r>
        <w:rPr>
          <w:lang w:val="fr-CA"/>
        </w:rPr>
        <w:t>a représentante du Secrétariat a présenté le document UNEP/OzL.Pro/ExCom/86/88, préparé conformément au paragraphe (a) de la décision 84/54. Elle a rappelé que le document UNEP/OzL.Pro/ExCom/86/87 sur les stratégies, politiques générales et engagements possibles, ainsi que les projets et les activités qui pourraient être intégrés à la phase I des plans de réduction progressive des HFC dans les pays visés à l’article 5, dont l’examen avait été reporté à la 87</w:t>
      </w:r>
      <w:r w:rsidRPr="00120412">
        <w:rPr>
          <w:vertAlign w:val="superscript"/>
          <w:lang w:val="fr-CA"/>
        </w:rPr>
        <w:t>e</w:t>
      </w:r>
      <w:r>
        <w:rPr>
          <w:lang w:val="fr-CA"/>
        </w:rPr>
        <w:t xml:space="preserve"> réunion, avait été préparé conformément au paragraphe (b) de la même décision</w:t>
      </w:r>
      <w:r w:rsidRPr="000A448F">
        <w:rPr>
          <w:lang w:val="fr-FR"/>
        </w:rPr>
        <w:t xml:space="preserve">. </w:t>
      </w:r>
    </w:p>
    <w:p w14:paraId="395BB5FF" w14:textId="77777777" w:rsidR="007102F5" w:rsidRPr="007102F5" w:rsidRDefault="007102F5" w:rsidP="007102F5">
      <w:pPr>
        <w:pStyle w:val="Heading1"/>
        <w:rPr>
          <w:lang w:val="fr-CA"/>
        </w:rPr>
      </w:pPr>
      <w:r>
        <w:rPr>
          <w:lang w:val="fr-CA"/>
        </w:rPr>
        <w:t>Plusieurs membres ont remercié le Secrétariat pour ce document qui constituait une bonne base pour la discussion. Certains ont souligné l’importance d’approuver les lignes directrices dès que possible afin de permettre aux pays visés à l’article 5 de prendre des mesures pour préparer la réduction progressive des HFC. En réponse aux observations sur les documents UNEP/OzL.Pro/ExCom/86/88 et UNEP/OzL.Pro/ExCom/86/87 qu’il est préférable d’examiner ensemble, la représentante du Secrétariat a expliqué que la décision délibérée avait été prise de ne pas reproduire dans un document des éléments discutés dans l’autre. Par conséquent, le document UNEP/OzL.Pro/ExCom/86/88 a priorisé l’examen des niveaux de financement qui permettront aux pays de commencer à travailler sur la réduction progressive des HFC, étant donné qu’un certain nombre de propositions de préparation de projets ont déjà été soumises et attendent leur approbation</w:t>
      </w:r>
      <w:r w:rsidRPr="007102F5">
        <w:rPr>
          <w:lang w:val="fr-CA"/>
        </w:rPr>
        <w:t>.</w:t>
      </w:r>
    </w:p>
    <w:p w14:paraId="0E61D839" w14:textId="77777777" w:rsidR="007102F5" w:rsidRPr="007102F5" w:rsidRDefault="007102F5" w:rsidP="007102F5">
      <w:pPr>
        <w:pStyle w:val="Heading1"/>
        <w:rPr>
          <w:lang w:val="fr-CA"/>
        </w:rPr>
      </w:pPr>
      <w:r>
        <w:rPr>
          <w:lang w:val="fr-CA"/>
        </w:rPr>
        <w:t>Plusieurs membres ont souligné la nécessité d’une approche intégrée pour l’élimination des HCFC et la réduction progressive des HFC afin d’éviter des chevauchements ou la duplication, de maximiser les synergies et de garantir l’utilisation la plus efficace des ressources du Fonds multilatéral. Un membre a relevé l’absence, dans le projet de décision contenu dans le document UNEP/OzL.Pro/ExCom/86/88, de toute mention d’une stratégie globale pour atteindre les cibles de conformité du Protocole de Montréal pour les HCFC et les HFC, en dépit de plusieurs références à une telle stratégie dans les deux documents UNEP/OzL.Pro/ExCom/86/88 et UNEP/OzL.Pro/ExCom/86/87. Un autre membre a fait remarquer que la possibilité d’une “remise” pour les activités reliées aux HFC financées précédemment, telles que des enquêtes et des activités de facilitation, semblable à celle prévue dans la décision 55/13 pour les PGEH, ne se retrouvait pas dans le projet de lignes directrices sur la préparation des plans de réduction progressive des HFC. Un membre a proposé que le Secrétariat prépare un document comparatif entre le processus de préparation pour les PGEH et le processus proposé pour la préparation des plans de réduction progressive des HFC</w:t>
      </w:r>
      <w:r w:rsidRPr="007102F5">
        <w:rPr>
          <w:lang w:val="fr-CA"/>
        </w:rPr>
        <w:t>.</w:t>
      </w:r>
    </w:p>
    <w:p w14:paraId="5AB0BB5A" w14:textId="77777777" w:rsidR="007102F5" w:rsidRPr="007102F5" w:rsidRDefault="007102F5" w:rsidP="007102F5">
      <w:pPr>
        <w:pStyle w:val="Heading1"/>
        <w:rPr>
          <w:lang w:val="fr-CA"/>
        </w:rPr>
      </w:pPr>
      <w:r>
        <w:rPr>
          <w:lang w:val="fr-CA"/>
        </w:rPr>
        <w:t>Plusieurs membres ont insisté sur l’importance d’identifier et d’inclure, dans les plans de réduction progressive, les multiples secteurs et sous-secteurs utilisant des HFC dans un pays, en dépit de la prédominance, dans le document, du secteur de l’entretien pour la réfrigération.  Un membre a souligné la nécessité d’avoir une compréhension approfondie de chaque secteur, grâce à une collaboration avec divers experts des douanes, de la toxicité, de l’inflammabilité et de la sécurité.  Elle a ajouté que la réussite de la mise en œuvre des activités de réduction progressive des HFC devrait tenir compte non seulement des aspects techniques mais aussi des enjeux sociaux</w:t>
      </w:r>
      <w:r w:rsidRPr="007102F5">
        <w:rPr>
          <w:lang w:val="fr-CA"/>
        </w:rPr>
        <w:t>.</w:t>
      </w:r>
    </w:p>
    <w:p w14:paraId="491051D3" w14:textId="77777777" w:rsidR="007102F5" w:rsidRPr="007102F5" w:rsidRDefault="007102F5" w:rsidP="007102F5">
      <w:pPr>
        <w:pStyle w:val="Heading1"/>
        <w:rPr>
          <w:lang w:val="fr-CA"/>
        </w:rPr>
      </w:pPr>
      <w:r>
        <w:rPr>
          <w:lang w:val="fr-CA"/>
        </w:rPr>
        <w:t xml:space="preserve">Un membre a suggéré d’ajouter du texte sur  les occasions de renforcement de l’efficacité énergétique dans le plan de réduction progressive des HFC et d’inclure dans les plans une description des acteurs institutionnels en lien avec la promotion de l’efficacité énergétique dans les secteurs de la réfrigération et de la climatisation. Toutefois, un autre membre a rappelé que l’efficacité énergétique n’était pas un enjeu de conformité et il a ajouté que si des exigences en matière d’efficacité énergétique étaient imposées aux pays visés à l’article 5, les pays non visés à l’article 5 devraient être tenus aux </w:t>
      </w:r>
      <w:r>
        <w:rPr>
          <w:lang w:val="fr-CA"/>
        </w:rPr>
        <w:lastRenderedPageBreak/>
        <w:t>mêmes normes. Ce membre a également fait la même remarque au sujet de la collecte de données, en déclarant que les données recueillies par les pays visés à l’article 5 et par les pays non visés à l’article 5 devraient être compatibles afin de permettre, par exemple, la comparaison de l’exportation en provenance d’un pays et son importation dans un autre pays. Un autre membre a ajouté que la collecte de données devrait s’appuyer sur les leçons tirées de l’élimination des HCFC et il a appuyé une approche semblable à celle utilisée pour les PGEH, dans les cas où les projets sur les HFC étaient approuvés en l’absence d’un point de départ pour les réductions globales de la consommation de HFC. D’autres membres ont appuyé l’idée que certains projets d’investissement individuels pour les HFC procèdent avant la finalisation du plan de réduction progressive des HFC pour le pays en question, comme ce fut le cas pour les HCFC</w:t>
      </w:r>
      <w:r w:rsidRPr="007102F5">
        <w:rPr>
          <w:lang w:val="fr-CA"/>
        </w:rPr>
        <w:t>.</w:t>
      </w:r>
    </w:p>
    <w:p w14:paraId="121FD53C" w14:textId="77777777" w:rsidR="007102F5" w:rsidRPr="007102F5" w:rsidRDefault="007102F5" w:rsidP="007102F5">
      <w:pPr>
        <w:pStyle w:val="Heading1"/>
        <w:rPr>
          <w:lang w:val="fr-CA"/>
        </w:rPr>
      </w:pPr>
      <w:r>
        <w:rPr>
          <w:lang w:val="fr-CA"/>
        </w:rPr>
        <w:t>Un membre a suggéré de faire une référence plus substantielle dans le projet de décision à l’engagement des gouvernements à limiter la croissance de la consommation de HFC et à maintenir à long terme l’élimination de HFC.  Ce membre a proposé d’inclure davantage de détails sur les mesures et les activités à entreprendre en tant qu’élément du plan global du gouvernement. Deux membres ont répondu.  L’un a déclaré qu’il fallait reconnaître que les mesures prises par chaque pays dépendraient de la situation dans le pays,  et de l’accessibilité et de l’utilisation des solutions de remplacement ; l’autre a confirmé la nécessité de faire preuve de souplesse dans l’interprétation de l’engagement démontré</w:t>
      </w:r>
      <w:r w:rsidRPr="007102F5">
        <w:rPr>
          <w:lang w:val="fr-CA"/>
        </w:rPr>
        <w:t>.</w:t>
      </w:r>
    </w:p>
    <w:p w14:paraId="6A442082" w14:textId="77777777" w:rsidR="007102F5" w:rsidRPr="007102F5" w:rsidRDefault="007102F5" w:rsidP="007102F5">
      <w:pPr>
        <w:pStyle w:val="Heading1"/>
        <w:rPr>
          <w:lang w:val="fr-CA"/>
        </w:rPr>
      </w:pPr>
      <w:r>
        <w:rPr>
          <w:lang w:val="fr-CA"/>
        </w:rPr>
        <w:t>Un autre membre a demandé des informations supplémentaires, y compris sur les solutions de remplacement et les technologies de nature différente, et il a proposé que les lignes directrices tiennent compte non seulement de la disponibilité des solutions de remplacement mais aussi de leur accessibilité, en prenant note des définitions pertinentes fournies par le groupe de travail du GETE sur la décision XXXI/7 (Efficacité énergétique)</w:t>
      </w:r>
      <w:r w:rsidRPr="007102F5">
        <w:rPr>
          <w:lang w:val="fr-CA"/>
        </w:rPr>
        <w:t>.</w:t>
      </w:r>
    </w:p>
    <w:p w14:paraId="52A00087" w14:textId="77777777" w:rsidR="007102F5" w:rsidRPr="007102F5" w:rsidRDefault="007102F5" w:rsidP="007102F5">
      <w:pPr>
        <w:pStyle w:val="Heading1"/>
        <w:rPr>
          <w:lang w:val="fr-CA"/>
        </w:rPr>
      </w:pPr>
      <w:r>
        <w:rPr>
          <w:lang w:val="fr-CA"/>
        </w:rPr>
        <w:t>Quelques membres ont insisté sur la nécessité de s’assurer que le nom des plans de réduction progressive des HFC, et son acronyme, soit succinct et suffisamment distinct du « plan de gestion de l’élimination des HCFC » et de « PGEH ». Un membre a suggéré l’appellation « plans de Kigali pour la mise en œuvre » (KIP) tandis que d’autres mentionnaient que HFC devrait faire partie du nom et suggéraient d’autres solutions, telles que « plan de Kigali pour la gestion des HFC » ou « plan de mise en œuvre pour les HFC»</w:t>
      </w:r>
      <w:r w:rsidRPr="007102F5">
        <w:rPr>
          <w:lang w:val="fr-CA"/>
        </w:rPr>
        <w:t>.</w:t>
      </w:r>
    </w:p>
    <w:p w14:paraId="5F412B0F" w14:textId="77777777" w:rsidR="007102F5" w:rsidRPr="007102F5" w:rsidRDefault="007102F5" w:rsidP="007102F5">
      <w:pPr>
        <w:pStyle w:val="Heading1"/>
        <w:rPr>
          <w:lang w:val="fr-CA"/>
        </w:rPr>
      </w:pPr>
      <w:r>
        <w:rPr>
          <w:lang w:val="fr-CA"/>
        </w:rPr>
        <w:t>En réponse à d’autres observations et questions des membres, la représentante du Secrétariat a précisé que l’inclusion d’assistance pour l’élaboration d’une législation, de politiques et de règlements dans le financement de la préparation d’une stratégie globale pour la phase I des plans de réduction progressive des HFC, était similaire à l’approche utilisée pour les PGEH puisque de telles mesures étaient requises durant la phase préparatoire. Il n’était donc pas incompatible de demander aux agences bilatérales et d’exécution de confirmer que cela a été fait au moment de soumettre leurs demandes de financement pour la phase I des plans de réduction progressive des HFC</w:t>
      </w:r>
      <w:r w:rsidRPr="007102F5">
        <w:rPr>
          <w:lang w:val="fr-CA"/>
        </w:rPr>
        <w:t>.</w:t>
      </w:r>
    </w:p>
    <w:p w14:paraId="621DCD7E" w14:textId="77777777" w:rsidR="007102F5" w:rsidRPr="007102F5" w:rsidRDefault="007102F5" w:rsidP="007102F5">
      <w:pPr>
        <w:pStyle w:val="Heading1"/>
        <w:rPr>
          <w:lang w:val="fr-CA"/>
        </w:rPr>
      </w:pPr>
      <w:r>
        <w:rPr>
          <w:lang w:val="fr-CA"/>
        </w:rPr>
        <w:t xml:space="preserve">Le Comité exécutif </w:t>
      </w:r>
      <w:r>
        <w:rPr>
          <w:u w:val="single"/>
          <w:lang w:val="fr-CA"/>
        </w:rPr>
        <w:t>a convenu</w:t>
      </w:r>
      <w:r>
        <w:rPr>
          <w:lang w:val="fr-CA"/>
        </w:rPr>
        <w:t xml:space="preserve"> de créer un groupe de contact pour étudier davantage cette question</w:t>
      </w:r>
      <w:r w:rsidRPr="007102F5">
        <w:rPr>
          <w:lang w:val="fr-CA"/>
        </w:rPr>
        <w:t>.</w:t>
      </w:r>
    </w:p>
    <w:p w14:paraId="2C613BF5" w14:textId="77777777" w:rsidR="007102F5" w:rsidRPr="007102F5" w:rsidRDefault="007102F5" w:rsidP="007102F5">
      <w:pPr>
        <w:pStyle w:val="Heading1"/>
        <w:rPr>
          <w:lang w:val="fr-CA"/>
        </w:rPr>
      </w:pPr>
      <w:r>
        <w:rPr>
          <w:lang w:val="fr-CA"/>
        </w:rPr>
        <w:t>Le responsable du groupe de contact a rapporté que le groupe n’avait pas été en mesure de parvenir à un consensus sur le projet de lignes directrices. Le responsable a exprimé leur point de vue personnel, à savoir que le Comité exécutif pourrait adopter, à titre provisoire, le projet de lignes directrices, tel que proposé initialement par le Secrétariat, afin de permettre au Comité de traiter de manière uniforme les demandes de financement de préparation des projets de réduction progressive des HFC déjà soumises par les pays, étant entendu que le niveau de tout financement approuvé sur la base des lignes directrices provisoires serait ajusté, le cas échéant, à une prochaine réunion afin de s’assurer qu’il corresponde aux lignes directrices une fois celles-ci adoptées. Un membre a indiqué que si le Comité devait procéder ainsi, il devrait clarifier la procédure exacte pour l’utilisation des lignes directrices provisoires</w:t>
      </w:r>
      <w:r w:rsidRPr="007102F5">
        <w:rPr>
          <w:lang w:val="fr-CA"/>
        </w:rPr>
        <w:t xml:space="preserve">. </w:t>
      </w:r>
    </w:p>
    <w:p w14:paraId="2945F009" w14:textId="77777777" w:rsidR="007102F5" w:rsidRPr="007102F5" w:rsidRDefault="007102F5" w:rsidP="007102F5">
      <w:pPr>
        <w:pStyle w:val="Heading1"/>
        <w:rPr>
          <w:lang w:val="fr-CA"/>
        </w:rPr>
      </w:pPr>
      <w:r>
        <w:rPr>
          <w:lang w:val="fr-CA"/>
        </w:rPr>
        <w:lastRenderedPageBreak/>
        <w:t>Par la suite, les gouvernements de l’Australie et des États-Unis d’Amérique ont présenté un projet de décision qui proposait la poursuite des discussions sur le projet de lignes directrices à la 87</w:t>
      </w:r>
      <w:r w:rsidRPr="00FD7A62">
        <w:rPr>
          <w:vertAlign w:val="superscript"/>
          <w:lang w:val="fr-CA"/>
        </w:rPr>
        <w:t>e</w:t>
      </w:r>
      <w:r>
        <w:rPr>
          <w:lang w:val="fr-CA"/>
        </w:rPr>
        <w:t xml:space="preserve"> réunion et, dans l’intervalle, en l’absence de lignes directrices adoptées, la mise à disposition, à titre exceptionnel, d’un financement anticipé de 50 000 $US, plus les coûts d’appui, aux pays qui ont soumis des demandes de financement pour la préparation de la phase I d’un plan de réduction progressive des HFC. Ce financement serait fourni, étant entendu qu’il servirait à débuter l’examen des règlements, politiques et systèmes de permis d’importation et d’exportation existants en vue de leur application aux HFC ; à identifier les parties prenantes et les institutions qui seraient impliquées dans la réduction progressive des HFC ; à mettre à jour les systèmes de collecte et d’analyse des données avant les enquêtes sur les HFC ; et d’amorcer des consultations avec les parties prenantes concernées sur l’approche nationale à adopter pour la réduction progressive des HFC. Un financement supplémentaire pour la préparation de stratégies globales et pour la phase I des plans de réduction progressive des HFC ne serait envisagé qu’après l’adoption des lignes directrices et le financement anticipé serait déduit de tout autre montant accordé</w:t>
      </w:r>
      <w:r w:rsidRPr="007102F5">
        <w:rPr>
          <w:lang w:val="fr-CA"/>
        </w:rPr>
        <w:t>.</w:t>
      </w:r>
    </w:p>
    <w:p w14:paraId="7B164E6D" w14:textId="77777777" w:rsidR="007102F5" w:rsidRPr="007102F5" w:rsidRDefault="007102F5" w:rsidP="007102F5">
      <w:pPr>
        <w:pStyle w:val="Heading1"/>
        <w:rPr>
          <w:lang w:val="fr-CA"/>
        </w:rPr>
      </w:pPr>
      <w:r>
        <w:rPr>
          <w:lang w:val="fr-CA"/>
        </w:rPr>
        <w:t>Un membre a appuyé la proposition de fournir un financement anticipé, comme moyen de maintenir le rythme jusqu’à la 87</w:t>
      </w:r>
      <w:r w:rsidRPr="006D47D1">
        <w:rPr>
          <w:vertAlign w:val="superscript"/>
          <w:lang w:val="fr-CA"/>
        </w:rPr>
        <w:t>e</w:t>
      </w:r>
      <w:r>
        <w:rPr>
          <w:lang w:val="fr-CA"/>
        </w:rPr>
        <w:t xml:space="preserve"> réunion. Toutefois, plusieurs membres préféraient la proposition du responsable du groupe de contact sur l’utilisation provisoire des lignes directrices proposées par le Secrétariat. L’un d’entre eux a déclaré que la proposition de l’Australie et des États-Unis d’Amérique était arrivée très tard et, en raison du calendrier et du caractère virtuel de la réunion, les membres de sa délégation n’avaient pas eu le temps de conférer, ce qui était inacceptable</w:t>
      </w:r>
      <w:r w:rsidRPr="007102F5">
        <w:rPr>
          <w:lang w:val="fr-CA"/>
        </w:rPr>
        <w:t>.</w:t>
      </w:r>
    </w:p>
    <w:p w14:paraId="21CB9E8A" w14:textId="77777777" w:rsidR="007102F5" w:rsidRPr="00933C63" w:rsidRDefault="007102F5" w:rsidP="007102F5">
      <w:pPr>
        <w:pStyle w:val="Heading1"/>
      </w:pPr>
      <w:r>
        <w:rPr>
          <w:lang w:val="fr-CA"/>
        </w:rPr>
        <w:t>Un autre membre a observé que la somme uniforme de 50 000 $US représentait un pourcentage très variable du financement total demandé par chaque pays et, par conséquent, cette approche était inéquitable. Il s’est aussi montré préoccupé du fait que, si les lignes directrices n’étaient pas approuvées à la 87</w:t>
      </w:r>
      <w:r w:rsidRPr="00685A8F">
        <w:rPr>
          <w:vertAlign w:val="superscript"/>
          <w:lang w:val="fr-CA"/>
        </w:rPr>
        <w:t>e</w:t>
      </w:r>
      <w:r>
        <w:rPr>
          <w:lang w:val="fr-CA"/>
        </w:rPr>
        <w:t xml:space="preserve"> réunion et qu’il n’y ait plus de financement à venir, alors les pays qui avaient commencé à travailler sur les activités énoncées et dépensé le financement anticipé, pourraient voir leurs activités compromises. Il ne voulait pas perdre cette dynamique</w:t>
      </w:r>
      <w:r w:rsidRPr="00933C63">
        <w:t>.</w:t>
      </w:r>
    </w:p>
    <w:p w14:paraId="1B8DE030" w14:textId="77777777" w:rsidR="007102F5" w:rsidRPr="007102F5" w:rsidRDefault="007102F5" w:rsidP="007102F5">
      <w:pPr>
        <w:pStyle w:val="Heading1"/>
        <w:rPr>
          <w:lang w:val="fr-CA"/>
        </w:rPr>
      </w:pPr>
      <w:r>
        <w:rPr>
          <w:lang w:val="fr-CA"/>
        </w:rPr>
        <w:t>Plusieurs membres ont insisté sur la nécessité impérative d’adopter les lignes directrices à la 87</w:t>
      </w:r>
      <w:r w:rsidRPr="00952350">
        <w:rPr>
          <w:vertAlign w:val="superscript"/>
          <w:lang w:val="fr-CA"/>
        </w:rPr>
        <w:t>e</w:t>
      </w:r>
      <w:r>
        <w:rPr>
          <w:lang w:val="fr-CA"/>
        </w:rPr>
        <w:t xml:space="preserve"> réunion. Un membre a souligné l’importance d’allouer suffisamment de temps aux discussions à cette réunion pour permettre l’adoption. Un autre membre a proposé que les discussions s’appuient sur le travail déjà entrepris par le groupe de contact sur les lignes directrices. La représentante du Secrétariat a confirmé que toutes les demandes de financement pour la préparation des plans de réduction progressive des HFC pour les pays visés à l’article 5, soumises aux 85</w:t>
      </w:r>
      <w:r w:rsidRPr="00952350">
        <w:rPr>
          <w:vertAlign w:val="superscript"/>
          <w:lang w:val="fr-CA"/>
        </w:rPr>
        <w:t>e</w:t>
      </w:r>
      <w:r>
        <w:rPr>
          <w:lang w:val="fr-CA"/>
        </w:rPr>
        <w:t xml:space="preserve"> et 86</w:t>
      </w:r>
      <w:r w:rsidRPr="00952350">
        <w:rPr>
          <w:vertAlign w:val="superscript"/>
          <w:lang w:val="fr-CA"/>
        </w:rPr>
        <w:t>e</w:t>
      </w:r>
      <w:r>
        <w:rPr>
          <w:lang w:val="fr-CA"/>
        </w:rPr>
        <w:t xml:space="preserve"> réunions, seraient transmises à la 87</w:t>
      </w:r>
      <w:r w:rsidRPr="00952350">
        <w:rPr>
          <w:vertAlign w:val="superscript"/>
          <w:lang w:val="fr-CA"/>
        </w:rPr>
        <w:t>e</w:t>
      </w:r>
      <w:r>
        <w:rPr>
          <w:lang w:val="fr-CA"/>
        </w:rPr>
        <w:t xml:space="preserve"> réunion</w:t>
      </w:r>
      <w:r w:rsidRPr="007102F5">
        <w:rPr>
          <w:lang w:val="fr-CA"/>
        </w:rPr>
        <w:t>.</w:t>
      </w:r>
    </w:p>
    <w:p w14:paraId="2CDE52ED" w14:textId="77777777" w:rsidR="007102F5" w:rsidRPr="007102F5" w:rsidRDefault="007102F5" w:rsidP="007102F5">
      <w:pPr>
        <w:pStyle w:val="Heading1"/>
        <w:spacing w:after="120"/>
        <w:rPr>
          <w:lang w:val="fr-CA"/>
        </w:rPr>
      </w:pPr>
      <w:r>
        <w:rPr>
          <w:lang w:val="fr-CA"/>
        </w:rPr>
        <w:t xml:space="preserve">Le Comité exécutif </w:t>
      </w:r>
      <w:r>
        <w:rPr>
          <w:u w:val="single"/>
          <w:lang w:val="fr-CA"/>
        </w:rPr>
        <w:t>a décidé</w:t>
      </w:r>
      <w:r>
        <w:rPr>
          <w:lang w:val="fr-CA"/>
        </w:rPr>
        <w:t xml:space="preserve"> de poursuivre l’examen du projet de lignes directrices sur la préparation des plans de réduction progressive des HFC pour les pays visés à l’article 5, à sa 87</w:t>
      </w:r>
      <w:r w:rsidRPr="00952350">
        <w:rPr>
          <w:vertAlign w:val="superscript"/>
          <w:lang w:val="fr-CA"/>
        </w:rPr>
        <w:t>e</w:t>
      </w:r>
      <w:r>
        <w:rPr>
          <w:lang w:val="fr-CA"/>
        </w:rPr>
        <w:t xml:space="preserve"> réunion, à partir du document de travail produit par le groupe de contact créé à la 86</w:t>
      </w:r>
      <w:r w:rsidRPr="00952350">
        <w:rPr>
          <w:vertAlign w:val="superscript"/>
          <w:lang w:val="fr-CA"/>
        </w:rPr>
        <w:t>e</w:t>
      </w:r>
      <w:r>
        <w:rPr>
          <w:lang w:val="fr-CA"/>
        </w:rPr>
        <w:t xml:space="preserve"> réunion, tel que contenu à l’Annexe XLVII au présent rapport</w:t>
      </w:r>
      <w:r w:rsidRPr="007102F5">
        <w:rPr>
          <w:lang w:val="fr-C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7102F5" w:rsidRPr="007102F5" w14:paraId="53403FFB" w14:textId="77777777" w:rsidTr="00A01322">
        <w:tc>
          <w:tcPr>
            <w:tcW w:w="1871" w:type="dxa"/>
          </w:tcPr>
          <w:p w14:paraId="68201E7E" w14:textId="77777777" w:rsidR="007102F5" w:rsidRPr="007102F5" w:rsidRDefault="007102F5" w:rsidP="00A01322">
            <w:pPr>
              <w:rPr>
                <w:lang w:val="fr-CA"/>
              </w:rPr>
            </w:pPr>
          </w:p>
        </w:tc>
        <w:tc>
          <w:tcPr>
            <w:tcW w:w="1872" w:type="dxa"/>
          </w:tcPr>
          <w:p w14:paraId="333EC428" w14:textId="77777777" w:rsidR="007102F5" w:rsidRPr="007102F5" w:rsidRDefault="007102F5" w:rsidP="00A01322">
            <w:pPr>
              <w:rPr>
                <w:lang w:val="fr-CA"/>
              </w:rPr>
            </w:pPr>
          </w:p>
        </w:tc>
        <w:tc>
          <w:tcPr>
            <w:tcW w:w="1872" w:type="dxa"/>
            <w:tcBorders>
              <w:bottom w:val="single" w:sz="4" w:space="0" w:color="auto"/>
            </w:tcBorders>
          </w:tcPr>
          <w:p w14:paraId="09F7FA17" w14:textId="77777777" w:rsidR="007102F5" w:rsidRPr="007102F5" w:rsidRDefault="007102F5" w:rsidP="00A01322">
            <w:pPr>
              <w:rPr>
                <w:lang w:val="fr-CA"/>
              </w:rPr>
            </w:pPr>
          </w:p>
        </w:tc>
        <w:tc>
          <w:tcPr>
            <w:tcW w:w="1872" w:type="dxa"/>
          </w:tcPr>
          <w:p w14:paraId="094209BE" w14:textId="77777777" w:rsidR="007102F5" w:rsidRPr="007102F5" w:rsidRDefault="007102F5" w:rsidP="00A01322">
            <w:pPr>
              <w:rPr>
                <w:lang w:val="fr-CA"/>
              </w:rPr>
            </w:pPr>
          </w:p>
        </w:tc>
        <w:tc>
          <w:tcPr>
            <w:tcW w:w="1873" w:type="dxa"/>
          </w:tcPr>
          <w:p w14:paraId="457C7924" w14:textId="77777777" w:rsidR="007102F5" w:rsidRPr="007102F5" w:rsidRDefault="007102F5" w:rsidP="00A01322">
            <w:pPr>
              <w:rPr>
                <w:lang w:val="fr-CA"/>
              </w:rPr>
            </w:pPr>
          </w:p>
        </w:tc>
      </w:tr>
    </w:tbl>
    <w:p w14:paraId="62E35B38" w14:textId="77777777" w:rsidR="007102F5" w:rsidRPr="007102F5" w:rsidRDefault="007102F5" w:rsidP="007102F5">
      <w:pPr>
        <w:rPr>
          <w:lang w:val="fr-CA"/>
        </w:rPr>
      </w:pPr>
    </w:p>
    <w:p w14:paraId="472F67C8" w14:textId="77777777" w:rsidR="007102F5" w:rsidRPr="007102F5" w:rsidRDefault="007102F5" w:rsidP="007102F5">
      <w:pPr>
        <w:rPr>
          <w:lang w:val="fr-CA"/>
        </w:rPr>
      </w:pPr>
    </w:p>
    <w:p w14:paraId="31066A0A" w14:textId="77777777" w:rsidR="00462C42" w:rsidRPr="007102F5" w:rsidRDefault="00462C42" w:rsidP="004E7F9C">
      <w:pPr>
        <w:rPr>
          <w:lang w:val="fr-CA"/>
        </w:rPr>
      </w:pPr>
    </w:p>
    <w:p w14:paraId="5E1ECDC2" w14:textId="77777777" w:rsidR="00462C42" w:rsidRPr="007102F5" w:rsidRDefault="00462C42" w:rsidP="004E7F9C">
      <w:pPr>
        <w:rPr>
          <w:lang w:val="fr-CA"/>
        </w:rPr>
        <w:sectPr w:rsidR="00462C42" w:rsidRPr="007102F5" w:rsidSect="00D67DDC">
          <w:headerReference w:type="even" r:id="rId15"/>
          <w:headerReference w:type="default" r:id="rId16"/>
          <w:headerReference w:type="first" r:id="rId17"/>
          <w:footerReference w:type="first" r:id="rId18"/>
          <w:pgSz w:w="12240" w:h="15840" w:code="1"/>
          <w:pgMar w:top="720" w:right="1440" w:bottom="864" w:left="1440" w:header="720" w:footer="475" w:gutter="0"/>
          <w:pgNumType w:start="1"/>
          <w:cols w:space="720"/>
          <w:titlePg/>
        </w:sectPr>
      </w:pPr>
    </w:p>
    <w:p w14:paraId="3121086C" w14:textId="29B5FD2F" w:rsidR="00462C42" w:rsidRPr="007102F5" w:rsidRDefault="00462C42" w:rsidP="004E7F9C">
      <w:pPr>
        <w:rPr>
          <w:lang w:val="fr-CA"/>
        </w:rPr>
      </w:pPr>
    </w:p>
    <w:sectPr w:rsidR="00462C42" w:rsidRPr="007102F5" w:rsidSect="00DF5B74">
      <w:headerReference w:type="even" r:id="rId19"/>
      <w:headerReference w:type="default" r:id="rId20"/>
      <w:footerReference w:type="even" r:id="rId21"/>
      <w:footerReference w:type="default" r:id="rId22"/>
      <w:headerReference w:type="first" r:id="rId23"/>
      <w:footerReference w:type="first" r:id="rId24"/>
      <w:pgSz w:w="12240" w:h="15840" w:code="1"/>
      <w:pgMar w:top="720" w:right="1440" w:bottom="864" w:left="1440" w:header="720" w:footer="475"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844084" w16cid:durableId="24621BC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391B" w14:textId="77777777" w:rsidR="00FE06A2" w:rsidRDefault="00FE06A2" w:rsidP="004A504B">
      <w:r>
        <w:separator/>
      </w:r>
    </w:p>
  </w:endnote>
  <w:endnote w:type="continuationSeparator" w:id="0">
    <w:p w14:paraId="18D6DDEB" w14:textId="77777777" w:rsidR="00FE06A2" w:rsidRDefault="00FE06A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904A" w14:textId="44D22CC3" w:rsidR="00FE06A2" w:rsidRPr="0033525D" w:rsidRDefault="00FE06A2">
    <w:pPr>
      <w:jc w:val="center"/>
    </w:pPr>
    <w:r>
      <w:fldChar w:fldCharType="begin"/>
    </w:r>
    <w:r>
      <w:instrText xml:space="preserve"> PAGE </w:instrText>
    </w:r>
    <w:r>
      <w:fldChar w:fldCharType="separate"/>
    </w:r>
    <w:r w:rsidR="007102F5">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93282" w14:textId="2DDEEE85" w:rsidR="00FE06A2" w:rsidRPr="0033525D" w:rsidRDefault="00FE06A2">
    <w:pPr>
      <w:jc w:val="center"/>
    </w:pPr>
    <w:r>
      <w:fldChar w:fldCharType="begin"/>
    </w:r>
    <w:r>
      <w:instrText xml:space="preserve"> PAGE </w:instrText>
    </w:r>
    <w:r>
      <w:fldChar w:fldCharType="separate"/>
    </w:r>
    <w:r w:rsidR="007102F5">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ADCBA" w14:textId="77777777" w:rsidR="00FE06A2" w:rsidRDefault="00FE06A2" w:rsidP="00A37AA1">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500E8B40" w14:textId="77727B12" w:rsidR="00FE06A2" w:rsidRPr="00C50AC4" w:rsidRDefault="00FE06A2" w:rsidP="00A37AA1">
    <w:pPr>
      <w:pBdr>
        <w:top w:val="single" w:sz="4" w:space="1" w:color="auto"/>
        <w:left w:val="single" w:sz="4" w:space="4" w:color="auto"/>
        <w:bottom w:val="single" w:sz="4" w:space="1" w:color="auto"/>
        <w:right w:val="single" w:sz="4" w:space="4" w:color="auto"/>
      </w:pBdr>
      <w:jc w:val="center"/>
      <w:rPr>
        <w:sz w:val="18"/>
        <w:szCs w:val="18"/>
        <w:lang w:val="fr-CA"/>
      </w:rPr>
    </w:pPr>
    <w:r>
      <w:rPr>
        <w:rFonts w:cs="MS Serif"/>
        <w:sz w:val="20"/>
        <w:lang w:val="fr-FR"/>
      </w:rPr>
      <w:t>Montréal sont présentés sous réserve des décisions pouvant être prises par le Comité exécutif après leur publication</w:t>
    </w:r>
    <w:r w:rsidRPr="00C50AC4">
      <w:rPr>
        <w:sz w:val="18"/>
        <w:szCs w:val="18"/>
        <w:lang w:val="fr-CA"/>
      </w:rPr>
      <w:t>.</w:t>
    </w:r>
  </w:p>
  <w:p w14:paraId="5900F1F6" w14:textId="77777777" w:rsidR="00FE06A2" w:rsidRPr="00C50AC4" w:rsidRDefault="00FE06A2" w:rsidP="004E7F9C">
    <w:pPr>
      <w:pBdr>
        <w:top w:val="single" w:sz="4" w:space="1" w:color="auto"/>
        <w:left w:val="single" w:sz="4" w:space="4" w:color="auto"/>
        <w:bottom w:val="single" w:sz="4" w:space="1" w:color="auto"/>
        <w:right w:val="single" w:sz="4" w:space="4" w:color="auto"/>
      </w:pBdr>
      <w:jc w:val="center"/>
      <w:rPr>
        <w:sz w:val="18"/>
        <w:szCs w:val="18"/>
        <w:lang w:val="fr-C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8144" w14:textId="6DC020FA" w:rsidR="00FE06A2" w:rsidRPr="0033525D" w:rsidRDefault="00FE06A2" w:rsidP="00D67DDC">
    <w:pPr>
      <w:jc w:val="center"/>
    </w:pPr>
    <w:r>
      <w:fldChar w:fldCharType="begin"/>
    </w:r>
    <w:r>
      <w:instrText xml:space="preserve"> PAGE </w:instrText>
    </w:r>
    <w:r>
      <w:fldChar w:fldCharType="separate"/>
    </w:r>
    <w:r w:rsidR="007102F5">
      <w:rPr>
        <w:noProof/>
      </w:rPr>
      <w:t>1</w:t>
    </w:r>
    <w:r>
      <w:rPr>
        <w:noProof/>
      </w:rPr>
      <w:fldChar w:fldCharType="end"/>
    </w:r>
  </w:p>
  <w:p w14:paraId="37ADE898" w14:textId="77777777" w:rsidR="00FE06A2" w:rsidRPr="00D67DDC" w:rsidRDefault="00FE06A2" w:rsidP="00D67DD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3500" w14:textId="1B3098A5" w:rsidR="00FE06A2" w:rsidRPr="0033525D" w:rsidRDefault="00FE06A2">
    <w:pPr>
      <w:jc w:val="center"/>
    </w:pPr>
    <w:r>
      <w:fldChar w:fldCharType="begin"/>
    </w:r>
    <w:r>
      <w:instrText xml:space="preserve"> PAGE </w:instrText>
    </w:r>
    <w:r>
      <w:fldChar w:fldCharType="separate"/>
    </w:r>
    <w:r w:rsidR="00217427">
      <w:rPr>
        <w:noProof/>
      </w:rPr>
      <w:t>14</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4A421" w14:textId="5332BA79" w:rsidR="00FE06A2" w:rsidRPr="0033525D" w:rsidRDefault="00FE06A2">
    <w:pPr>
      <w:jc w:val="center"/>
    </w:pPr>
    <w:r>
      <w:fldChar w:fldCharType="begin"/>
    </w:r>
    <w:r>
      <w:instrText xml:space="preserve"> PAGE </w:instrText>
    </w:r>
    <w:r>
      <w:fldChar w:fldCharType="separate"/>
    </w:r>
    <w:r w:rsidR="00217427">
      <w:rPr>
        <w:noProof/>
      </w:rPr>
      <w:t>13</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FA89" w14:textId="77777777" w:rsidR="00FE06A2" w:rsidRDefault="00FE06A2" w:rsidP="009A67D5">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2E7E7" w14:textId="77777777" w:rsidR="00FE06A2" w:rsidRDefault="00FE06A2" w:rsidP="004A504B">
      <w:r>
        <w:separator/>
      </w:r>
    </w:p>
  </w:footnote>
  <w:footnote w:type="continuationSeparator" w:id="0">
    <w:p w14:paraId="63793053" w14:textId="77777777" w:rsidR="00FE06A2" w:rsidRDefault="00FE06A2" w:rsidP="004A504B">
      <w:r>
        <w:continuationSeparator/>
      </w:r>
    </w:p>
  </w:footnote>
  <w:footnote w:id="1">
    <w:p w14:paraId="7257130D" w14:textId="4C2DEE2F" w:rsidR="00FE06A2" w:rsidRPr="00C50AC4" w:rsidRDefault="00FE06A2" w:rsidP="00D660FF">
      <w:pPr>
        <w:pStyle w:val="FootnoteText"/>
        <w:pBdr>
          <w:top w:val="single" w:sz="4" w:space="1" w:color="E9FFFF"/>
          <w:left w:val="single" w:sz="4" w:space="4" w:color="E9FFFF"/>
          <w:bottom w:val="single" w:sz="4" w:space="1" w:color="E9FFFF"/>
          <w:right w:val="single" w:sz="4" w:space="4" w:color="E9FFFF"/>
        </w:pBdr>
        <w:rPr>
          <w:lang w:val="fr-CA"/>
        </w:rPr>
      </w:pPr>
      <w:r>
        <w:rPr>
          <w:rStyle w:val="FootnoteReference"/>
        </w:rPr>
        <w:footnoteRef/>
      </w:r>
      <w:r w:rsidRPr="00C50AC4">
        <w:rPr>
          <w:lang w:val="fr-CA"/>
        </w:rPr>
        <w:t xml:space="preserve"> </w:t>
      </w:r>
      <w:r w:rsidRPr="00D660FF">
        <w:rPr>
          <w:lang w:val="fr-FR"/>
        </w:rPr>
        <w:t xml:space="preserve">Des réunions </w:t>
      </w:r>
      <w:r>
        <w:rPr>
          <w:lang w:val="fr-FR"/>
        </w:rPr>
        <w:t xml:space="preserve">en ligne </w:t>
      </w:r>
      <w:r w:rsidRPr="00D660FF">
        <w:rPr>
          <w:lang w:val="fr-FR"/>
        </w:rPr>
        <w:t xml:space="preserve">et un processus d’approbation en période intersessions </w:t>
      </w:r>
      <w:r>
        <w:rPr>
          <w:lang w:val="fr-FR"/>
        </w:rPr>
        <w:t>se tiendront</w:t>
      </w:r>
      <w:r w:rsidRPr="00D660FF">
        <w:rPr>
          <w:lang w:val="fr-FR"/>
        </w:rPr>
        <w:t xml:space="preserve"> en juin et juillet 2021 à cause du coronavirus (COVID-19)</w:t>
      </w:r>
    </w:p>
  </w:footnote>
  <w:footnote w:id="2">
    <w:p w14:paraId="568BE7B6" w14:textId="5481C5A4" w:rsidR="00FE06A2" w:rsidRPr="00FE06A2" w:rsidRDefault="00FE06A2" w:rsidP="00FE06A2">
      <w:pPr>
        <w:pStyle w:val="FootnoteText"/>
        <w:rPr>
          <w:lang w:val="fr-FR"/>
        </w:rPr>
      </w:pPr>
      <w:r w:rsidRPr="00FE06A2">
        <w:rPr>
          <w:rStyle w:val="FootnoteReference"/>
          <w:lang w:val="fr-FR"/>
        </w:rPr>
        <w:footnoteRef/>
      </w:r>
      <w:r w:rsidRPr="00FE06A2">
        <w:rPr>
          <w:lang w:val="fr-FR"/>
        </w:rPr>
        <w:t xml:space="preserve"> Prévue du 2 au 6 novembre 2020, reportée au 8 jusqu’au 12</w:t>
      </w:r>
      <w:r>
        <w:rPr>
          <w:lang w:val="fr-FR"/>
        </w:rPr>
        <w:t xml:space="preserve"> </w:t>
      </w:r>
      <w:r w:rsidRPr="00FE06A2">
        <w:rPr>
          <w:lang w:val="fr-FR"/>
        </w:rPr>
        <w:t>mars 2021</w:t>
      </w:r>
    </w:p>
  </w:footnote>
  <w:footnote w:id="3">
    <w:p w14:paraId="3B49E76E" w14:textId="06C27428" w:rsidR="00FE06A2" w:rsidRPr="00C50AC4" w:rsidRDefault="00FE06A2" w:rsidP="000F1514">
      <w:pPr>
        <w:pStyle w:val="FootnoteText"/>
        <w:rPr>
          <w:lang w:val="fr-CA"/>
        </w:rPr>
      </w:pPr>
      <w:r>
        <w:rPr>
          <w:rStyle w:val="FootnoteReference"/>
        </w:rPr>
        <w:footnoteRef/>
      </w:r>
      <w:r w:rsidRPr="00C50AC4">
        <w:rPr>
          <w:lang w:val="fr-CA"/>
        </w:rPr>
        <w:t xml:space="preserve"> </w:t>
      </w:r>
      <w:r w:rsidRPr="00D660FF">
        <w:rPr>
          <w:lang w:val="fr-FR"/>
        </w:rPr>
        <w:t>Figurant au paragraphe 4 du document UNEP/OzL.Pro/ExCom/86/IAPext/Rev.1</w:t>
      </w:r>
    </w:p>
  </w:footnote>
  <w:footnote w:id="4">
    <w:p w14:paraId="1D40429A" w14:textId="42E3C969" w:rsidR="00FE06A2" w:rsidRPr="00C50AC4" w:rsidRDefault="00FE06A2" w:rsidP="000F1514">
      <w:pPr>
        <w:pStyle w:val="FootnoteText"/>
        <w:rPr>
          <w:lang w:val="fr-CA"/>
        </w:rPr>
      </w:pPr>
      <w:r>
        <w:rPr>
          <w:rStyle w:val="FootnoteReference"/>
        </w:rPr>
        <w:footnoteRef/>
      </w:r>
      <w:r w:rsidRPr="00C50AC4">
        <w:rPr>
          <w:lang w:val="fr-CA"/>
        </w:rPr>
        <w:t xml:space="preserve"> </w:t>
      </w:r>
      <w:r w:rsidRPr="00D660FF">
        <w:rPr>
          <w:lang w:val="fr-FR"/>
        </w:rPr>
        <w:t xml:space="preserve">Des réunions formelles en ligne (avec </w:t>
      </w:r>
      <w:bookmarkStart w:id="1" w:name="WfCopyCase"/>
      <w:r w:rsidRPr="00D660FF">
        <w:rPr>
          <w:rFonts w:eastAsia="Calibri"/>
          <w:lang w:val="fr-FR"/>
        </w:rPr>
        <w:t>un service d’interprétation simultanée</w:t>
      </w:r>
      <w:bookmarkEnd w:id="1"/>
      <w:r w:rsidR="00340958">
        <w:rPr>
          <w:rFonts w:eastAsia="Calibri"/>
          <w:lang w:val="fr-FR"/>
        </w:rPr>
        <w:t>) ont eu lieu les</w:t>
      </w:r>
      <w:r w:rsidRPr="00D660FF">
        <w:rPr>
          <w:lang w:val="fr-FR"/>
        </w:rPr>
        <w:t xml:space="preserve"> 6, 9, 12 et 16 avril 2021</w:t>
      </w:r>
    </w:p>
  </w:footnote>
  <w:footnote w:id="5">
    <w:p w14:paraId="6E842236" w14:textId="35527B12" w:rsidR="00FE06A2" w:rsidRPr="00D660FF" w:rsidRDefault="00FE06A2" w:rsidP="000F1514">
      <w:pPr>
        <w:pStyle w:val="FootnoteText"/>
      </w:pPr>
      <w:r>
        <w:rPr>
          <w:rStyle w:val="FootnoteReference"/>
        </w:rPr>
        <w:footnoteRef/>
      </w:r>
      <w:r>
        <w:t xml:space="preserve"> </w:t>
      </w:r>
      <w:r w:rsidRPr="00C50AC4">
        <w:rPr>
          <w:lang w:val="en-US"/>
        </w:rPr>
        <w:t>UNEP/OzL.Pro/ExCom/86/100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BECF" w14:textId="70E7AE01" w:rsidR="00FE06A2" w:rsidRPr="0033525D" w:rsidRDefault="007102F5">
    <w:r>
      <w:fldChar w:fldCharType="begin"/>
    </w:r>
    <w:r>
      <w:instrText xml:space="preserve"> DOCPROPERTY "Document number"  \* MERGEFORMAT </w:instrText>
    </w:r>
    <w:r>
      <w:fldChar w:fldCharType="separate"/>
    </w:r>
    <w:r w:rsidR="00654E8B">
      <w:t>UNEP/OzL.Pro/ExCom/87/46</w:t>
    </w:r>
    <w:r>
      <w:fldChar w:fldCharType="end"/>
    </w:r>
  </w:p>
  <w:p w14:paraId="2F39BC0E" w14:textId="77777777" w:rsidR="00FE06A2" w:rsidRPr="0033525D" w:rsidRDefault="00FE06A2"/>
  <w:p w14:paraId="54F0290C" w14:textId="77777777" w:rsidR="00FE06A2" w:rsidRPr="0033525D" w:rsidRDefault="00FE06A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D25E2" w14:textId="6102A3E2" w:rsidR="00FE06A2" w:rsidRPr="0033525D" w:rsidRDefault="007102F5">
    <w:pPr>
      <w:jc w:val="right"/>
    </w:pPr>
    <w:r>
      <w:fldChar w:fldCharType="begin"/>
    </w:r>
    <w:r>
      <w:instrText xml:space="preserve"> DOCPROPERTY "Document number"  \* MERGEFORMAT </w:instrText>
    </w:r>
    <w:r>
      <w:fldChar w:fldCharType="separate"/>
    </w:r>
    <w:r w:rsidR="00654E8B">
      <w:t>UNEP/OzL.Pro/ExCom/87/46</w:t>
    </w:r>
    <w:r>
      <w:fldChar w:fldCharType="end"/>
    </w:r>
  </w:p>
  <w:p w14:paraId="66532305" w14:textId="77777777" w:rsidR="00FE06A2" w:rsidRPr="0033525D" w:rsidRDefault="00FE06A2"/>
  <w:p w14:paraId="1E736171" w14:textId="77777777" w:rsidR="00FE06A2" w:rsidRPr="0033525D" w:rsidRDefault="00FE06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6133" w14:textId="595BCD71" w:rsidR="00FE06A2" w:rsidRPr="0033525D" w:rsidRDefault="007102F5">
    <w:r>
      <w:fldChar w:fldCharType="begin"/>
    </w:r>
    <w:r>
      <w:instrText xml:space="preserve"> DOCPROPERTY "Document number"  \* MERGEFORMAT </w:instrText>
    </w:r>
    <w:r>
      <w:fldChar w:fldCharType="separate"/>
    </w:r>
    <w:r w:rsidR="00654E8B">
      <w:t>UNEP/OzL.Pro/ExCom/87/46</w:t>
    </w:r>
    <w:r>
      <w:fldChar w:fldCharType="end"/>
    </w:r>
  </w:p>
  <w:p w14:paraId="182CB91F" w14:textId="77777777" w:rsidR="00FE06A2" w:rsidRPr="0033525D" w:rsidRDefault="00FE06A2">
    <w:r>
      <w:t>Annex I</w:t>
    </w:r>
  </w:p>
  <w:p w14:paraId="06C69AB4" w14:textId="77777777" w:rsidR="00FE06A2" w:rsidRPr="0033525D" w:rsidRDefault="00FE06A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EE5B" w14:textId="3A7673FE" w:rsidR="00FE06A2" w:rsidRPr="0033525D" w:rsidRDefault="007102F5">
    <w:pPr>
      <w:jc w:val="right"/>
    </w:pPr>
    <w:r>
      <w:fldChar w:fldCharType="begin"/>
    </w:r>
    <w:r>
      <w:instrText xml:space="preserve"> DOCPROPERTY "Document number"  \* MERGEFORMAT </w:instrText>
    </w:r>
    <w:r>
      <w:fldChar w:fldCharType="separate"/>
    </w:r>
    <w:r w:rsidR="00654E8B">
      <w:t>UNEP/OzL.Pro/ExCom/87/46</w:t>
    </w:r>
    <w:r>
      <w:fldChar w:fldCharType="end"/>
    </w:r>
  </w:p>
  <w:p w14:paraId="0022DB60" w14:textId="77777777" w:rsidR="00FE06A2" w:rsidRPr="0033525D" w:rsidRDefault="00FE06A2" w:rsidP="00D67DDC">
    <w:pPr>
      <w:jc w:val="right"/>
    </w:pPr>
    <w:r>
      <w:t>Annex I</w:t>
    </w:r>
  </w:p>
  <w:p w14:paraId="54469BD5" w14:textId="77777777" w:rsidR="00FE06A2" w:rsidRPr="0033525D" w:rsidRDefault="00FE06A2">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58D0" w14:textId="030B5B72" w:rsidR="00FE06A2" w:rsidRPr="0033525D" w:rsidRDefault="007102F5" w:rsidP="00D67DDC">
    <w:pPr>
      <w:jc w:val="right"/>
    </w:pPr>
    <w:r>
      <w:fldChar w:fldCharType="begin"/>
    </w:r>
    <w:r>
      <w:instrText xml:space="preserve"> DOCPROPERTY "Document number"  \* MERGEFORMAT </w:instrText>
    </w:r>
    <w:r>
      <w:fldChar w:fldCharType="separate"/>
    </w:r>
    <w:r w:rsidR="00654E8B">
      <w:t>UNEP/OzL.Pro/ExCom/87/46</w:t>
    </w:r>
    <w:r>
      <w:fldChar w:fldCharType="end"/>
    </w:r>
  </w:p>
  <w:p w14:paraId="0D36E3C8" w14:textId="77777777" w:rsidR="00FE06A2" w:rsidRDefault="00FE06A2" w:rsidP="00D67DDC">
    <w:pPr>
      <w:pStyle w:val="Header"/>
      <w:jc w:val="right"/>
    </w:pPr>
    <w:r>
      <w:t>Annex I</w:t>
    </w:r>
  </w:p>
  <w:p w14:paraId="0DCD1653" w14:textId="77777777" w:rsidR="00FE06A2" w:rsidRDefault="00FE06A2" w:rsidP="00D67DDC">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1D3E" w14:textId="08DDD2B3" w:rsidR="00FE06A2" w:rsidRPr="0033525D" w:rsidRDefault="007102F5">
    <w:r>
      <w:fldChar w:fldCharType="begin"/>
    </w:r>
    <w:r>
      <w:instrText xml:space="preserve"> DOCPROPERTY "Document number"  \* MERGEFORMAT </w:instrText>
    </w:r>
    <w:r>
      <w:fldChar w:fldCharType="separate"/>
    </w:r>
    <w:r w:rsidR="00217427">
      <w:t>UNEP/OzL.Pro/ExCom/87/46</w:t>
    </w:r>
    <w:r>
      <w:fldChar w:fldCharType="end"/>
    </w:r>
  </w:p>
  <w:p w14:paraId="00F5CE8F" w14:textId="77777777" w:rsidR="00FE06A2" w:rsidRPr="0033525D" w:rsidRDefault="00FE06A2"/>
  <w:p w14:paraId="7102012A" w14:textId="77777777" w:rsidR="00FE06A2" w:rsidRPr="0033525D" w:rsidRDefault="00FE06A2"/>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01BC8" w14:textId="77777777" w:rsidR="00FE06A2" w:rsidRPr="0033525D" w:rsidRDefault="007102F5">
    <w:pPr>
      <w:jc w:val="right"/>
    </w:pPr>
    <w:r>
      <w:fldChar w:fldCharType="begin"/>
    </w:r>
    <w:r>
      <w:instrText xml:space="preserve"> DOCPROPERTY "Document number"  \* MERGEFORMAT </w:instrText>
    </w:r>
    <w:r>
      <w:fldChar w:fldCharType="separate"/>
    </w:r>
    <w:r w:rsidR="00654E8B">
      <w:t>UNEP/OzL.Pro/ExCom/87/46</w:t>
    </w:r>
    <w:r>
      <w:fldChar w:fldCharType="end"/>
    </w:r>
  </w:p>
  <w:p w14:paraId="4DD69F3F" w14:textId="77777777" w:rsidR="00FE06A2" w:rsidRPr="0033525D" w:rsidRDefault="00FE06A2"/>
  <w:p w14:paraId="3DA81AB0" w14:textId="77777777" w:rsidR="00FE06A2" w:rsidRPr="0033525D" w:rsidRDefault="00FE06A2">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5181" w14:textId="77777777" w:rsidR="00FE06A2" w:rsidRDefault="00FE06A2" w:rsidP="00D67DD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494F3EE"/>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12672DA2"/>
    <w:multiLevelType w:val="multilevel"/>
    <w:tmpl w:val="0060DEF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2" w15:restartNumberingAfterBreak="0">
    <w:nsid w:val="128109A0"/>
    <w:multiLevelType w:val="hybridMultilevel"/>
    <w:tmpl w:val="2AEC2232"/>
    <w:lvl w:ilvl="0" w:tplc="BE50B41C">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AB7BEB"/>
    <w:multiLevelType w:val="hybridMultilevel"/>
    <w:tmpl w:val="9510EB1E"/>
    <w:lvl w:ilvl="0" w:tplc="1009000F">
      <w:start w:val="12"/>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40E4D7E"/>
    <w:multiLevelType w:val="hybridMultilevel"/>
    <w:tmpl w:val="203ABBB8"/>
    <w:lvl w:ilvl="0" w:tplc="D8E20C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CA36786"/>
    <w:multiLevelType w:val="hybridMultilevel"/>
    <w:tmpl w:val="1BB0B04A"/>
    <w:lvl w:ilvl="0" w:tplc="236410D4">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86D1872"/>
    <w:multiLevelType w:val="hybridMultilevel"/>
    <w:tmpl w:val="269EDA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5F661BA5"/>
    <w:multiLevelType w:val="hybridMultilevel"/>
    <w:tmpl w:val="972881E8"/>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19531EE"/>
    <w:multiLevelType w:val="multilevel"/>
    <w:tmpl w:val="83C238A8"/>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19"/>
  </w:num>
  <w:num w:numId="19">
    <w:abstractNumId w:val="23"/>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2"/>
  </w:num>
  <w:num w:numId="26">
    <w:abstractNumId w:val="16"/>
  </w:num>
  <w:num w:numId="27">
    <w:abstractNumId w:val="17"/>
  </w:num>
  <w:num w:numId="28">
    <w:abstractNumId w:val="2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3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 w:name="WfID" w:val="B8019D25"/>
    <w:docVar w:name="WfLastSegment" w:val="798"/>
    <w:docVar w:name="WfProtection" w:val="1"/>
    <w:docVar w:name="WfSegPar" w:val="00010 -1 0 0 0 0 0 0"/>
    <w:docVar w:name="WfSetup" w:val="C:\Users\Catherine\AppData\Roaming\Microsoft\Word\OPSTARTEN\wordfast.ini"/>
    <w:docVar w:name="WfStyles" w:val="277 WfIntNo docCells=10A ,C:\Users\Catherine\Documents\Montreal 87\F8746.docx, | ,,0 Heading 0,1 / 1.1 / 1.1.1,1 / a / i,3D-effecten voor tabel 1,3D-effecten voor tabel 2,3D-effecten voor tabel 3,apple-converted-space,Artikel/sectie,Ballontekst,Bloktekst,CH2,Char Char Char Char Car Char;Char Char Char Char Car Char Char1 Char Char Char Char1 Char;Char Char Char1 Char Char Char Char1 Char;Char Char Char Char Car Char Char1 Char Char,Datum,Decision,Default,Eenvoudige tabel 1,Eenvoudige tabel 2,Eenvoudige tabel 3,Eigentijdse tabel,Elegante tabel,Geen lijst,Header4;Para 4,Hyperlink,Klassieke tabel 1,Klassieke tabel 2,Klassieke tabel 3,Klassieke tabel 4,Kleurrijke tabel 1,Kleurrijke tabel 2,Kleurrijke tabel 3,Kop 1;Para (1);Heading 1 Char;Heading 1 Char3 Char;Heading 1 Char Char1 Char;Heading 1 Char1 Char Char1 Char;Heading 1 Char Char Char Char1 Char1;Para (1) Char Char Char Char1 Char;Heading 1 Char3 Char Char Char Char1 Char;Heading 1 Char3;Heading1,Kop 2;SubPara (a);Heading 2 Char3;Heading 2 Char Char2;Heading 2 Char1 Char Char1;SubPara (a) Char Char Char1;Heading 2 Char Char Char Char1;Heading 2 Char1 Char Char Char Char1;SubPara (a) Char1 Char Char Char Char1;Heading 2 Char2;Heading 2 Char1,Kop 3;Char;Char Char;Heading 3 Char1;Heading 3 Char Char;Char Char Char;Char Char1;Heading 3 Char1 Char;Heading 3 Char Char Char;Char Char Char Char;Char Char1 Char;Heading 3 Char2;Char Char2;Char Char Char1;Heading 3 Char Char1;Heading 3 Char,Kop 4;Heading 11;para 4;Título 41;heading 4;Heading 41;标题 41,Kop 5,Kop 6,Kop 7,Kop 8,Kop 9,Koptekst,Lijstalinea,Normaal (web),Normal_pool,Ondertitel,Onderwerp van opmerking,Platte tekst 3,Platte tekst inspringen 3,Professionele tabel,Standaard,Standaardalinea-lettertype,Standaardtabel,Style Header4Para 4 + Left:  0&quot; First line:  0&quot;,sub-title,Tabelkolommen 1,Tabelkolommen 2,Tabelkolommen 3,Tabelkolommen 4,Tabelkolommen 5,Tabellijst 1,Tabellijst 2,Tabellijst 3,Tabellijst 4,Tabellijst 5,Tabellijst 6,Tabellijst 7,Tabellijst 8,Tabelraster 1,Tabelraster 2,Tabelraster 3,Tabelraster 4,Tabelraster 5,Tabelraster 6,Tabelraster 7,Tabelraster 8,Tabelraster;学术论文的三线表,Tabelthema,Table Grid1,Tekst opmerking,Tekst van tijdelijke aanduiding,Tekst zonder opmaak,Titel,Title1,tw4winMark,Verfijnde tabel 1,Verfijnde tabel 2,Verwijzing opmerking,Voetnootmarkering;Footnote text;16 Point;Superscript 6 Point;number;Footnote reference number;Footnote symbol;note TESI;-E Fußnotenzeichen;SUPERS;stylish;ftref;Footnote Reference Superscript;-E Fuﬂnotenzeichen;-E Fuûnotenzeichen;fr;Footnote Text1,Voetnoottekst;Geneva 9;Font: Geneva 9;Boston 10;f;Fußnotentextf;-E Fußnotentext;Fußnotentext Ursprung;-E Fußnotentext1;-E Fußnotentext2;-E Fußnotentext3;Fußnotentext Char1;Fußnotentext Char Char;Fußnotentext Char1 Char Char;Char1;Char1 Char Char; Char1,Voettekst,Webtabel 1,Webtabel 2,Webtabel 3,Zwaar,"/>
  </w:docVars>
  <w:rsids>
    <w:rsidRoot w:val="000F1514"/>
    <w:rsid w:val="0000056C"/>
    <w:rsid w:val="00000FED"/>
    <w:rsid w:val="00001793"/>
    <w:rsid w:val="0000434E"/>
    <w:rsid w:val="000211A9"/>
    <w:rsid w:val="000269D3"/>
    <w:rsid w:val="00031260"/>
    <w:rsid w:val="0003681A"/>
    <w:rsid w:val="000372B7"/>
    <w:rsid w:val="00050F6E"/>
    <w:rsid w:val="00061EC2"/>
    <w:rsid w:val="00066CE8"/>
    <w:rsid w:val="00080ED0"/>
    <w:rsid w:val="00085B8F"/>
    <w:rsid w:val="00090481"/>
    <w:rsid w:val="00097D11"/>
    <w:rsid w:val="000A3826"/>
    <w:rsid w:val="000A6C26"/>
    <w:rsid w:val="000C5998"/>
    <w:rsid w:val="000D52A4"/>
    <w:rsid w:val="000E07BC"/>
    <w:rsid w:val="000F1514"/>
    <w:rsid w:val="000F1CD4"/>
    <w:rsid w:val="000F4103"/>
    <w:rsid w:val="000F70A7"/>
    <w:rsid w:val="00113CCA"/>
    <w:rsid w:val="001141DA"/>
    <w:rsid w:val="00122F25"/>
    <w:rsid w:val="001340A0"/>
    <w:rsid w:val="00135980"/>
    <w:rsid w:val="00164719"/>
    <w:rsid w:val="00166FC4"/>
    <w:rsid w:val="001677AC"/>
    <w:rsid w:val="001804EA"/>
    <w:rsid w:val="00181816"/>
    <w:rsid w:val="00190A61"/>
    <w:rsid w:val="001A2215"/>
    <w:rsid w:val="001A3342"/>
    <w:rsid w:val="001A3E3D"/>
    <w:rsid w:val="001A7049"/>
    <w:rsid w:val="001B0C65"/>
    <w:rsid w:val="001B1E40"/>
    <w:rsid w:val="001B3FB4"/>
    <w:rsid w:val="001C764E"/>
    <w:rsid w:val="001D44E8"/>
    <w:rsid w:val="001E1052"/>
    <w:rsid w:val="001E21B1"/>
    <w:rsid w:val="001E2F93"/>
    <w:rsid w:val="001E4554"/>
    <w:rsid w:val="001E61E5"/>
    <w:rsid w:val="001F2159"/>
    <w:rsid w:val="00210B8B"/>
    <w:rsid w:val="00212766"/>
    <w:rsid w:val="00214863"/>
    <w:rsid w:val="002156B4"/>
    <w:rsid w:val="00217427"/>
    <w:rsid w:val="00224FCD"/>
    <w:rsid w:val="00245135"/>
    <w:rsid w:val="00253222"/>
    <w:rsid w:val="00262847"/>
    <w:rsid w:val="00281BB2"/>
    <w:rsid w:val="002B254E"/>
    <w:rsid w:val="002B72E9"/>
    <w:rsid w:val="002C7998"/>
    <w:rsid w:val="002D534F"/>
    <w:rsid w:val="002F1E53"/>
    <w:rsid w:val="002F2CAA"/>
    <w:rsid w:val="002F6913"/>
    <w:rsid w:val="0030052C"/>
    <w:rsid w:val="00316B3E"/>
    <w:rsid w:val="00330498"/>
    <w:rsid w:val="003306E1"/>
    <w:rsid w:val="003320E4"/>
    <w:rsid w:val="003347A4"/>
    <w:rsid w:val="0033525D"/>
    <w:rsid w:val="00340958"/>
    <w:rsid w:val="003414F3"/>
    <w:rsid w:val="00346AD6"/>
    <w:rsid w:val="0035613E"/>
    <w:rsid w:val="00363EE9"/>
    <w:rsid w:val="00370C44"/>
    <w:rsid w:val="00376128"/>
    <w:rsid w:val="0037742E"/>
    <w:rsid w:val="00377D56"/>
    <w:rsid w:val="0038245A"/>
    <w:rsid w:val="003840E6"/>
    <w:rsid w:val="00385CFC"/>
    <w:rsid w:val="0039337A"/>
    <w:rsid w:val="00393882"/>
    <w:rsid w:val="003A1F91"/>
    <w:rsid w:val="003A3189"/>
    <w:rsid w:val="003A3CA7"/>
    <w:rsid w:val="003B33BD"/>
    <w:rsid w:val="003B569D"/>
    <w:rsid w:val="003B730A"/>
    <w:rsid w:val="003C3C0E"/>
    <w:rsid w:val="003D42A6"/>
    <w:rsid w:val="003D4F21"/>
    <w:rsid w:val="003D4FAC"/>
    <w:rsid w:val="003E0BFC"/>
    <w:rsid w:val="003E5D62"/>
    <w:rsid w:val="003E7906"/>
    <w:rsid w:val="003F3C50"/>
    <w:rsid w:val="00406A6A"/>
    <w:rsid w:val="00406B22"/>
    <w:rsid w:val="004230C3"/>
    <w:rsid w:val="004245BC"/>
    <w:rsid w:val="004328A7"/>
    <w:rsid w:val="00434C74"/>
    <w:rsid w:val="00456EB4"/>
    <w:rsid w:val="00462C42"/>
    <w:rsid w:val="004718F3"/>
    <w:rsid w:val="00475040"/>
    <w:rsid w:val="00493D40"/>
    <w:rsid w:val="004967B6"/>
    <w:rsid w:val="004A504B"/>
    <w:rsid w:val="004A6911"/>
    <w:rsid w:val="004B54E0"/>
    <w:rsid w:val="004B7384"/>
    <w:rsid w:val="004C2DEE"/>
    <w:rsid w:val="004C4269"/>
    <w:rsid w:val="004C7A01"/>
    <w:rsid w:val="004D6236"/>
    <w:rsid w:val="004D7F90"/>
    <w:rsid w:val="004E4279"/>
    <w:rsid w:val="004E4DBB"/>
    <w:rsid w:val="004E4E41"/>
    <w:rsid w:val="004E7F9C"/>
    <w:rsid w:val="004F138C"/>
    <w:rsid w:val="004F3493"/>
    <w:rsid w:val="004F5143"/>
    <w:rsid w:val="00512B09"/>
    <w:rsid w:val="005220ED"/>
    <w:rsid w:val="00533796"/>
    <w:rsid w:val="00537343"/>
    <w:rsid w:val="00555D75"/>
    <w:rsid w:val="00560DF0"/>
    <w:rsid w:val="0056759C"/>
    <w:rsid w:val="005919BF"/>
    <w:rsid w:val="0059513E"/>
    <w:rsid w:val="005A5100"/>
    <w:rsid w:val="005A6AA4"/>
    <w:rsid w:val="005A6D9F"/>
    <w:rsid w:val="005B48FF"/>
    <w:rsid w:val="005B6124"/>
    <w:rsid w:val="005D2B87"/>
    <w:rsid w:val="005D363F"/>
    <w:rsid w:val="00604C15"/>
    <w:rsid w:val="006158D5"/>
    <w:rsid w:val="00625D83"/>
    <w:rsid w:val="00654E8B"/>
    <w:rsid w:val="006623E7"/>
    <w:rsid w:val="00662B80"/>
    <w:rsid w:val="006639EA"/>
    <w:rsid w:val="00670F6C"/>
    <w:rsid w:val="006764E2"/>
    <w:rsid w:val="006852C7"/>
    <w:rsid w:val="006852CE"/>
    <w:rsid w:val="00692D14"/>
    <w:rsid w:val="006B012A"/>
    <w:rsid w:val="006B65C7"/>
    <w:rsid w:val="006C1727"/>
    <w:rsid w:val="006C32FD"/>
    <w:rsid w:val="006C39CE"/>
    <w:rsid w:val="006D0FCC"/>
    <w:rsid w:val="006D21F5"/>
    <w:rsid w:val="006D7A57"/>
    <w:rsid w:val="006E126D"/>
    <w:rsid w:val="006E1FC3"/>
    <w:rsid w:val="006F7873"/>
    <w:rsid w:val="00701683"/>
    <w:rsid w:val="00704CE9"/>
    <w:rsid w:val="0070616B"/>
    <w:rsid w:val="00706295"/>
    <w:rsid w:val="007068A6"/>
    <w:rsid w:val="00706FDA"/>
    <w:rsid w:val="007102F5"/>
    <w:rsid w:val="00711F9A"/>
    <w:rsid w:val="00713810"/>
    <w:rsid w:val="007303A5"/>
    <w:rsid w:val="00730B3E"/>
    <w:rsid w:val="0073420B"/>
    <w:rsid w:val="0074760E"/>
    <w:rsid w:val="00754ABA"/>
    <w:rsid w:val="00762E09"/>
    <w:rsid w:val="00780D4F"/>
    <w:rsid w:val="00794BC8"/>
    <w:rsid w:val="007A1546"/>
    <w:rsid w:val="007A228C"/>
    <w:rsid w:val="007A368E"/>
    <w:rsid w:val="007A5868"/>
    <w:rsid w:val="007A7FFE"/>
    <w:rsid w:val="007B04CE"/>
    <w:rsid w:val="007B6871"/>
    <w:rsid w:val="007B7A2F"/>
    <w:rsid w:val="007C3D33"/>
    <w:rsid w:val="007D294A"/>
    <w:rsid w:val="007D47D2"/>
    <w:rsid w:val="007D6EC0"/>
    <w:rsid w:val="007D7E1D"/>
    <w:rsid w:val="007E13DF"/>
    <w:rsid w:val="007F26E2"/>
    <w:rsid w:val="00827707"/>
    <w:rsid w:val="00831979"/>
    <w:rsid w:val="008328FA"/>
    <w:rsid w:val="00850362"/>
    <w:rsid w:val="00851352"/>
    <w:rsid w:val="00857077"/>
    <w:rsid w:val="00863230"/>
    <w:rsid w:val="00865BD0"/>
    <w:rsid w:val="008717D8"/>
    <w:rsid w:val="0087215C"/>
    <w:rsid w:val="00875D25"/>
    <w:rsid w:val="00880E35"/>
    <w:rsid w:val="008875FE"/>
    <w:rsid w:val="00887F8E"/>
    <w:rsid w:val="00892816"/>
    <w:rsid w:val="00896234"/>
    <w:rsid w:val="00897E43"/>
    <w:rsid w:val="008C3C2E"/>
    <w:rsid w:val="008C5738"/>
    <w:rsid w:val="008C7EAD"/>
    <w:rsid w:val="008D0CFE"/>
    <w:rsid w:val="008D6152"/>
    <w:rsid w:val="008E7BA9"/>
    <w:rsid w:val="008F0F81"/>
    <w:rsid w:val="008F27BF"/>
    <w:rsid w:val="009142EC"/>
    <w:rsid w:val="009154C3"/>
    <w:rsid w:val="00923540"/>
    <w:rsid w:val="00926767"/>
    <w:rsid w:val="00933D8D"/>
    <w:rsid w:val="009361D5"/>
    <w:rsid w:val="00937DA1"/>
    <w:rsid w:val="00940E64"/>
    <w:rsid w:val="009428A4"/>
    <w:rsid w:val="009615E1"/>
    <w:rsid w:val="009647D6"/>
    <w:rsid w:val="009659F4"/>
    <w:rsid w:val="00970D60"/>
    <w:rsid w:val="0098353B"/>
    <w:rsid w:val="0099390E"/>
    <w:rsid w:val="009960E5"/>
    <w:rsid w:val="009A67D5"/>
    <w:rsid w:val="009A7ADC"/>
    <w:rsid w:val="009B0D30"/>
    <w:rsid w:val="009B25CE"/>
    <w:rsid w:val="009C19B7"/>
    <w:rsid w:val="009C5ABB"/>
    <w:rsid w:val="009D6003"/>
    <w:rsid w:val="009D7C51"/>
    <w:rsid w:val="009E0FFD"/>
    <w:rsid w:val="009E196C"/>
    <w:rsid w:val="009F36BF"/>
    <w:rsid w:val="00A111B6"/>
    <w:rsid w:val="00A20A9C"/>
    <w:rsid w:val="00A26D27"/>
    <w:rsid w:val="00A376EE"/>
    <w:rsid w:val="00A37AA1"/>
    <w:rsid w:val="00A42A99"/>
    <w:rsid w:val="00A5151A"/>
    <w:rsid w:val="00A57E0A"/>
    <w:rsid w:val="00A63010"/>
    <w:rsid w:val="00A73F21"/>
    <w:rsid w:val="00A823F6"/>
    <w:rsid w:val="00A8719E"/>
    <w:rsid w:val="00AA0A89"/>
    <w:rsid w:val="00AA6429"/>
    <w:rsid w:val="00AA7293"/>
    <w:rsid w:val="00AC01AA"/>
    <w:rsid w:val="00AC4F72"/>
    <w:rsid w:val="00AF0844"/>
    <w:rsid w:val="00AF108D"/>
    <w:rsid w:val="00AF15AE"/>
    <w:rsid w:val="00AF266E"/>
    <w:rsid w:val="00AF741A"/>
    <w:rsid w:val="00B01ADB"/>
    <w:rsid w:val="00B04161"/>
    <w:rsid w:val="00B056F9"/>
    <w:rsid w:val="00B1096C"/>
    <w:rsid w:val="00B11E3D"/>
    <w:rsid w:val="00B12318"/>
    <w:rsid w:val="00B17E82"/>
    <w:rsid w:val="00B21946"/>
    <w:rsid w:val="00B33C0E"/>
    <w:rsid w:val="00B4575A"/>
    <w:rsid w:val="00B575BA"/>
    <w:rsid w:val="00B66E3E"/>
    <w:rsid w:val="00B70859"/>
    <w:rsid w:val="00B71608"/>
    <w:rsid w:val="00B76429"/>
    <w:rsid w:val="00B956D4"/>
    <w:rsid w:val="00B97446"/>
    <w:rsid w:val="00BA7432"/>
    <w:rsid w:val="00BB2764"/>
    <w:rsid w:val="00BC1AA0"/>
    <w:rsid w:val="00BC2495"/>
    <w:rsid w:val="00BC7EB9"/>
    <w:rsid w:val="00BD09D3"/>
    <w:rsid w:val="00BD2643"/>
    <w:rsid w:val="00BD56B1"/>
    <w:rsid w:val="00BD6558"/>
    <w:rsid w:val="00BF2F76"/>
    <w:rsid w:val="00BF3022"/>
    <w:rsid w:val="00BF3214"/>
    <w:rsid w:val="00BF5573"/>
    <w:rsid w:val="00C15867"/>
    <w:rsid w:val="00C2296D"/>
    <w:rsid w:val="00C23155"/>
    <w:rsid w:val="00C40C41"/>
    <w:rsid w:val="00C45885"/>
    <w:rsid w:val="00C50AC4"/>
    <w:rsid w:val="00C50F22"/>
    <w:rsid w:val="00C57971"/>
    <w:rsid w:val="00C65BD7"/>
    <w:rsid w:val="00C7172A"/>
    <w:rsid w:val="00C76BA4"/>
    <w:rsid w:val="00C83A48"/>
    <w:rsid w:val="00C85865"/>
    <w:rsid w:val="00C85E85"/>
    <w:rsid w:val="00CA2EAE"/>
    <w:rsid w:val="00CA2F04"/>
    <w:rsid w:val="00CA4AC1"/>
    <w:rsid w:val="00CA5427"/>
    <w:rsid w:val="00CB0316"/>
    <w:rsid w:val="00CB0B11"/>
    <w:rsid w:val="00CB426A"/>
    <w:rsid w:val="00CB5354"/>
    <w:rsid w:val="00CC3C9E"/>
    <w:rsid w:val="00CC6A14"/>
    <w:rsid w:val="00CC70A3"/>
    <w:rsid w:val="00CD4442"/>
    <w:rsid w:val="00CD53C3"/>
    <w:rsid w:val="00CD574E"/>
    <w:rsid w:val="00CE31CE"/>
    <w:rsid w:val="00CE4C22"/>
    <w:rsid w:val="00CF41EC"/>
    <w:rsid w:val="00CF5D04"/>
    <w:rsid w:val="00D0423B"/>
    <w:rsid w:val="00D04DE4"/>
    <w:rsid w:val="00D063F1"/>
    <w:rsid w:val="00D13344"/>
    <w:rsid w:val="00D14F22"/>
    <w:rsid w:val="00D15B5B"/>
    <w:rsid w:val="00D43068"/>
    <w:rsid w:val="00D4741C"/>
    <w:rsid w:val="00D57918"/>
    <w:rsid w:val="00D660FF"/>
    <w:rsid w:val="00D675DB"/>
    <w:rsid w:val="00D67DDC"/>
    <w:rsid w:val="00D72F55"/>
    <w:rsid w:val="00D73DC6"/>
    <w:rsid w:val="00D74C1A"/>
    <w:rsid w:val="00D754C1"/>
    <w:rsid w:val="00D77393"/>
    <w:rsid w:val="00D77A35"/>
    <w:rsid w:val="00D81B3E"/>
    <w:rsid w:val="00D90C70"/>
    <w:rsid w:val="00D90E49"/>
    <w:rsid w:val="00D96ADE"/>
    <w:rsid w:val="00DA0CE2"/>
    <w:rsid w:val="00DA3AE7"/>
    <w:rsid w:val="00DC6A10"/>
    <w:rsid w:val="00DD4D0F"/>
    <w:rsid w:val="00DE657E"/>
    <w:rsid w:val="00DF4704"/>
    <w:rsid w:val="00DF5B74"/>
    <w:rsid w:val="00E024AA"/>
    <w:rsid w:val="00E15C77"/>
    <w:rsid w:val="00E250F1"/>
    <w:rsid w:val="00E34DB4"/>
    <w:rsid w:val="00E3550D"/>
    <w:rsid w:val="00E449E2"/>
    <w:rsid w:val="00E52838"/>
    <w:rsid w:val="00E614E0"/>
    <w:rsid w:val="00E639C1"/>
    <w:rsid w:val="00E65AE2"/>
    <w:rsid w:val="00E73F7F"/>
    <w:rsid w:val="00E85409"/>
    <w:rsid w:val="00E96BBC"/>
    <w:rsid w:val="00EA429F"/>
    <w:rsid w:val="00EA4F9E"/>
    <w:rsid w:val="00EA63CA"/>
    <w:rsid w:val="00EA6D3B"/>
    <w:rsid w:val="00EB00AD"/>
    <w:rsid w:val="00EB136C"/>
    <w:rsid w:val="00EB480E"/>
    <w:rsid w:val="00EB5EC6"/>
    <w:rsid w:val="00EB7FC9"/>
    <w:rsid w:val="00ED27E8"/>
    <w:rsid w:val="00ED7137"/>
    <w:rsid w:val="00EF06EA"/>
    <w:rsid w:val="00F21088"/>
    <w:rsid w:val="00F327E7"/>
    <w:rsid w:val="00F35746"/>
    <w:rsid w:val="00F35866"/>
    <w:rsid w:val="00F447C7"/>
    <w:rsid w:val="00F459B4"/>
    <w:rsid w:val="00F5211B"/>
    <w:rsid w:val="00F554A9"/>
    <w:rsid w:val="00F716FD"/>
    <w:rsid w:val="00F80355"/>
    <w:rsid w:val="00F87C43"/>
    <w:rsid w:val="00FA5722"/>
    <w:rsid w:val="00FB0C81"/>
    <w:rsid w:val="00FB5B83"/>
    <w:rsid w:val="00FC2200"/>
    <w:rsid w:val="00FC2540"/>
    <w:rsid w:val="00FE06A2"/>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F946A"/>
  <w15:docId w15:val="{58FB8ABA-570F-4624-A725-5A40E519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link w:val="PlainTextChar"/>
    <w:uiPriority w:val="99"/>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Geneva 9,Font: Geneva 9,Boston 10,f,Fußnotentextf,-E Fußnotentext,Fußnotentext Ursprung,-E Fußnotentext1,-E Fußnotentext2,-E Fußnotentext3,Fußnotentext Char1,Fußnotentext Char Char,Fußnotentext Char1 Char Char,Char1,Char1 Char Char, Char1"/>
    <w:basedOn w:val="Normal"/>
    <w:link w:val="FootnoteTextChar"/>
    <w:uiPriority w:val="99"/>
    <w:unhideWhenUsed/>
    <w:qFormat/>
    <w:rsid w:val="006E126D"/>
    <w:rPr>
      <w:sz w:val="20"/>
      <w:szCs w:val="20"/>
    </w:rPr>
  </w:style>
  <w:style w:type="character" w:customStyle="1" w:styleId="FootnoteTextChar">
    <w:name w:val="Footnote Text Char"/>
    <w:aliases w:val="Geneva 9 Char,Font: Geneva 9 Char,Boston 10 Char,f Char,Fußnotentextf Char,-E Fußnotentext Char,Fußnotentext Ursprung Char,-E Fußnotentext1 Char,-E Fußnotentext2 Char,-E Fußnotentext3 Char,Fußnotentext Char1 Char,Char1 Char"/>
    <w:basedOn w:val="DefaultParagraphFont"/>
    <w:link w:val="FootnoteText"/>
    <w:uiPriority w:val="99"/>
    <w:rsid w:val="006E126D"/>
    <w:rPr>
      <w:lang w:val="en-GB"/>
    </w:rPr>
  </w:style>
  <w:style w:type="character" w:styleId="FootnoteReference">
    <w:name w:val="footnote reference"/>
    <w:aliases w:val="Footnote text,16 Point,Superscript 6 Point,number,Footnote reference number,Footnote symbol,note TESI,-E Fußnotenzeichen,SUPERS,stylish,ftref,Footnote Reference Superscript,-E Fuﬂnotenzeichen,-E Fuûnotenzeichen,fr,Footnote Text1"/>
    <w:basedOn w:val="DefaultParagraphFont"/>
    <w:link w:val="CharCharCharCharCarChar"/>
    <w:uiPriority w:val="99"/>
    <w:unhideWhenUsed/>
    <w:qFormat/>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0F1514"/>
    <w:rPr>
      <w:sz w:val="22"/>
      <w:szCs w:val="22"/>
      <w:lang w:val="en-CA"/>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0F1514"/>
    <w:pPr>
      <w:spacing w:after="160" w:line="240" w:lineRule="exact"/>
    </w:pPr>
    <w:rPr>
      <w:sz w:val="20"/>
      <w:szCs w:val="20"/>
      <w:vertAlign w:val="superscript"/>
      <w:lang w:val="en-US"/>
    </w:rPr>
  </w:style>
  <w:style w:type="character" w:customStyle="1" w:styleId="FooterChar">
    <w:name w:val="Footer Char"/>
    <w:basedOn w:val="DefaultParagraphFont"/>
    <w:link w:val="Footer"/>
    <w:uiPriority w:val="99"/>
    <w:rsid w:val="00462C42"/>
    <w:rPr>
      <w:sz w:val="22"/>
      <w:szCs w:val="22"/>
      <w:lang w:val="en-CA"/>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462C42"/>
    <w:rPr>
      <w:sz w:val="22"/>
      <w:szCs w:val="22"/>
      <w:lang w:val="en-CA"/>
    </w:rPr>
  </w:style>
  <w:style w:type="paragraph" w:customStyle="1" w:styleId="Default">
    <w:name w:val="Default"/>
    <w:rsid w:val="00462C42"/>
    <w:pPr>
      <w:autoSpaceDE w:val="0"/>
      <w:autoSpaceDN w:val="0"/>
      <w:adjustRightInd w:val="0"/>
    </w:pPr>
    <w:rPr>
      <w:rFonts w:ascii="Meiryo" w:eastAsia="Meiryo" w:cs="Meiryo"/>
      <w:color w:val="000000"/>
      <w:sz w:val="24"/>
      <w:szCs w:val="24"/>
    </w:rPr>
  </w:style>
  <w:style w:type="character" w:customStyle="1" w:styleId="apple-converted-space">
    <w:name w:val="apple-converted-space"/>
    <w:basedOn w:val="DefaultParagraphFont"/>
    <w:rsid w:val="00462C42"/>
  </w:style>
  <w:style w:type="character" w:styleId="Hyperlink">
    <w:name w:val="Hyperlink"/>
    <w:basedOn w:val="DefaultParagraphFont"/>
    <w:unhideWhenUsed/>
    <w:rsid w:val="00462C42"/>
    <w:rPr>
      <w:color w:val="0000FF"/>
      <w:u w:val="single"/>
    </w:rPr>
  </w:style>
  <w:style w:type="character" w:customStyle="1" w:styleId="HeaderChar">
    <w:name w:val="Header Char"/>
    <w:basedOn w:val="DefaultParagraphFont"/>
    <w:link w:val="Header"/>
    <w:rsid w:val="00462C42"/>
    <w:rPr>
      <w:sz w:val="22"/>
      <w:szCs w:val="22"/>
      <w:lang w:val="en-CA"/>
    </w:rPr>
  </w:style>
  <w:style w:type="character" w:customStyle="1" w:styleId="PlainTextChar">
    <w:name w:val="Plain Text Char"/>
    <w:basedOn w:val="DefaultParagraphFont"/>
    <w:link w:val="PlainText"/>
    <w:uiPriority w:val="99"/>
    <w:rsid w:val="00462C42"/>
    <w:rPr>
      <w:rFonts w:ascii="Courier New" w:hAnsi="Courier New" w:cs="Courier New"/>
      <w:szCs w:val="22"/>
      <w:lang w:val="en-CA"/>
    </w:rPr>
  </w:style>
  <w:style w:type="paragraph" w:styleId="ListParagraph">
    <w:name w:val="List Paragraph"/>
    <w:basedOn w:val="Normal"/>
    <w:uiPriority w:val="34"/>
    <w:qFormat/>
    <w:rsid w:val="00462C42"/>
    <w:pPr>
      <w:ind w:left="720"/>
      <w:contextualSpacing/>
    </w:pPr>
    <w:rPr>
      <w:lang w:val="en-GB"/>
    </w:rPr>
  </w:style>
  <w:style w:type="character" w:styleId="Strong">
    <w:name w:val="Strong"/>
    <w:basedOn w:val="DefaultParagraphFont"/>
    <w:uiPriority w:val="22"/>
    <w:qFormat/>
    <w:rsid w:val="00462C42"/>
    <w:rPr>
      <w:b/>
      <w:bCs/>
    </w:rPr>
  </w:style>
  <w:style w:type="paragraph" w:styleId="NormalWeb">
    <w:name w:val="Normal (Web)"/>
    <w:basedOn w:val="Normal"/>
    <w:uiPriority w:val="99"/>
    <w:unhideWhenUsed/>
    <w:rsid w:val="00462C42"/>
    <w:pPr>
      <w:spacing w:before="100" w:beforeAutospacing="1" w:after="100" w:afterAutospacing="1"/>
      <w:jc w:val="left"/>
    </w:pPr>
    <w:rPr>
      <w:sz w:val="24"/>
      <w:szCs w:val="24"/>
      <w:lang w:eastAsia="en-CA"/>
    </w:rPr>
  </w:style>
  <w:style w:type="paragraph" w:styleId="Revision">
    <w:name w:val="Revision"/>
    <w:hidden/>
    <w:uiPriority w:val="99"/>
    <w:semiHidden/>
    <w:rsid w:val="00462C42"/>
    <w:rPr>
      <w:sz w:val="22"/>
      <w:szCs w:val="22"/>
      <w:lang w:val="en-GB"/>
    </w:rPr>
  </w:style>
  <w:style w:type="table" w:customStyle="1" w:styleId="TableGrid10">
    <w:name w:val="Table Grid1"/>
    <w:basedOn w:val="TableNormal"/>
    <w:next w:val="TableGrid"/>
    <w:rsid w:val="00462C4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ool">
    <w:name w:val="Normal_pool"/>
    <w:link w:val="NormalpoolChar"/>
    <w:rsid w:val="00462C42"/>
    <w:pPr>
      <w:tabs>
        <w:tab w:val="left" w:pos="1247"/>
        <w:tab w:val="left" w:pos="1814"/>
        <w:tab w:val="left" w:pos="2381"/>
        <w:tab w:val="left" w:pos="2948"/>
        <w:tab w:val="left" w:pos="3515"/>
        <w:tab w:val="left" w:pos="4082"/>
      </w:tabs>
    </w:pPr>
    <w:rPr>
      <w:lang w:val="fr-FR"/>
    </w:rPr>
  </w:style>
  <w:style w:type="character" w:customStyle="1" w:styleId="NormalpoolChar">
    <w:name w:val="Normal_pool Char"/>
    <w:link w:val="Normalpool"/>
    <w:locked/>
    <w:rsid w:val="00462C42"/>
    <w:rPr>
      <w:lang w:val="fr-FR"/>
    </w:rPr>
  </w:style>
  <w:style w:type="paragraph" w:customStyle="1" w:styleId="CH2">
    <w:name w:val="CH2"/>
    <w:basedOn w:val="Normal"/>
    <w:next w:val="Normal"/>
    <w:link w:val="CH2Char"/>
    <w:rsid w:val="00462C42"/>
    <w:pPr>
      <w:keepNext/>
      <w:keepLines/>
      <w:tabs>
        <w:tab w:val="right" w:pos="851"/>
        <w:tab w:val="left" w:pos="1247"/>
        <w:tab w:val="left" w:pos="1814"/>
        <w:tab w:val="left" w:pos="2381"/>
        <w:tab w:val="left" w:pos="2948"/>
        <w:tab w:val="left" w:pos="3515"/>
      </w:tabs>
      <w:suppressAutoHyphens/>
      <w:spacing w:before="80" w:after="120"/>
      <w:ind w:left="1247" w:right="284" w:hanging="1247"/>
      <w:jc w:val="left"/>
    </w:pPr>
    <w:rPr>
      <w:b/>
      <w:sz w:val="24"/>
      <w:szCs w:val="24"/>
      <w:lang w:val="en-GB"/>
    </w:rPr>
  </w:style>
  <w:style w:type="character" w:customStyle="1" w:styleId="CH2Char">
    <w:name w:val="CH2 Char"/>
    <w:link w:val="CH2"/>
    <w:locked/>
    <w:rsid w:val="00462C42"/>
    <w:rPr>
      <w:b/>
      <w:sz w:val="24"/>
      <w:szCs w:val="24"/>
      <w:lang w:val="en-GB"/>
    </w:rPr>
  </w:style>
  <w:style w:type="character" w:customStyle="1" w:styleId="tw4winMark">
    <w:name w:val="tw4winMark"/>
    <w:basedOn w:val="DefaultParagraphFont"/>
    <w:rsid w:val="009A67D5"/>
    <w:rPr>
      <w:rFonts w:ascii="Courier New" w:hAnsi="Courier New" w:cs="Courier New"/>
      <w:b w:val="0"/>
      <w:i w:val="0"/>
      <w:dstrike w:val="0"/>
      <w:noProof/>
      <w:vanish/>
      <w:color w:val="800080"/>
      <w:spacing w:val="0"/>
      <w:kern w:val="30"/>
      <w:sz w:val="1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6.xml"/><Relationship Id="rId35"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J:\87th\Templates\Eec87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4131ACC863C4CBCCC233143506327" ma:contentTypeVersion="2" ma:contentTypeDescription="Create a new document." ma:contentTypeScope="" ma:versionID="26ea6887eafcd2303a147d91da7b0ce2">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UNEP/OzL.Pro/ExCom/87/46</Document_x0020_Number>
  </documentManagement>
</p:properties>
</file>

<file path=customXml/itemProps1.xml><?xml version="1.0" encoding="utf-8"?>
<ds:datastoreItem xmlns:ds="http://schemas.openxmlformats.org/officeDocument/2006/customXml" ds:itemID="{51D166B9-2432-49A6-8A95-5931810D0655}"/>
</file>

<file path=customXml/itemProps2.xml><?xml version="1.0" encoding="utf-8"?>
<ds:datastoreItem xmlns:ds="http://schemas.openxmlformats.org/officeDocument/2006/customXml" ds:itemID="{DAB77A3B-992E-4F1D-9B62-B44FE34EE7A9}"/>
</file>

<file path=customXml/itemProps3.xml><?xml version="1.0" encoding="utf-8"?>
<ds:datastoreItem xmlns:ds="http://schemas.openxmlformats.org/officeDocument/2006/customXml" ds:itemID="{6E391CF9-E095-4544-80C4-EA1123BD9094}"/>
</file>

<file path=customXml/itemProps4.xml><?xml version="1.0" encoding="utf-8"?>
<ds:datastoreItem xmlns:ds="http://schemas.openxmlformats.org/officeDocument/2006/customXml" ds:itemID="{0C7DB2BB-A9E7-413C-8AB8-BB20658122AE}"/>
</file>

<file path=docProps/app.xml><?xml version="1.0" encoding="utf-8"?>
<Properties xmlns="http://schemas.openxmlformats.org/officeDocument/2006/extended-properties" xmlns:vt="http://schemas.openxmlformats.org/officeDocument/2006/docPropsVTypes">
  <Template>Eec87G</Template>
  <TotalTime>660</TotalTime>
  <Pages>11</Pages>
  <Words>4375</Words>
  <Characters>24941</Characters>
  <Application>Microsoft Office Word</Application>
  <DocSecurity>0</DocSecurity>
  <Lines>207</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Projet de lignes directrices relatives à la préparation des plans de réduction progressive des HFC pour les pays visés à l’article 5 (décision 86/93)</vt:lpstr>
      <vt:lpstr>Draft guidelines HFC phase-down project preparation</vt:lpstr>
    </vt:vector>
  </TitlesOfParts>
  <Company/>
  <LinksUpToDate>false</LinksUpToDate>
  <CharactersWithSpaces>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lignes directrices relatives à la préparation des plans de réduction progressive des HFC pour les pays visés à l’article 5 (décision 86/93)</dc:title>
  <dc:creator>Muriel Aguiar</dc:creator>
  <cp:lastModifiedBy>HB</cp:lastModifiedBy>
  <cp:revision>20</cp:revision>
  <cp:lastPrinted>2021-06-16T12:41:00Z</cp:lastPrinted>
  <dcterms:created xsi:type="dcterms:W3CDTF">2021-06-15T06:56:00Z</dcterms:created>
  <dcterms:modified xsi:type="dcterms:W3CDTF">2021-06-26T23:47:00Z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UNEP/OzL.Pro/ExCom/87/46</vt:lpwstr>
  </property>
  <property fmtid="{D5CDD505-2E9C-101B-9397-08002B2CF9AE}" pid="3" name="Revision date">
    <vt:lpwstr>6/02/2021</vt:lpwstr>
  </property>
  <property fmtid="{D5CDD505-2E9C-101B-9397-08002B2CF9AE}" pid="4" name="ContentTypeId">
    <vt:lpwstr>0x0101006D54131ACC863C4CBCCC233143506327</vt:lpwstr>
  </property>
</Properties>
</file>